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0.xml" ContentType="application/vnd.openxmlformats-officedocument.drawingml.chart+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GlobalFund"/>
        <w:tblpPr w:leftFromText="181" w:rightFromText="181" w:vertAnchor="page" w:horzAnchor="page" w:tblpYSpec="top"/>
        <w:tblOverlap w:val="never"/>
        <w:tblW w:w="11901" w:type="dxa"/>
        <w:tblLayout w:type="fixed"/>
        <w:tblCellMar>
          <w:right w:w="0" w:type="dxa"/>
        </w:tblCellMar>
        <w:tblLook w:val="04A0" w:firstRow="1" w:lastRow="0" w:firstColumn="1" w:lastColumn="0" w:noHBand="0" w:noVBand="1"/>
      </w:tblPr>
      <w:tblGrid>
        <w:gridCol w:w="11901"/>
      </w:tblGrid>
      <w:tr w:rsidR="007043C7" w:rsidRPr="00B271DB" w14:paraId="33D35476" w14:textId="77777777" w:rsidTr="007F6CC2">
        <w:trPr>
          <w:cnfStyle w:val="100000000000" w:firstRow="1" w:lastRow="0" w:firstColumn="0" w:lastColumn="0" w:oddVBand="0" w:evenVBand="0" w:oddHBand="0" w:evenHBand="0" w:firstRowFirstColumn="0" w:firstRowLastColumn="0" w:lastRowFirstColumn="0" w:lastRowLastColumn="0"/>
          <w:trHeight w:hRule="exact" w:val="5103"/>
        </w:trPr>
        <w:tc>
          <w:tcPr>
            <w:tcW w:w="9638" w:type="dxa"/>
            <w:tcBorders>
              <w:bottom w:val="none" w:sz="0" w:space="0" w:color="auto"/>
            </w:tcBorders>
          </w:tcPr>
          <w:tbl>
            <w:tblPr>
              <w:tblStyle w:val="aa"/>
              <w:tblpPr w:leftFromText="180" w:rightFromText="180" w:vertAnchor="text" w:horzAnchor="margin" w:tblpXSpec="center" w:tblpY="2284"/>
              <w:tblOverlap w:val="never"/>
              <w:tblW w:w="9298" w:type="dxa"/>
              <w:tblBorders>
                <w:top w:val="single" w:sz="6" w:space="0" w:color="1E1E1E" w:themeColor="background2"/>
                <w:left w:val="none" w:sz="0" w:space="0" w:color="auto"/>
                <w:bottom w:val="single" w:sz="6" w:space="0" w:color="1E1E1E" w:themeColor="background2"/>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298"/>
            </w:tblGrid>
            <w:tr w:rsidR="00AF19B0" w:rsidRPr="00B271DB" w14:paraId="3F26895E" w14:textId="77777777" w:rsidTr="009A6DE4">
              <w:tc>
                <w:tcPr>
                  <w:tcW w:w="9298" w:type="dxa"/>
                  <w:vAlign w:val="center"/>
                </w:tcPr>
                <w:p w14:paraId="6908ABDC" w14:textId="40972375" w:rsidR="00B175AC" w:rsidRPr="00B271DB" w:rsidRDefault="00FE5D89" w:rsidP="007364E8">
                  <w:pPr>
                    <w:pStyle w:val="CoverPageTitle"/>
                    <w:jc w:val="left"/>
                    <w:rPr>
                      <w:color w:val="003F72"/>
                    </w:rPr>
                  </w:pPr>
                  <w:r>
                    <w:rPr>
                      <w:color w:val="003F72"/>
                    </w:rPr>
                    <w:t>F</w:t>
                  </w:r>
                  <w:r w:rsidR="009A6DE4" w:rsidRPr="00B271DB">
                    <w:rPr>
                      <w:color w:val="003F72"/>
                    </w:rPr>
                    <w:t>unding Request</w:t>
                  </w:r>
                  <w:r w:rsidR="000E5BFC" w:rsidRPr="00B271DB">
                    <w:rPr>
                      <w:color w:val="003F72"/>
                    </w:rPr>
                    <w:t xml:space="preserve"> Form</w:t>
                  </w:r>
                </w:p>
                <w:p w14:paraId="0CB60D3D" w14:textId="3F435CB2" w:rsidR="00C11349" w:rsidRPr="00B271DB" w:rsidRDefault="00C11349" w:rsidP="000E5BFC">
                  <w:pPr>
                    <w:pStyle w:val="CoverPageTitle"/>
                    <w:rPr>
                      <w:color w:val="003F72"/>
                      <w:sz w:val="40"/>
                      <w:szCs w:val="40"/>
                    </w:rPr>
                  </w:pPr>
                  <w:r w:rsidRPr="00B271DB">
                    <w:rPr>
                      <w:color w:val="003F72"/>
                      <w:sz w:val="40"/>
                      <w:szCs w:val="40"/>
                    </w:rPr>
                    <w:t xml:space="preserve">Allocation </w:t>
                  </w:r>
                  <w:r w:rsidR="00AB6271">
                    <w:rPr>
                      <w:color w:val="003F72"/>
                      <w:sz w:val="40"/>
                      <w:szCs w:val="40"/>
                    </w:rPr>
                    <w:t>Period</w:t>
                  </w:r>
                  <w:r w:rsidRPr="00B271DB">
                    <w:rPr>
                      <w:color w:val="003F72"/>
                      <w:sz w:val="40"/>
                      <w:szCs w:val="40"/>
                    </w:rPr>
                    <w:t xml:space="preserve"> 2020-2022</w:t>
                  </w:r>
                </w:p>
              </w:tc>
            </w:tr>
          </w:tbl>
          <w:p w14:paraId="09786C6B" w14:textId="77777777" w:rsidR="00F84E3B" w:rsidRDefault="00F84E3B" w:rsidP="00197AE7">
            <w:pPr>
              <w:pStyle w:val="NormalNoSpace"/>
              <w:jc w:val="center"/>
              <w:rPr>
                <w:caps w:val="0"/>
              </w:rPr>
            </w:pPr>
          </w:p>
          <w:p w14:paraId="4470BB6E" w14:textId="55250D34" w:rsidR="007043C7" w:rsidRPr="00B271DB" w:rsidRDefault="00D2069F" w:rsidP="00197AE7">
            <w:pPr>
              <w:pStyle w:val="NormalNoSpace"/>
              <w:jc w:val="center"/>
              <w:rPr>
                <w:caps w:val="0"/>
              </w:rPr>
            </w:pPr>
            <w:r w:rsidRPr="00B271DB">
              <w:rPr>
                <w:noProof/>
              </w:rPr>
              <mc:AlternateContent>
                <mc:Choice Requires="wps">
                  <w:drawing>
                    <wp:anchor distT="0" distB="0" distL="114300" distR="114300" simplePos="0" relativeHeight="251658240" behindDoc="0" locked="0" layoutInCell="1" allowOverlap="1" wp14:anchorId="18AB035E" wp14:editId="3E357E70">
                      <wp:simplePos x="0" y="0"/>
                      <wp:positionH relativeFrom="margin">
                        <wp:align>right</wp:align>
                      </wp:positionH>
                      <wp:positionV relativeFrom="margin">
                        <wp:align>center</wp:align>
                      </wp:positionV>
                      <wp:extent cx="574040" cy="10899648"/>
                      <wp:effectExtent l="0" t="0" r="0" b="0"/>
                      <wp:wrapNone/>
                      <wp:docPr id="203" name="Rectangle 203"/>
                      <wp:cNvGraphicFramePr/>
                      <a:graphic xmlns:a="http://schemas.openxmlformats.org/drawingml/2006/main">
                        <a:graphicData uri="http://schemas.microsoft.com/office/word/2010/wordprocessingShape">
                          <wps:wsp>
                            <wps:cNvSpPr/>
                            <wps:spPr>
                              <a:xfrm>
                                <a:off x="0" y="0"/>
                                <a:ext cx="574040" cy="10899648"/>
                              </a:xfrm>
                              <a:prstGeom prst="rect">
                                <a:avLst/>
                              </a:prstGeom>
                              <a:solidFill>
                                <a:srgbClr val="003F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A9F123" w14:textId="47907CDC" w:rsidR="009E330A" w:rsidRPr="009F52F1" w:rsidRDefault="009E330A" w:rsidP="0086619D">
                                  <w:pPr>
                                    <w:jc w:val="center"/>
                                    <w:rPr>
                                      <w:color w:val="FFFFFF" w:themeColor="background1"/>
                                      <w:sz w:val="48"/>
                                      <w:szCs w:val="48"/>
                                    </w:rPr>
                                  </w:pPr>
                                  <w:r>
                                    <w:rPr>
                                      <w:color w:val="FFFFFF" w:themeColor="background1"/>
                                      <w:sz w:val="48"/>
                                      <w:szCs w:val="48"/>
                                    </w:rPr>
                                    <w:t>Tailored for Focused Portfolios</w:t>
                                  </w:r>
                                </w:p>
                              </w:txbxContent>
                            </wps:txbx>
                            <wps:bodyPr rot="0" spcFirstLastPara="0" vertOverflow="overflow" horzOverflow="overflow" vert="vert"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B035E" id="Rectangle 203" o:spid="_x0000_s1026" style="position:absolute;left:0;text-align:left;margin-left:-6pt;margin-top:0;width:45.2pt;height:858.25pt;z-index:251658240;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" fillcolor="#003f72" stroked="f" strokeweight="1pt">
                      <v:textbox style="layout-flow:vertical" inset=",14.4pt,8.64pt,18pt">
                        <w:txbxContent>
                          <w:p w14:paraId="44A9F123" w14:textId="47907CDC" w:rsidR="009E330A" w:rsidRPr="009F52F1" w:rsidRDefault="009E330A" w:rsidP="0086619D">
                            <w:pPr>
                              <w:jc w:val="center"/>
                              <w:rPr>
                                <w:color w:val="FFFFFF" w:themeColor="background1"/>
                                <w:sz w:val="48"/>
                                <w:szCs w:val="48"/>
                              </w:rPr>
                            </w:pPr>
                            <w:r>
                              <w:rPr>
                                <w:color w:val="FFFFFF" w:themeColor="background1"/>
                                <w:sz w:val="48"/>
                                <w:szCs w:val="48"/>
                              </w:rPr>
                              <w:t>Tailored for Focused Portfolios</w:t>
                            </w:r>
                          </w:p>
                        </w:txbxContent>
                      </v:textbox>
                      <w10:wrap anchorx="margin" anchory="margin"/>
                    </v:rect>
                  </w:pict>
                </mc:Fallback>
              </mc:AlternateContent>
            </w:r>
          </w:p>
        </w:tc>
      </w:tr>
    </w:tbl>
    <w:p w14:paraId="4D5C031D" w14:textId="77777777" w:rsidR="007043C7" w:rsidRPr="00B271DB" w:rsidRDefault="007043C7" w:rsidP="007043C7">
      <w:pPr>
        <w:pStyle w:val="Tiny"/>
      </w:pPr>
    </w:p>
    <w:p w14:paraId="5DF05DFA" w14:textId="77777777" w:rsidR="009A28E5" w:rsidRPr="00B271DB" w:rsidRDefault="009A28E5" w:rsidP="009A28E5"/>
    <w:p w14:paraId="695235FB" w14:textId="77777777" w:rsidR="009F52F1" w:rsidRPr="00B271DB" w:rsidRDefault="009F52F1" w:rsidP="009A28E5"/>
    <w:p w14:paraId="11EDC92F" w14:textId="62EC162B" w:rsidR="009F52F1" w:rsidRPr="00B271DB" w:rsidRDefault="006E35EA" w:rsidP="006E35EA">
      <w:pPr>
        <w:tabs>
          <w:tab w:val="left" w:pos="7632"/>
        </w:tabs>
      </w:pPr>
      <w:r>
        <w:tab/>
      </w:r>
    </w:p>
    <w:p w14:paraId="6A4BD23C" w14:textId="77777777" w:rsidR="009F52F1" w:rsidRPr="00B271DB" w:rsidRDefault="009F52F1" w:rsidP="009A28E5"/>
    <w:p w14:paraId="79CD308B" w14:textId="77777777" w:rsidR="009F52F1" w:rsidRPr="00B271DB" w:rsidRDefault="009F52F1" w:rsidP="009A28E5"/>
    <w:p w14:paraId="4FCC4226" w14:textId="77777777" w:rsidR="009F52F1" w:rsidRPr="00B271DB" w:rsidRDefault="009F52F1" w:rsidP="009A28E5"/>
    <w:p w14:paraId="7FA09794" w14:textId="482F8E37" w:rsidR="001E4991" w:rsidRDefault="006D1A08" w:rsidP="00F5709E">
      <w:pPr>
        <w:spacing w:after="0"/>
        <w:rPr>
          <w:rFonts w:cs="Arial"/>
          <w:i/>
          <w:iCs/>
        </w:rPr>
      </w:pPr>
      <w:r>
        <w:rPr>
          <w:rFonts w:cs="Arial"/>
          <w:i/>
          <w:iCs/>
        </w:rPr>
        <w:t>R</w:t>
      </w:r>
      <w:r w:rsidR="00FA73DE" w:rsidRPr="00B271DB">
        <w:rPr>
          <w:rFonts w:cs="Arial"/>
          <w:i/>
          <w:iCs/>
        </w:rPr>
        <w:t xml:space="preserve">efer to the “Tailored </w:t>
      </w:r>
      <w:r w:rsidR="00975D66">
        <w:rPr>
          <w:rFonts w:cs="Arial"/>
          <w:i/>
          <w:iCs/>
        </w:rPr>
        <w:t>for</w:t>
      </w:r>
      <w:r w:rsidR="00FA73DE" w:rsidRPr="00B271DB">
        <w:rPr>
          <w:rFonts w:cs="Arial"/>
          <w:i/>
          <w:iCs/>
        </w:rPr>
        <w:t xml:space="preserve"> </w:t>
      </w:r>
      <w:r w:rsidR="00E244B4">
        <w:rPr>
          <w:rFonts w:cs="Arial"/>
          <w:i/>
          <w:iCs/>
        </w:rPr>
        <w:t>Focused Portfolios</w:t>
      </w:r>
      <w:r w:rsidR="00FA73DE" w:rsidRPr="00B271DB">
        <w:rPr>
          <w:rFonts w:cs="Arial"/>
          <w:i/>
          <w:iCs/>
        </w:rPr>
        <w:t xml:space="preserve">” </w:t>
      </w:r>
      <w:r w:rsidR="00F112AD" w:rsidRPr="00B271DB">
        <w:rPr>
          <w:rFonts w:cs="Arial"/>
          <w:i/>
          <w:iCs/>
        </w:rPr>
        <w:t xml:space="preserve">Instructions </w:t>
      </w:r>
      <w:r w:rsidR="00FA73DE" w:rsidRPr="00B271DB">
        <w:rPr>
          <w:rFonts w:cs="Arial"/>
          <w:i/>
          <w:iCs/>
        </w:rPr>
        <w:t xml:space="preserve">to complete this </w:t>
      </w:r>
      <w:r w:rsidR="005E5FAA">
        <w:rPr>
          <w:rFonts w:cs="Arial"/>
          <w:i/>
          <w:iCs/>
        </w:rPr>
        <w:t>f</w:t>
      </w:r>
      <w:r w:rsidR="00FA73DE" w:rsidRPr="00B271DB">
        <w:rPr>
          <w:rFonts w:cs="Arial"/>
          <w:i/>
          <w:iCs/>
        </w:rPr>
        <w:t>orm.</w:t>
      </w:r>
    </w:p>
    <w:p w14:paraId="636FB396" w14:textId="77777777" w:rsidR="00F5709E" w:rsidRPr="00701406" w:rsidRDefault="00F5709E" w:rsidP="00F5709E">
      <w:pPr>
        <w:spacing w:after="0"/>
        <w:rPr>
          <w:rFonts w:cs="Arial"/>
          <w:i/>
          <w:iCs/>
        </w:rPr>
      </w:pPr>
    </w:p>
    <w:p w14:paraId="67247401" w14:textId="028E9206" w:rsidR="00304EE8" w:rsidRDefault="009F52F1" w:rsidP="00F5709E">
      <w:pPr>
        <w:spacing w:after="0"/>
        <w:rPr>
          <w:rStyle w:val="10"/>
          <w:color w:val="1E1E1E" w:themeColor="background2"/>
        </w:rPr>
      </w:pPr>
      <w:r w:rsidRPr="00B271DB">
        <w:rPr>
          <w:rStyle w:val="10"/>
          <w:color w:val="1E1E1E" w:themeColor="background2"/>
        </w:rPr>
        <w:t>Summary Information</w:t>
      </w:r>
    </w:p>
    <w:tbl>
      <w:tblPr>
        <w:tblStyle w:val="aa"/>
        <w:tblW w:w="0" w:type="auto"/>
        <w:tblLook w:val="04A0" w:firstRow="1" w:lastRow="0" w:firstColumn="1" w:lastColumn="0" w:noHBand="0" w:noVBand="1"/>
      </w:tblPr>
      <w:tblGrid>
        <w:gridCol w:w="4320"/>
        <w:gridCol w:w="5472"/>
      </w:tblGrid>
      <w:tr w:rsidR="00F5709E" w:rsidRPr="00B271DB" w14:paraId="08A72EA9" w14:textId="77777777" w:rsidTr="00740264">
        <w:trPr>
          <w:trHeight w:val="461"/>
        </w:trPr>
        <w:tc>
          <w:tcPr>
            <w:tcW w:w="4320" w:type="dxa"/>
            <w:shd w:val="clear" w:color="auto" w:fill="F2F2F2" w:themeFill="background1" w:themeFillShade="F2"/>
            <w:vAlign w:val="center"/>
          </w:tcPr>
          <w:p w14:paraId="4AF42D59" w14:textId="77777777" w:rsidR="00F5709E" w:rsidRPr="00B271DB" w:rsidRDefault="00F5709E" w:rsidP="00740264">
            <w:pPr>
              <w:rPr>
                <w:rFonts w:cs="Arial"/>
                <w:b/>
              </w:rPr>
            </w:pPr>
            <w:bookmarkStart w:id="0" w:name="_Hlk15379458"/>
            <w:r w:rsidRPr="00B271DB">
              <w:rPr>
                <w:rFonts w:eastAsiaTheme="minorEastAsia"/>
                <w:b/>
                <w:bCs/>
              </w:rPr>
              <w:t>Country(s)</w:t>
            </w:r>
          </w:p>
        </w:tc>
        <w:tc>
          <w:tcPr>
            <w:tcW w:w="5472" w:type="dxa"/>
          </w:tcPr>
          <w:p w14:paraId="147C892D" w14:textId="4F9FE122" w:rsidR="00F5709E" w:rsidRPr="00B271DB" w:rsidRDefault="0079761C" w:rsidP="00740264">
            <w:pPr>
              <w:rPr>
                <w:rFonts w:cs="Arial"/>
              </w:rPr>
            </w:pPr>
            <w:r>
              <w:rPr>
                <w:rFonts w:cs="Arial"/>
              </w:rPr>
              <w:t>Kazakhstan</w:t>
            </w:r>
          </w:p>
        </w:tc>
      </w:tr>
      <w:tr w:rsidR="00F5709E" w:rsidRPr="00B271DB" w14:paraId="50B0FF9E" w14:textId="77777777" w:rsidTr="00740264">
        <w:trPr>
          <w:trHeight w:val="461"/>
        </w:trPr>
        <w:tc>
          <w:tcPr>
            <w:tcW w:w="4320" w:type="dxa"/>
            <w:shd w:val="clear" w:color="auto" w:fill="F2F2F2" w:themeFill="background1" w:themeFillShade="F2"/>
            <w:vAlign w:val="center"/>
          </w:tcPr>
          <w:p w14:paraId="10B5BC6D" w14:textId="77777777" w:rsidR="00F5709E" w:rsidRPr="00B271DB" w:rsidRDefault="00F5709E" w:rsidP="00740264">
            <w:pPr>
              <w:rPr>
                <w:rFonts w:cs="Arial"/>
                <w:b/>
              </w:rPr>
            </w:pPr>
            <w:r w:rsidRPr="00B271DB">
              <w:rPr>
                <w:b/>
                <w:bCs/>
              </w:rPr>
              <w:t>Component(s)</w:t>
            </w:r>
          </w:p>
        </w:tc>
        <w:tc>
          <w:tcPr>
            <w:tcW w:w="5472" w:type="dxa"/>
          </w:tcPr>
          <w:p w14:paraId="270A4976" w14:textId="438CC55F" w:rsidR="00F5709E" w:rsidRPr="00B271DB" w:rsidRDefault="0079761C" w:rsidP="00740264">
            <w:pPr>
              <w:rPr>
                <w:rFonts w:cs="Arial"/>
              </w:rPr>
            </w:pPr>
            <w:r>
              <w:rPr>
                <w:rFonts w:cs="Arial"/>
              </w:rPr>
              <w:t>TB</w:t>
            </w:r>
          </w:p>
        </w:tc>
      </w:tr>
      <w:tr w:rsidR="00F5709E" w:rsidRPr="00B271DB" w14:paraId="187C0205" w14:textId="77777777" w:rsidTr="00740264">
        <w:trPr>
          <w:trHeight w:val="461"/>
        </w:trPr>
        <w:tc>
          <w:tcPr>
            <w:tcW w:w="4320" w:type="dxa"/>
            <w:shd w:val="clear" w:color="auto" w:fill="F2F2F2" w:themeFill="background1" w:themeFillShade="F2"/>
            <w:vAlign w:val="center"/>
          </w:tcPr>
          <w:p w14:paraId="314B42BD" w14:textId="77777777" w:rsidR="00F5709E" w:rsidRPr="00B271DB" w:rsidRDefault="00F5709E" w:rsidP="00740264">
            <w:pPr>
              <w:rPr>
                <w:rFonts w:cs="Arial"/>
                <w:b/>
              </w:rPr>
            </w:pPr>
            <w:r w:rsidRPr="00B271DB">
              <w:rPr>
                <w:b/>
                <w:bCs/>
              </w:rPr>
              <w:t>Planned grant(s) start date</w:t>
            </w:r>
            <w:r>
              <w:rPr>
                <w:b/>
                <w:bCs/>
              </w:rPr>
              <w:t>(s)</w:t>
            </w:r>
          </w:p>
        </w:tc>
        <w:tc>
          <w:tcPr>
            <w:tcW w:w="5472" w:type="dxa"/>
          </w:tcPr>
          <w:p w14:paraId="2F4C2D8B" w14:textId="126AAB94" w:rsidR="00F5709E" w:rsidRPr="00B271DB" w:rsidRDefault="0079761C" w:rsidP="00740264">
            <w:pPr>
              <w:rPr>
                <w:rFonts w:cs="Arial"/>
              </w:rPr>
            </w:pPr>
            <w:r>
              <w:rPr>
                <w:rFonts w:cs="Arial"/>
              </w:rPr>
              <w:t>01 January 2023</w:t>
            </w:r>
          </w:p>
        </w:tc>
      </w:tr>
      <w:tr w:rsidR="00F5709E" w:rsidRPr="00B271DB" w14:paraId="600C51E2" w14:textId="77777777" w:rsidTr="00740264">
        <w:trPr>
          <w:trHeight w:val="461"/>
        </w:trPr>
        <w:tc>
          <w:tcPr>
            <w:tcW w:w="4320" w:type="dxa"/>
            <w:shd w:val="clear" w:color="auto" w:fill="F2F2F2" w:themeFill="background1" w:themeFillShade="F2"/>
            <w:vAlign w:val="center"/>
          </w:tcPr>
          <w:p w14:paraId="68662918" w14:textId="77777777" w:rsidR="00F5709E" w:rsidRPr="00B271DB" w:rsidRDefault="00F5709E" w:rsidP="00740264">
            <w:pPr>
              <w:rPr>
                <w:rFonts w:cs="Arial"/>
                <w:b/>
              </w:rPr>
            </w:pPr>
            <w:r w:rsidRPr="00B271DB">
              <w:rPr>
                <w:b/>
                <w:bCs/>
              </w:rPr>
              <w:t>Planned grant(s) end date</w:t>
            </w:r>
            <w:r>
              <w:rPr>
                <w:b/>
                <w:bCs/>
              </w:rPr>
              <w:t>(s)</w:t>
            </w:r>
          </w:p>
        </w:tc>
        <w:tc>
          <w:tcPr>
            <w:tcW w:w="5472" w:type="dxa"/>
          </w:tcPr>
          <w:p w14:paraId="32436F29" w14:textId="71CD7DAC" w:rsidR="00F5709E" w:rsidRPr="00B271DB" w:rsidRDefault="0079761C" w:rsidP="00740264">
            <w:pPr>
              <w:rPr>
                <w:rFonts w:cs="Arial"/>
              </w:rPr>
            </w:pPr>
            <w:r>
              <w:rPr>
                <w:rFonts w:cs="Arial"/>
              </w:rPr>
              <w:t>31 December 2025</w:t>
            </w:r>
          </w:p>
        </w:tc>
      </w:tr>
      <w:tr w:rsidR="00F5709E" w:rsidRPr="00B271DB" w14:paraId="0AD254AE" w14:textId="77777777" w:rsidTr="00740264">
        <w:trPr>
          <w:trHeight w:val="461"/>
        </w:trPr>
        <w:tc>
          <w:tcPr>
            <w:tcW w:w="4320" w:type="dxa"/>
            <w:shd w:val="clear" w:color="auto" w:fill="F2F2F2" w:themeFill="background1" w:themeFillShade="F2"/>
            <w:vAlign w:val="center"/>
          </w:tcPr>
          <w:p w14:paraId="53AE2AB6" w14:textId="77777777" w:rsidR="00F5709E" w:rsidRPr="00B271DB" w:rsidRDefault="00F5709E" w:rsidP="00740264">
            <w:pPr>
              <w:rPr>
                <w:rFonts w:cs="Arial"/>
                <w:b/>
              </w:rPr>
            </w:pPr>
            <w:r w:rsidRPr="00B271DB">
              <w:rPr>
                <w:b/>
                <w:bCs/>
              </w:rPr>
              <w:t>Principal Recipient</w:t>
            </w:r>
            <w:r>
              <w:rPr>
                <w:b/>
                <w:bCs/>
              </w:rPr>
              <w:t>(s)</w:t>
            </w:r>
            <w:r w:rsidRPr="00B271DB">
              <w:rPr>
                <w:b/>
                <w:bCs/>
              </w:rPr>
              <w:t xml:space="preserve"> </w:t>
            </w:r>
          </w:p>
        </w:tc>
        <w:tc>
          <w:tcPr>
            <w:tcW w:w="5472" w:type="dxa"/>
          </w:tcPr>
          <w:p w14:paraId="5BA95943" w14:textId="6B1DAE15" w:rsidR="00F5709E" w:rsidRPr="00B271DB" w:rsidRDefault="0079761C" w:rsidP="00740264">
            <w:pPr>
              <w:rPr>
                <w:rFonts w:cs="Arial"/>
              </w:rPr>
            </w:pPr>
            <w:r w:rsidRPr="00A12359">
              <w:rPr>
                <w:rFonts w:cs="Arial"/>
              </w:rPr>
              <w:t xml:space="preserve">National Scientific Center of Phthisiopulmonology </w:t>
            </w:r>
            <w:r>
              <w:rPr>
                <w:rFonts w:cs="Arial"/>
              </w:rPr>
              <w:t>(NSCP)</w:t>
            </w:r>
          </w:p>
        </w:tc>
      </w:tr>
      <w:tr w:rsidR="00F5709E" w:rsidRPr="00B271DB" w14:paraId="4C4543EA" w14:textId="77777777" w:rsidTr="00740264">
        <w:trPr>
          <w:trHeight w:val="461"/>
        </w:trPr>
        <w:tc>
          <w:tcPr>
            <w:tcW w:w="4320" w:type="dxa"/>
            <w:shd w:val="clear" w:color="auto" w:fill="F2F2F2" w:themeFill="background1" w:themeFillShade="F2"/>
            <w:vAlign w:val="center"/>
          </w:tcPr>
          <w:p w14:paraId="42075BEC" w14:textId="77777777" w:rsidR="00F5709E" w:rsidRPr="00B271DB" w:rsidRDefault="00F5709E" w:rsidP="00740264">
            <w:pPr>
              <w:rPr>
                <w:rFonts w:cs="Arial"/>
                <w:b/>
              </w:rPr>
            </w:pPr>
            <w:r w:rsidRPr="00B271DB">
              <w:rPr>
                <w:b/>
                <w:bCs/>
              </w:rPr>
              <w:t>Currency</w:t>
            </w:r>
          </w:p>
        </w:tc>
        <w:tc>
          <w:tcPr>
            <w:tcW w:w="5472" w:type="dxa"/>
          </w:tcPr>
          <w:p w14:paraId="2F5E35DE" w14:textId="735B21BF" w:rsidR="00F5709E" w:rsidRPr="00B271DB" w:rsidRDefault="0079761C" w:rsidP="00740264">
            <w:pPr>
              <w:rPr>
                <w:rFonts w:cs="Arial"/>
              </w:rPr>
            </w:pPr>
            <w:r>
              <w:rPr>
                <w:rFonts w:cs="Arial"/>
              </w:rPr>
              <w:t>US$</w:t>
            </w:r>
          </w:p>
        </w:tc>
      </w:tr>
      <w:tr w:rsidR="00F5709E" w:rsidRPr="00B271DB" w14:paraId="5875766C" w14:textId="77777777" w:rsidTr="00740264">
        <w:trPr>
          <w:trHeight w:val="461"/>
        </w:trPr>
        <w:tc>
          <w:tcPr>
            <w:tcW w:w="4320" w:type="dxa"/>
            <w:shd w:val="clear" w:color="auto" w:fill="F2F2F2" w:themeFill="background1" w:themeFillShade="F2"/>
            <w:vAlign w:val="center"/>
          </w:tcPr>
          <w:p w14:paraId="184B3FAD" w14:textId="77777777" w:rsidR="00F5709E" w:rsidRPr="00B271DB" w:rsidRDefault="00F5709E" w:rsidP="00740264">
            <w:pPr>
              <w:rPr>
                <w:rFonts w:cs="Arial"/>
                <w:b/>
              </w:rPr>
            </w:pPr>
            <w:r w:rsidRPr="00B271DB">
              <w:rPr>
                <w:b/>
                <w:bCs/>
              </w:rPr>
              <w:t>Allocation Funding Request Amount</w:t>
            </w:r>
          </w:p>
        </w:tc>
        <w:tc>
          <w:tcPr>
            <w:tcW w:w="5472" w:type="dxa"/>
          </w:tcPr>
          <w:p w14:paraId="19D69742" w14:textId="589FBED4" w:rsidR="00F5709E" w:rsidRPr="00B271DB" w:rsidRDefault="00ED6DEC" w:rsidP="00740264">
            <w:pPr>
              <w:rPr>
                <w:rFonts w:cs="Arial"/>
              </w:rPr>
            </w:pPr>
            <w:r>
              <w:rPr>
                <w:rFonts w:cs="Arial"/>
                <w:highlight w:val="green"/>
              </w:rPr>
              <w:t>The final data to be added</w:t>
            </w:r>
          </w:p>
        </w:tc>
      </w:tr>
      <w:tr w:rsidR="00007BFF" w:rsidRPr="00B271DB" w14:paraId="464BB29D" w14:textId="77777777" w:rsidTr="00740264">
        <w:trPr>
          <w:trHeight w:val="461"/>
        </w:trPr>
        <w:tc>
          <w:tcPr>
            <w:tcW w:w="4320" w:type="dxa"/>
            <w:shd w:val="clear" w:color="auto" w:fill="F2F2F2" w:themeFill="background1" w:themeFillShade="F2"/>
            <w:vAlign w:val="center"/>
          </w:tcPr>
          <w:p w14:paraId="2D4CF6F6" w14:textId="7E462703" w:rsidR="00007BFF" w:rsidRPr="00B271DB" w:rsidRDefault="00F5709E" w:rsidP="00740264">
            <w:pPr>
              <w:rPr>
                <w:rFonts w:cs="Arial"/>
                <w:b/>
              </w:rPr>
            </w:pPr>
            <w:r w:rsidRPr="00B271DB">
              <w:rPr>
                <w:b/>
                <w:bCs/>
              </w:rPr>
              <w:t>Prioritized Above Allocation Request (PAAR) Amount</w:t>
            </w:r>
            <w:bookmarkEnd w:id="0"/>
            <w:r w:rsidR="00007BFF" w:rsidRPr="00B271DB">
              <w:rPr>
                <w:rStyle w:val="af"/>
                <w:b/>
                <w:bCs/>
              </w:rPr>
              <w:footnoteReference w:id="2"/>
            </w:r>
            <w:r w:rsidR="00007BFF">
              <w:rPr>
                <w:b/>
                <w:bCs/>
              </w:rPr>
              <w:t xml:space="preserve"> </w:t>
            </w:r>
          </w:p>
        </w:tc>
        <w:tc>
          <w:tcPr>
            <w:tcW w:w="5472" w:type="dxa"/>
          </w:tcPr>
          <w:p w14:paraId="7CAAFA27" w14:textId="57335E0A" w:rsidR="00007BFF" w:rsidRPr="00B271DB" w:rsidRDefault="00ED6DEC" w:rsidP="00740264">
            <w:pPr>
              <w:rPr>
                <w:rFonts w:cs="Arial"/>
              </w:rPr>
            </w:pPr>
            <w:r w:rsidRPr="00AA1879">
              <w:rPr>
                <w:rFonts w:cs="Arial"/>
                <w:highlight w:val="green"/>
              </w:rPr>
              <w:t>The final data to be added</w:t>
            </w:r>
          </w:p>
        </w:tc>
      </w:tr>
      <w:tr w:rsidR="00007BFF" w:rsidRPr="00B271DB" w14:paraId="356F7A0D" w14:textId="77777777" w:rsidTr="00740264">
        <w:trPr>
          <w:trHeight w:val="461"/>
        </w:trPr>
        <w:tc>
          <w:tcPr>
            <w:tcW w:w="4320" w:type="dxa"/>
            <w:shd w:val="clear" w:color="auto" w:fill="F2F2F2" w:themeFill="background1" w:themeFillShade="F2"/>
            <w:vAlign w:val="center"/>
          </w:tcPr>
          <w:p w14:paraId="61100208" w14:textId="77777777" w:rsidR="00007BFF" w:rsidRDefault="00007BFF" w:rsidP="00740264">
            <w:pPr>
              <w:spacing w:after="0"/>
              <w:rPr>
                <w:b/>
                <w:bCs/>
              </w:rPr>
            </w:pPr>
            <w:r w:rsidRPr="00B271DB">
              <w:rPr>
                <w:b/>
                <w:bCs/>
              </w:rPr>
              <w:t>Matching Funds</w:t>
            </w:r>
            <w:r>
              <w:rPr>
                <w:b/>
                <w:bCs/>
              </w:rPr>
              <w:t xml:space="preserve"> Request</w:t>
            </w:r>
            <w:r w:rsidRPr="00B271DB">
              <w:rPr>
                <w:b/>
                <w:bCs/>
              </w:rPr>
              <w:t xml:space="preserve"> Amount</w:t>
            </w:r>
            <w:r>
              <w:rPr>
                <w:rStyle w:val="af"/>
                <w:b/>
                <w:bCs/>
              </w:rPr>
              <w:footnoteReference w:id="3"/>
            </w:r>
            <w:r>
              <w:rPr>
                <w:b/>
                <w:bCs/>
              </w:rPr>
              <w:t xml:space="preserve"> </w:t>
            </w:r>
          </w:p>
          <w:p w14:paraId="3E2AD44F" w14:textId="77777777" w:rsidR="00007BFF" w:rsidRPr="00890D60" w:rsidRDefault="00007BFF" w:rsidP="00740264">
            <w:pPr>
              <w:rPr>
                <w:rFonts w:cs="Arial"/>
              </w:rPr>
            </w:pPr>
            <w:r w:rsidRPr="00890D60">
              <w:rPr>
                <w:bCs/>
              </w:rPr>
              <w:t>(</w:t>
            </w:r>
            <w:proofErr w:type="gramStart"/>
            <w:r w:rsidRPr="00890D60">
              <w:rPr>
                <w:bCs/>
              </w:rPr>
              <w:t>if</w:t>
            </w:r>
            <w:proofErr w:type="gramEnd"/>
            <w:r w:rsidRPr="00890D60">
              <w:rPr>
                <w:bCs/>
              </w:rPr>
              <w:t xml:space="preserve"> applicable)</w:t>
            </w:r>
          </w:p>
        </w:tc>
        <w:tc>
          <w:tcPr>
            <w:tcW w:w="5472" w:type="dxa"/>
          </w:tcPr>
          <w:p w14:paraId="0C1FA7A7" w14:textId="0632073A" w:rsidR="00007BFF" w:rsidRPr="00B271DB" w:rsidRDefault="0079761C" w:rsidP="00740264">
            <w:pPr>
              <w:rPr>
                <w:rFonts w:cs="Arial"/>
              </w:rPr>
            </w:pPr>
            <w:r>
              <w:rPr>
                <w:rFonts w:cs="Arial"/>
              </w:rPr>
              <w:t>Not applicable</w:t>
            </w:r>
          </w:p>
        </w:tc>
      </w:tr>
    </w:tbl>
    <w:p w14:paraId="32848ED4" w14:textId="10D69B93" w:rsidR="00007BFF" w:rsidRDefault="00007BFF" w:rsidP="00F5709E">
      <w:pPr>
        <w:spacing w:after="0"/>
        <w:rPr>
          <w:rStyle w:val="10"/>
          <w:color w:val="1E1E1E" w:themeColor="background2"/>
        </w:rPr>
      </w:pPr>
    </w:p>
    <w:p w14:paraId="141AFFEB" w14:textId="68DBD69B" w:rsidR="00007BFF" w:rsidRDefault="00007BFF" w:rsidP="00F5709E">
      <w:pPr>
        <w:spacing w:after="0"/>
        <w:rPr>
          <w:rStyle w:val="10"/>
          <w:color w:val="1E1E1E" w:themeColor="background2"/>
        </w:rPr>
      </w:pPr>
    </w:p>
    <w:p w14:paraId="32CD72B3" w14:textId="1A0985E6" w:rsidR="00007BFF" w:rsidRDefault="00007BFF" w:rsidP="00F5709E">
      <w:pPr>
        <w:spacing w:after="0"/>
        <w:rPr>
          <w:rStyle w:val="10"/>
          <w:color w:val="1E1E1E" w:themeColor="background2"/>
        </w:rPr>
      </w:pPr>
    </w:p>
    <w:p w14:paraId="0E1ACD44" w14:textId="2DDA8342" w:rsidR="00007BFF" w:rsidRPr="00B271DB" w:rsidRDefault="00007BFF" w:rsidP="00F5709E">
      <w:pPr>
        <w:spacing w:after="0"/>
        <w:jc w:val="center"/>
        <w:rPr>
          <w:rFonts w:cs="Arial"/>
          <w:i/>
          <w:iCs/>
        </w:rPr>
      </w:pPr>
      <w:r w:rsidRPr="009F52F1">
        <w:rPr>
          <w:noProof/>
        </w:rPr>
        <w:drawing>
          <wp:inline distT="0" distB="0" distL="0" distR="0" wp14:anchorId="32EA3BCA" wp14:editId="5F0492CA">
            <wp:extent cx="2700000" cy="328154"/>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945991581" name="Picture 1"/>
                    <pic:cNvPicPr/>
                  </pic:nvPicPr>
                  <pic:blipFill>
                    <a:blip r:embed="rId14"/>
                    <a:srcRect/>
                    <a:stretch/>
                  </pic:blipFill>
                  <pic:spPr>
                    <a:xfrm>
                      <a:off x="0" y="0"/>
                      <a:ext cx="2700000" cy="328154"/>
                    </a:xfrm>
                    <a:prstGeom prst="rect">
                      <a:avLst/>
                    </a:prstGeom>
                  </pic:spPr>
                </pic:pic>
              </a:graphicData>
            </a:graphic>
          </wp:inline>
        </w:drawing>
      </w:r>
    </w:p>
    <w:p w14:paraId="7467D48D" w14:textId="77777777" w:rsidR="00007BFF" w:rsidRDefault="00007BFF">
      <w:pPr>
        <w:spacing w:after="160" w:line="0" w:lineRule="auto"/>
        <w:rPr>
          <w:rFonts w:eastAsiaTheme="majorEastAsia" w:cs="Arial"/>
          <w:bCs/>
          <w:noProof/>
          <w:sz w:val="36"/>
          <w:szCs w:val="30"/>
          <w:highlight w:val="lightGray"/>
        </w:rPr>
      </w:pPr>
      <w:r>
        <w:rPr>
          <w:highlight w:val="lightGray"/>
        </w:rPr>
        <w:br w:type="page"/>
      </w:r>
    </w:p>
    <w:p w14:paraId="52502048" w14:textId="0CCCBA79" w:rsidR="00007BFF" w:rsidRPr="003860E7" w:rsidRDefault="00007BFF" w:rsidP="00824D66">
      <w:pPr>
        <w:pStyle w:val="1"/>
        <w:numPr>
          <w:ilvl w:val="0"/>
          <w:numId w:val="0"/>
        </w:numPr>
        <w:pBdr>
          <w:top w:val="single" w:sz="6" w:space="1" w:color="D9D9D9" w:themeColor="background1" w:themeShade="D9"/>
          <w:left w:val="single" w:sz="6" w:space="4" w:color="D9D9D9" w:themeColor="background1" w:themeShade="D9"/>
          <w:bottom w:val="single" w:sz="6" w:space="1" w:color="D9D9D9" w:themeColor="background1" w:themeShade="D9"/>
          <w:right w:val="single" w:sz="6" w:space="4" w:color="D9D9D9" w:themeColor="background1" w:themeShade="D9"/>
        </w:pBdr>
        <w:shd w:val="clear" w:color="auto" w:fill="D9D9D9" w:themeFill="background1" w:themeFillShade="D9"/>
        <w:spacing w:before="0" w:after="120"/>
        <w:ind w:left="567" w:hanging="567"/>
        <w:rPr>
          <w:b/>
          <w:sz w:val="30"/>
        </w:rPr>
      </w:pPr>
      <w:r>
        <w:rPr>
          <w:b/>
          <w:sz w:val="30"/>
        </w:rPr>
        <w:lastRenderedPageBreak/>
        <w:t xml:space="preserve">Section 1: </w:t>
      </w:r>
      <w:r w:rsidRPr="00F25018">
        <w:rPr>
          <w:b/>
          <w:sz w:val="30"/>
        </w:rPr>
        <w:t>Funding Request and Prioritization</w:t>
      </w:r>
    </w:p>
    <w:p w14:paraId="7A8EB95A" w14:textId="62130BDB" w:rsidR="00007BFF" w:rsidRPr="008C21CF" w:rsidRDefault="00007BFF" w:rsidP="00027195">
      <w:pPr>
        <w:spacing w:after="0" w:line="240" w:lineRule="auto"/>
        <w:jc w:val="both"/>
        <w:textAlignment w:val="baseline"/>
        <w:rPr>
          <w:rFonts w:ascii="Segoe UI" w:eastAsia="Times New Roman" w:hAnsi="Segoe UI" w:cs="Segoe UI"/>
        </w:rPr>
      </w:pPr>
      <w:r w:rsidRPr="00BF4BEE">
        <w:rPr>
          <w:rFonts w:eastAsia="Times New Roman" w:cs="Arial"/>
        </w:rPr>
        <w:t xml:space="preserve">To </w:t>
      </w:r>
      <w:r>
        <w:rPr>
          <w:rFonts w:eastAsia="Times New Roman" w:cs="Arial"/>
        </w:rPr>
        <w:t>respond to the questions below</w:t>
      </w:r>
      <w:r w:rsidRPr="00BF4BEE">
        <w:rPr>
          <w:rFonts w:eastAsia="Times New Roman" w:cs="Arial"/>
        </w:rPr>
        <w:t xml:space="preserve">, </w:t>
      </w:r>
      <w:r>
        <w:rPr>
          <w:rFonts w:eastAsia="Times New Roman" w:cs="Arial"/>
        </w:rPr>
        <w:t xml:space="preserve">refer to the </w:t>
      </w:r>
      <w:r w:rsidRPr="00664D00">
        <w:rPr>
          <w:rFonts w:eastAsia="Times New Roman" w:cs="Arial"/>
          <w:i/>
          <w:iCs/>
        </w:rPr>
        <w:t>Instructions</w:t>
      </w:r>
      <w:r>
        <w:rPr>
          <w:rFonts w:eastAsia="Times New Roman" w:cs="Arial"/>
        </w:rPr>
        <w:t>, as well as</w:t>
      </w:r>
      <w:r w:rsidRPr="00BF4BEE">
        <w:rPr>
          <w:rFonts w:eastAsia="Times New Roman" w:cs="Arial"/>
        </w:rPr>
        <w:t xml:space="preserve"> national </w:t>
      </w:r>
      <w:r>
        <w:rPr>
          <w:rFonts w:eastAsia="Times New Roman" w:cs="Arial"/>
        </w:rPr>
        <w:t>strategy</w:t>
      </w:r>
      <w:r w:rsidRPr="00BF4BEE">
        <w:rPr>
          <w:rFonts w:eastAsia="Times New Roman" w:cs="Arial"/>
        </w:rPr>
        <w:t xml:space="preserve"> documents</w:t>
      </w:r>
      <w:r>
        <w:rPr>
          <w:rFonts w:eastAsia="Times New Roman" w:cs="Arial"/>
        </w:rPr>
        <w:t>,</w:t>
      </w:r>
      <w:r w:rsidRPr="00BF4BEE">
        <w:rPr>
          <w:rFonts w:eastAsia="Times New Roman" w:cs="Arial"/>
        </w:rPr>
        <w:t xml:space="preserve"> </w:t>
      </w:r>
      <w:r w:rsidRPr="00BF4BEE">
        <w:rPr>
          <w:rFonts w:eastAsia="Times New Roman" w:cs="Arial"/>
          <w:b/>
          <w:bCs/>
        </w:rPr>
        <w:t xml:space="preserve">Programmatic Gap Table(s), Funding Landscape Table(s), Performance Framework, </w:t>
      </w:r>
      <w:proofErr w:type="gramStart"/>
      <w:r w:rsidRPr="00BF4BEE">
        <w:rPr>
          <w:rFonts w:eastAsia="Times New Roman" w:cs="Arial"/>
          <w:b/>
          <w:bCs/>
        </w:rPr>
        <w:t>Budget</w:t>
      </w:r>
      <w:proofErr w:type="gramEnd"/>
      <w:r w:rsidRPr="00BF4BEE">
        <w:rPr>
          <w:rFonts w:eastAsia="Times New Roman" w:cs="Arial"/>
          <w:b/>
          <w:bCs/>
        </w:rPr>
        <w:t xml:space="preserve"> and Essential Data Table(s)</w:t>
      </w:r>
      <w:r w:rsidRPr="00BF4BEE">
        <w:rPr>
          <w:rFonts w:eastAsia="Times New Roman" w:cs="Arial"/>
        </w:rPr>
        <w:t>.  </w:t>
      </w:r>
    </w:p>
    <w:p w14:paraId="3E738F92" w14:textId="3BEE3578" w:rsidR="00007BFF" w:rsidRPr="00B271DB" w:rsidRDefault="00007BFF" w:rsidP="00485066">
      <w:pPr>
        <w:spacing w:after="0" w:line="240" w:lineRule="auto"/>
        <w:rPr>
          <w:rFonts w:cs="Arial"/>
          <w:szCs w:val="20"/>
        </w:rPr>
      </w:pPr>
      <w:r>
        <w:rPr>
          <w:rStyle w:val="eop"/>
          <w:rFonts w:cs="Arial"/>
        </w:rPr>
        <w:t> </w:t>
      </w:r>
    </w:p>
    <w:p w14:paraId="725798D2" w14:textId="4325C6E0" w:rsidR="00007BFF" w:rsidRPr="00B271DB" w:rsidRDefault="00007BFF" w:rsidP="00485066">
      <w:pPr>
        <w:pStyle w:val="21"/>
        <w:numPr>
          <w:ilvl w:val="1"/>
          <w:numId w:val="18"/>
        </w:numPr>
        <w:shd w:val="clear" w:color="auto" w:fill="D9D9D9" w:themeFill="background1" w:themeFillShade="D9"/>
        <w:spacing w:before="0" w:after="0" w:line="240" w:lineRule="auto"/>
        <w:rPr>
          <w:b w:val="0"/>
          <w:szCs w:val="20"/>
        </w:rPr>
      </w:pPr>
      <w:r>
        <w:rPr>
          <w:szCs w:val="20"/>
        </w:rPr>
        <w:t>Overall Context and Funding Priorities</w:t>
      </w:r>
    </w:p>
    <w:p w14:paraId="258EA6C1" w14:textId="77777777" w:rsidR="00007BFF" w:rsidRPr="00B271DB" w:rsidRDefault="00007BFF" w:rsidP="008C21CF">
      <w:pPr>
        <w:spacing w:after="0"/>
        <w:rPr>
          <w:rFonts w:cs="Arial"/>
          <w:bCs/>
        </w:rPr>
      </w:pPr>
    </w:p>
    <w:p w14:paraId="787CA4B2" w14:textId="3F7EB6CB" w:rsidR="00007BFF" w:rsidRPr="004619FD" w:rsidRDefault="00007BFF" w:rsidP="008C21CF">
      <w:pPr>
        <w:pStyle w:val="paragraph"/>
        <w:spacing w:before="0" w:beforeAutospacing="0" w:after="0" w:afterAutospacing="0"/>
        <w:jc w:val="both"/>
        <w:textAlignment w:val="baseline"/>
        <w:rPr>
          <w:rFonts w:asciiTheme="minorHAnsi" w:hAnsiTheme="minorHAnsi" w:cstheme="minorHAnsi"/>
          <w:sz w:val="22"/>
          <w:szCs w:val="22"/>
        </w:rPr>
      </w:pPr>
      <w:r w:rsidRPr="004619FD">
        <w:rPr>
          <w:rStyle w:val="normaltextrun"/>
          <w:rFonts w:asciiTheme="minorHAnsi" w:hAnsiTheme="minorHAnsi" w:cstheme="minorHAnsi"/>
          <w:sz w:val="22"/>
          <w:szCs w:val="22"/>
        </w:rPr>
        <w:t xml:space="preserve">a) </w:t>
      </w:r>
      <w:r>
        <w:rPr>
          <w:rStyle w:val="normaltextrun"/>
          <w:rFonts w:asciiTheme="minorHAnsi" w:hAnsiTheme="minorHAnsi" w:cstheme="minorHAnsi"/>
          <w:sz w:val="22"/>
          <w:szCs w:val="22"/>
        </w:rPr>
        <w:t>Highlight the</w:t>
      </w:r>
      <w:r w:rsidRPr="004619FD">
        <w:rPr>
          <w:rStyle w:val="normaltextrun"/>
          <w:rFonts w:asciiTheme="minorHAnsi" w:hAnsiTheme="minorHAnsi" w:cstheme="minorHAnsi"/>
          <w:sz w:val="22"/>
          <w:szCs w:val="22"/>
        </w:rPr>
        <w:t xml:space="preserve"> critical elements of the </w:t>
      </w:r>
      <w:r w:rsidRPr="00B74DAA">
        <w:rPr>
          <w:rStyle w:val="normaltextrun"/>
          <w:rFonts w:asciiTheme="minorHAnsi" w:hAnsiTheme="minorHAnsi" w:cstheme="minorHAnsi"/>
          <w:b/>
          <w:sz w:val="22"/>
          <w:szCs w:val="22"/>
        </w:rPr>
        <w:t>country context</w:t>
      </w:r>
      <w:r w:rsidRPr="004619FD">
        <w:rPr>
          <w:rStyle w:val="normaltextrun"/>
          <w:rFonts w:asciiTheme="minorHAnsi" w:hAnsiTheme="minorHAnsi" w:cstheme="minorHAnsi"/>
          <w:sz w:val="22"/>
          <w:szCs w:val="22"/>
        </w:rPr>
        <w:t xml:space="preserve"> that informed the development of this funding request</w:t>
      </w:r>
      <w:r>
        <w:rPr>
          <w:rStyle w:val="eop"/>
          <w:rFonts w:asciiTheme="minorHAnsi" w:hAnsiTheme="minorHAnsi" w:cstheme="minorHAnsi"/>
          <w:sz w:val="22"/>
          <w:szCs w:val="22"/>
        </w:rPr>
        <w:t xml:space="preserve">, including key and/or vulnerable populations, human </w:t>
      </w:r>
      <w:proofErr w:type="gramStart"/>
      <w:r>
        <w:rPr>
          <w:rStyle w:val="eop"/>
          <w:rFonts w:asciiTheme="minorHAnsi" w:hAnsiTheme="minorHAnsi" w:cstheme="minorHAnsi"/>
          <w:sz w:val="22"/>
          <w:szCs w:val="22"/>
        </w:rPr>
        <w:t>rights</w:t>
      </w:r>
      <w:proofErr w:type="gramEnd"/>
      <w:r>
        <w:rPr>
          <w:rStyle w:val="eop"/>
          <w:rFonts w:asciiTheme="minorHAnsi" w:hAnsiTheme="minorHAnsi" w:cstheme="minorHAnsi"/>
          <w:sz w:val="22"/>
          <w:szCs w:val="22"/>
        </w:rPr>
        <w:t xml:space="preserve"> and gender considerations. </w:t>
      </w:r>
    </w:p>
    <w:p w14:paraId="6C9FF455" w14:textId="6938CC81" w:rsidR="00007BFF" w:rsidRPr="00B271DB" w:rsidRDefault="00007BFF" w:rsidP="00633BBC">
      <w:pPr>
        <w:pStyle w:val="paragraph"/>
        <w:spacing w:before="0" w:beforeAutospacing="0" w:after="0" w:afterAutospacing="0"/>
        <w:jc w:val="both"/>
        <w:textAlignment w:val="baseline"/>
        <w:rPr>
          <w:rFonts w:eastAsia="Calibri" w:cs="Arial"/>
        </w:rPr>
      </w:pPr>
    </w:p>
    <w:p w14:paraId="4BBCA897" w14:textId="77777777" w:rsidR="00007BFF" w:rsidRDefault="00007BFF" w:rsidP="001940C1">
      <w:pPr>
        <w:rPr>
          <w:rFonts w:asciiTheme="majorHAnsi" w:hAnsiTheme="majorHAnsi" w:cstheme="majorHAnsi"/>
          <w:b/>
        </w:rPr>
        <w:sectPr w:rsidR="00007BFF" w:rsidSect="00F5709E">
          <w:footerReference w:type="default" r:id="rId15"/>
          <w:footerReference w:type="first" r:id="rId16"/>
          <w:pgSz w:w="11906" w:h="16838" w:code="9"/>
          <w:pgMar w:top="720" w:right="720" w:bottom="720" w:left="720" w:header="720" w:footer="288" w:gutter="0"/>
          <w:cols w:space="720"/>
          <w:titlePg/>
          <w:docGrid w:linePitch="360"/>
        </w:sectPr>
      </w:pPr>
    </w:p>
    <w:p w14:paraId="52181ACB" w14:textId="77777777" w:rsidR="00007BFF" w:rsidRDefault="00007BFF" w:rsidP="001940C1">
      <w:pPr>
        <w:rPr>
          <w:rFonts w:asciiTheme="majorHAnsi" w:hAnsiTheme="majorHAnsi" w:cstheme="majorHAnsi"/>
          <w:b/>
        </w:rPr>
        <w:sectPr w:rsidR="00007BFF" w:rsidSect="009E45E3">
          <w:type w:val="continuous"/>
          <w:pgSz w:w="11906" w:h="16838" w:code="9"/>
          <w:pgMar w:top="720" w:right="720" w:bottom="720" w:left="720" w:header="720" w:footer="288" w:gutter="0"/>
          <w:cols w:space="720"/>
          <w:titlePg/>
          <w:docGrid w:linePitch="360"/>
        </w:sectPr>
      </w:pPr>
    </w:p>
    <w:tbl>
      <w:tblPr>
        <w:tblStyle w:val="aa"/>
        <w:tblW w:w="10790" w:type="dxa"/>
        <w:tblLayout w:type="fixed"/>
        <w:tblLook w:val="04A0" w:firstRow="1" w:lastRow="0" w:firstColumn="1" w:lastColumn="0" w:noHBand="0" w:noVBand="1"/>
      </w:tblPr>
      <w:tblGrid>
        <w:gridCol w:w="10790"/>
      </w:tblGrid>
      <w:tr w:rsidR="00007BFF" w:rsidRPr="00B271DB" w14:paraId="277B5374" w14:textId="77777777" w:rsidTr="00FC63DC">
        <w:tc>
          <w:tcPr>
            <w:tcW w:w="10790" w:type="dxa"/>
          </w:tcPr>
          <w:p w14:paraId="2FC2CAD9" w14:textId="3034B13A" w:rsidR="00007BFF" w:rsidRPr="009F69F1" w:rsidRDefault="00007BFF" w:rsidP="009F69F1">
            <w:pPr>
              <w:spacing w:before="120" w:line="240" w:lineRule="auto"/>
              <w:rPr>
                <w:rFonts w:asciiTheme="majorHAnsi" w:hAnsiTheme="majorHAnsi" w:cstheme="majorHAnsi"/>
                <w:b/>
                <w:bCs/>
                <w:caps/>
              </w:rPr>
            </w:pPr>
            <w:r w:rsidRPr="009F69F1">
              <w:rPr>
                <w:rFonts w:asciiTheme="majorHAnsi" w:hAnsiTheme="majorHAnsi" w:cstheme="majorHAnsi"/>
                <w:b/>
                <w:bCs/>
                <w:caps/>
              </w:rPr>
              <w:t>Overall context</w:t>
            </w:r>
          </w:p>
          <w:p w14:paraId="3F13E043" w14:textId="0D8976B5" w:rsidR="00007BFF" w:rsidRDefault="00007BFF" w:rsidP="009F69F1">
            <w:pPr>
              <w:widowControl w:val="0"/>
              <w:autoSpaceDE w:val="0"/>
              <w:autoSpaceDN w:val="0"/>
              <w:adjustRightInd w:val="0"/>
              <w:spacing w:after="0" w:line="240" w:lineRule="auto"/>
              <w:jc w:val="both"/>
              <w:rPr>
                <w:rFonts w:asciiTheme="minorHAnsi" w:hAnsiTheme="minorHAnsi" w:cstheme="minorHAnsi"/>
              </w:rPr>
            </w:pPr>
            <w:r w:rsidRPr="009E45E3">
              <w:rPr>
                <w:rFonts w:asciiTheme="majorHAnsi" w:hAnsiTheme="majorHAnsi"/>
              </w:rPr>
              <w:t xml:space="preserve">Kazakhstan is the upper-middle-income country in Central Asia with </w:t>
            </w:r>
            <w:r w:rsidR="002B15D5">
              <w:rPr>
                <w:rFonts w:asciiTheme="majorHAnsi" w:hAnsiTheme="majorHAnsi"/>
              </w:rPr>
              <w:t xml:space="preserve">a </w:t>
            </w:r>
            <w:r w:rsidRPr="009E45E3">
              <w:rPr>
                <w:rFonts w:asciiTheme="majorHAnsi" w:hAnsiTheme="majorHAnsi"/>
              </w:rPr>
              <w:t>gross national income per capita (PPP) of 24,380 based on applicable international dollar value</w:t>
            </w:r>
            <w:r w:rsidRPr="009E45E3">
              <w:rPr>
                <w:vertAlign w:val="superscript"/>
              </w:rPr>
              <w:footnoteReference w:id="4"/>
            </w:r>
            <w:r w:rsidRPr="009E45E3">
              <w:rPr>
                <w:rFonts w:asciiTheme="majorHAnsi" w:hAnsiTheme="majorHAnsi"/>
              </w:rPr>
              <w:t xml:space="preserve"> and </w:t>
            </w:r>
            <w:r w:rsidR="002B15D5">
              <w:rPr>
                <w:rFonts w:asciiTheme="majorHAnsi" w:hAnsiTheme="majorHAnsi"/>
              </w:rPr>
              <w:t xml:space="preserve">a </w:t>
            </w:r>
            <w:r w:rsidRPr="009E45E3">
              <w:rPr>
                <w:rFonts w:asciiTheme="majorHAnsi" w:hAnsiTheme="majorHAnsi"/>
              </w:rPr>
              <w:t xml:space="preserve">population estimated at </w:t>
            </w:r>
            <w:r>
              <w:rPr>
                <w:rFonts w:asciiTheme="majorHAnsi" w:hAnsiTheme="majorHAnsi"/>
              </w:rPr>
              <w:t xml:space="preserve">19.03 </w:t>
            </w:r>
            <w:r w:rsidRPr="009E45E3">
              <w:rPr>
                <w:rFonts w:asciiTheme="majorHAnsi" w:hAnsiTheme="majorHAnsi"/>
              </w:rPr>
              <w:t>million</w:t>
            </w:r>
            <w:r w:rsidRPr="009E45E3">
              <w:rPr>
                <w:vertAlign w:val="superscript"/>
              </w:rPr>
              <w:footnoteReference w:id="5"/>
            </w:r>
            <w:r w:rsidRPr="009E45E3">
              <w:rPr>
                <w:rFonts w:asciiTheme="majorHAnsi" w:hAnsiTheme="majorHAnsi"/>
              </w:rPr>
              <w:t>. It has borders with </w:t>
            </w:r>
            <w:hyperlink r:id="rId17" w:tooltip="Russia" w:history="1">
              <w:r w:rsidRPr="009E45E3">
                <w:rPr>
                  <w:rFonts w:asciiTheme="majorHAnsi" w:hAnsiTheme="majorHAnsi"/>
                </w:rPr>
                <w:t>Russia</w:t>
              </w:r>
            </w:hyperlink>
            <w:r w:rsidRPr="009E45E3">
              <w:rPr>
                <w:rFonts w:asciiTheme="majorHAnsi" w:hAnsiTheme="majorHAnsi"/>
              </w:rPr>
              <w:t> in the north, </w:t>
            </w:r>
            <w:hyperlink r:id="rId18" w:tooltip="China" w:history="1">
              <w:r w:rsidRPr="009E45E3">
                <w:rPr>
                  <w:rFonts w:asciiTheme="majorHAnsi" w:hAnsiTheme="majorHAnsi"/>
                </w:rPr>
                <w:t>China</w:t>
              </w:r>
            </w:hyperlink>
            <w:r w:rsidRPr="009E45E3">
              <w:rPr>
                <w:rFonts w:asciiTheme="majorHAnsi" w:hAnsiTheme="majorHAnsi"/>
              </w:rPr>
              <w:t> in the east, and </w:t>
            </w:r>
            <w:hyperlink r:id="rId19" w:tooltip="Kyrgyzstan" w:history="1">
              <w:r w:rsidRPr="009E45E3">
                <w:rPr>
                  <w:rFonts w:asciiTheme="majorHAnsi" w:hAnsiTheme="majorHAnsi"/>
                </w:rPr>
                <w:t>Kyrgyzstan</w:t>
              </w:r>
            </w:hyperlink>
            <w:r w:rsidRPr="009E45E3">
              <w:rPr>
                <w:rFonts w:asciiTheme="majorHAnsi" w:hAnsiTheme="majorHAnsi"/>
              </w:rPr>
              <w:t>, </w:t>
            </w:r>
            <w:hyperlink r:id="rId20" w:tooltip="Uzbekistan" w:history="1">
              <w:r w:rsidRPr="009E45E3">
                <w:rPr>
                  <w:rFonts w:asciiTheme="majorHAnsi" w:hAnsiTheme="majorHAnsi"/>
                </w:rPr>
                <w:t>Uzbekistan</w:t>
              </w:r>
            </w:hyperlink>
            <w:r w:rsidRPr="009E45E3">
              <w:rPr>
                <w:rFonts w:asciiTheme="majorHAnsi" w:hAnsiTheme="majorHAnsi"/>
              </w:rPr>
              <w:t>, and </w:t>
            </w:r>
            <w:hyperlink r:id="rId21" w:tooltip="Turkmenistan" w:history="1">
              <w:r w:rsidRPr="009E45E3">
                <w:rPr>
                  <w:rFonts w:asciiTheme="majorHAnsi" w:hAnsiTheme="majorHAnsi"/>
                </w:rPr>
                <w:t>Turkmenistan</w:t>
              </w:r>
            </w:hyperlink>
            <w:r w:rsidRPr="009E45E3">
              <w:rPr>
                <w:rFonts w:asciiTheme="majorHAnsi" w:hAnsiTheme="majorHAnsi"/>
              </w:rPr>
              <w:t> in the south. With an area of 2,724,900 square kilometers</w:t>
            </w:r>
            <w:r w:rsidR="00C1000E">
              <w:rPr>
                <w:rFonts w:asciiTheme="majorHAnsi" w:hAnsiTheme="majorHAnsi"/>
              </w:rPr>
              <w:t>,</w:t>
            </w:r>
            <w:r w:rsidRPr="009E45E3">
              <w:rPr>
                <w:rFonts w:asciiTheme="majorHAnsi" w:hAnsiTheme="majorHAnsi"/>
              </w:rPr>
              <w:t xml:space="preserve"> Kazakhstan is the ninth-largest country in the world. </w:t>
            </w:r>
            <w:r>
              <w:rPr>
                <w:rFonts w:asciiTheme="majorHAnsi" w:hAnsiTheme="majorHAnsi" w:cs="Arial"/>
                <w:lang w:val="en-GB"/>
              </w:rPr>
              <w:t>It</w:t>
            </w:r>
            <w:r w:rsidRPr="00F32A36">
              <w:rPr>
                <w:rFonts w:asciiTheme="majorHAnsi" w:hAnsiTheme="majorHAnsi" w:cs="Arial"/>
                <w:lang w:val="en-GB"/>
              </w:rPr>
              <w:t xml:space="preserve"> is administratively</w:t>
            </w:r>
            <w:r w:rsidRPr="00F32A36">
              <w:rPr>
                <w:rFonts w:asciiTheme="majorHAnsi" w:hAnsiTheme="majorHAnsi" w:cs="Arial"/>
              </w:rPr>
              <w:t xml:space="preserve"> </w:t>
            </w:r>
            <w:r w:rsidRPr="00F32A36">
              <w:rPr>
                <w:rFonts w:asciiTheme="majorHAnsi" w:hAnsiTheme="majorHAnsi" w:cs="Arial"/>
                <w:lang w:val="en-GB"/>
              </w:rPr>
              <w:t xml:space="preserve">divided into </w:t>
            </w:r>
            <w:r>
              <w:rPr>
                <w:rFonts w:asciiTheme="majorHAnsi" w:hAnsiTheme="majorHAnsi" w:cs="Arial"/>
              </w:rPr>
              <w:t>fourteen regions</w:t>
            </w:r>
            <w:r w:rsidRPr="00F32A36">
              <w:rPr>
                <w:rFonts w:asciiTheme="majorHAnsi" w:hAnsiTheme="majorHAnsi" w:cs="Arial"/>
              </w:rPr>
              <w:t xml:space="preserve">, </w:t>
            </w:r>
            <w:r>
              <w:rPr>
                <w:rFonts w:asciiTheme="majorHAnsi" w:hAnsiTheme="majorHAnsi" w:cs="Arial"/>
              </w:rPr>
              <w:t>headed by the regional governor and three cities of “republican significance</w:t>
            </w:r>
            <w:r w:rsidRPr="00F32A36">
              <w:rPr>
                <w:rFonts w:asciiTheme="majorHAnsi" w:hAnsiTheme="majorHAnsi" w:cs="Arial"/>
              </w:rPr>
              <w:t>”</w:t>
            </w:r>
            <w:r w:rsidR="008D490F">
              <w:rPr>
                <w:rFonts w:asciiTheme="majorHAnsi" w:hAnsiTheme="majorHAnsi" w:cs="Arial"/>
              </w:rPr>
              <w:t>-</w:t>
            </w:r>
            <w:r w:rsidRPr="00F32A36">
              <w:rPr>
                <w:rFonts w:asciiTheme="majorHAnsi" w:hAnsiTheme="majorHAnsi" w:cs="Arial"/>
              </w:rPr>
              <w:t xml:space="preserve"> A</w:t>
            </w:r>
            <w:r w:rsidR="00FD4235">
              <w:rPr>
                <w:rFonts w:asciiTheme="majorHAnsi" w:hAnsiTheme="majorHAnsi" w:cs="Arial"/>
              </w:rPr>
              <w:t>lmaty, Nur-Sultan and Shimkent</w:t>
            </w:r>
            <w:r>
              <w:rPr>
                <w:rFonts w:asciiTheme="majorHAnsi" w:hAnsiTheme="majorHAnsi" w:cs="Arial"/>
              </w:rPr>
              <w:t xml:space="preserve">. </w:t>
            </w:r>
            <w:r w:rsidRPr="00F32A36">
              <w:rPr>
                <w:rFonts w:asciiTheme="majorHAnsi" w:hAnsiTheme="majorHAnsi" w:cs="Arial"/>
              </w:rPr>
              <w:t>These regions are fur</w:t>
            </w:r>
            <w:r>
              <w:rPr>
                <w:rFonts w:asciiTheme="majorHAnsi" w:hAnsiTheme="majorHAnsi" w:cs="Arial"/>
              </w:rPr>
              <w:t>ther d</w:t>
            </w:r>
            <w:r w:rsidR="00DB5CED">
              <w:rPr>
                <w:rFonts w:asciiTheme="majorHAnsi" w:hAnsiTheme="majorHAnsi" w:cs="Arial"/>
              </w:rPr>
              <w:t xml:space="preserve">ivided into 117 districts with </w:t>
            </w:r>
            <w:r w:rsidR="00036263">
              <w:rPr>
                <w:rFonts w:asciiTheme="majorHAnsi" w:hAnsiTheme="majorHAnsi" w:cs="Arial"/>
              </w:rPr>
              <w:t xml:space="preserve">rural settlements and villages and </w:t>
            </w:r>
            <w:r w:rsidR="00036263" w:rsidRPr="00036263">
              <w:rPr>
                <w:rFonts w:asciiTheme="majorHAnsi" w:eastAsiaTheme="minorEastAsia" w:hAnsiTheme="majorHAnsi" w:cstheme="majorHAnsi"/>
              </w:rPr>
              <w:t xml:space="preserve">vary in their level of socio-economic development, population density, climatic </w:t>
            </w:r>
            <w:proofErr w:type="gramStart"/>
            <w:r w:rsidR="00036263" w:rsidRPr="00036263">
              <w:rPr>
                <w:rFonts w:asciiTheme="majorHAnsi" w:eastAsiaTheme="minorEastAsia" w:hAnsiTheme="majorHAnsi" w:cstheme="majorHAnsi"/>
              </w:rPr>
              <w:t>conditions</w:t>
            </w:r>
            <w:proofErr w:type="gramEnd"/>
            <w:r w:rsidR="00036263" w:rsidRPr="00036263">
              <w:rPr>
                <w:rFonts w:asciiTheme="majorHAnsi" w:eastAsiaTheme="minorEastAsia" w:hAnsiTheme="majorHAnsi" w:cstheme="majorHAnsi"/>
              </w:rPr>
              <w:t xml:space="preserve"> and the degree of urbanization.</w:t>
            </w:r>
            <w:r w:rsidR="00036263">
              <w:rPr>
                <w:rFonts w:asciiTheme="majorHAnsi" w:hAnsiTheme="majorHAnsi" w:cs="Arial"/>
              </w:rPr>
              <w:t xml:space="preserve"> </w:t>
            </w:r>
            <w:r w:rsidRPr="001A2D83">
              <w:rPr>
                <w:rFonts w:asciiTheme="majorHAnsi" w:hAnsiTheme="majorHAnsi"/>
              </w:rPr>
              <w:t xml:space="preserve">The population density </w:t>
            </w:r>
            <w:r w:rsidRPr="0092783D">
              <w:rPr>
                <w:rFonts w:asciiTheme="majorHAnsi" w:hAnsiTheme="majorHAnsi"/>
              </w:rPr>
              <w:t>is</w:t>
            </w:r>
            <w:r w:rsidRPr="001A2D83">
              <w:rPr>
                <w:rFonts w:asciiTheme="majorHAnsi" w:hAnsiTheme="majorHAnsi"/>
              </w:rPr>
              <w:t> 6.9</w:t>
            </w:r>
            <w:r>
              <w:rPr>
                <w:rFonts w:asciiTheme="majorHAnsi" w:hAnsiTheme="majorHAnsi"/>
              </w:rPr>
              <w:t>8</w:t>
            </w:r>
            <w:r w:rsidRPr="0092783D">
              <w:rPr>
                <w:rFonts w:asciiTheme="majorHAnsi" w:hAnsiTheme="majorHAnsi"/>
              </w:rPr>
              <w:t xml:space="preserve"> per </w:t>
            </w:r>
            <w:r w:rsidRPr="001A2D83">
              <w:rPr>
                <w:rFonts w:asciiTheme="majorHAnsi" w:hAnsiTheme="majorHAnsi"/>
              </w:rPr>
              <w:t>s</w:t>
            </w:r>
            <w:r>
              <w:rPr>
                <w:rFonts w:asciiTheme="majorHAnsi" w:hAnsiTheme="majorHAnsi"/>
              </w:rPr>
              <w:t>q. k</w:t>
            </w:r>
            <w:r w:rsidRPr="0092783D">
              <w:rPr>
                <w:rFonts w:asciiTheme="majorHAnsi" w:hAnsiTheme="majorHAnsi"/>
              </w:rPr>
              <w:t>m</w:t>
            </w:r>
            <w:r w:rsidRPr="001A2D83">
              <w:rPr>
                <w:rFonts w:asciiTheme="majorHAnsi" w:hAnsiTheme="majorHAnsi"/>
              </w:rPr>
              <w:t xml:space="preserve"> of land area, </w:t>
            </w:r>
            <w:r>
              <w:rPr>
                <w:rFonts w:asciiTheme="majorHAnsi" w:hAnsiTheme="majorHAnsi"/>
              </w:rPr>
              <w:t>reaching in</w:t>
            </w:r>
            <w:r w:rsidRPr="001A2D83">
              <w:rPr>
                <w:rFonts w:asciiTheme="majorHAnsi" w:hAnsiTheme="majorHAnsi"/>
              </w:rPr>
              <w:t xml:space="preserve"> some region</w:t>
            </w:r>
            <w:r>
              <w:rPr>
                <w:rFonts w:asciiTheme="majorHAnsi" w:hAnsiTheme="majorHAnsi"/>
              </w:rPr>
              <w:t>s 3.0 per sq. k</w:t>
            </w:r>
            <w:r w:rsidRPr="001A2D83">
              <w:rPr>
                <w:rFonts w:asciiTheme="majorHAnsi" w:hAnsiTheme="majorHAnsi"/>
              </w:rPr>
              <w:t>m.</w:t>
            </w:r>
            <w:r>
              <w:rPr>
                <w:rFonts w:asciiTheme="majorHAnsi" w:eastAsia="Times New Roman" w:hAnsiTheme="majorHAnsi" w:cs="Arial"/>
                <w:color w:val="222222"/>
                <w:shd w:val="clear" w:color="auto" w:fill="FFFFFF"/>
              </w:rPr>
              <w:t xml:space="preserve"> </w:t>
            </w:r>
            <w:r>
              <w:rPr>
                <w:rFonts w:asciiTheme="minorHAnsi" w:hAnsiTheme="minorHAnsi" w:cstheme="minorHAnsi"/>
              </w:rPr>
              <w:t>The country</w:t>
            </w:r>
            <w:r w:rsidRPr="009E45E3">
              <w:rPr>
                <w:rFonts w:asciiTheme="minorHAnsi" w:hAnsiTheme="minorHAnsi" w:cstheme="minorHAnsi"/>
              </w:rPr>
              <w:t xml:space="preserve"> experiences an extreme continental climate in most of the territory, with cold winters with temperatures </w:t>
            </w:r>
            <w:r>
              <w:rPr>
                <w:rFonts w:asciiTheme="minorHAnsi" w:hAnsiTheme="minorHAnsi" w:cstheme="minorHAnsi"/>
              </w:rPr>
              <w:t>up to</w:t>
            </w:r>
            <w:r w:rsidRPr="009E45E3">
              <w:rPr>
                <w:rFonts w:asciiTheme="minorHAnsi" w:hAnsiTheme="minorHAnsi" w:cstheme="minorHAnsi"/>
              </w:rPr>
              <w:t xml:space="preserve"> minus 52°C. During </w:t>
            </w:r>
            <w:r w:rsidR="00C1000E">
              <w:rPr>
                <w:rFonts w:asciiTheme="minorHAnsi" w:hAnsiTheme="minorHAnsi" w:cstheme="minorHAnsi"/>
              </w:rPr>
              <w:t xml:space="preserve">the long winter months, </w:t>
            </w:r>
            <w:r w:rsidRPr="009E45E3">
              <w:rPr>
                <w:rFonts w:asciiTheme="minorHAnsi" w:hAnsiTheme="minorHAnsi" w:cstheme="minorHAnsi"/>
              </w:rPr>
              <w:t>transportation within many regions of the country is becoming sharply limited or even closed.</w:t>
            </w:r>
          </w:p>
          <w:p w14:paraId="1624E762" w14:textId="77777777" w:rsidR="006037F1" w:rsidRPr="00036263" w:rsidRDefault="006037F1" w:rsidP="009F69F1">
            <w:pPr>
              <w:widowControl w:val="0"/>
              <w:autoSpaceDE w:val="0"/>
              <w:autoSpaceDN w:val="0"/>
              <w:adjustRightInd w:val="0"/>
              <w:spacing w:after="0" w:line="240" w:lineRule="auto"/>
              <w:jc w:val="both"/>
              <w:rPr>
                <w:rFonts w:asciiTheme="majorHAnsi" w:hAnsiTheme="majorHAnsi" w:cs="Arial"/>
              </w:rPr>
            </w:pPr>
          </w:p>
          <w:p w14:paraId="21C43347" w14:textId="0362EC7C" w:rsidR="009F69F1" w:rsidRPr="00517EF3" w:rsidRDefault="00007BFF" w:rsidP="00517EF3">
            <w:pPr>
              <w:widowControl w:val="0"/>
              <w:autoSpaceDE w:val="0"/>
              <w:autoSpaceDN w:val="0"/>
              <w:adjustRightInd w:val="0"/>
              <w:spacing w:after="0" w:line="240" w:lineRule="auto"/>
              <w:jc w:val="both"/>
              <w:rPr>
                <w:rFonts w:asciiTheme="majorHAnsi" w:hAnsiTheme="majorHAnsi" w:cs="Arial"/>
              </w:rPr>
            </w:pPr>
            <w:r>
              <w:rPr>
                <w:rFonts w:asciiTheme="majorHAnsi" w:hAnsiTheme="majorHAnsi"/>
              </w:rPr>
              <w:t>The cou</w:t>
            </w:r>
            <w:r w:rsidR="00C1000E">
              <w:rPr>
                <w:rFonts w:asciiTheme="majorHAnsi" w:hAnsiTheme="majorHAnsi"/>
              </w:rPr>
              <w:t xml:space="preserve">ntry is </w:t>
            </w:r>
            <w:r>
              <w:rPr>
                <w:rFonts w:asciiTheme="majorHAnsi" w:hAnsiTheme="majorHAnsi"/>
              </w:rPr>
              <w:t>multi-ethnic, with Kazakhs majority, followed by Russians, Uzbeks, Ukrainians, Germans</w:t>
            </w:r>
            <w:r w:rsidR="00C1000E">
              <w:rPr>
                <w:rFonts w:asciiTheme="majorHAnsi" w:hAnsiTheme="majorHAnsi"/>
              </w:rPr>
              <w:t>,</w:t>
            </w:r>
            <w:r>
              <w:rPr>
                <w:rFonts w:asciiTheme="majorHAnsi" w:hAnsiTheme="majorHAnsi"/>
              </w:rPr>
              <w:t xml:space="preserve"> and other minor ethnic groups. </w:t>
            </w:r>
            <w:r>
              <w:rPr>
                <w:rFonts w:asciiTheme="majorHAnsi" w:hAnsiTheme="majorHAnsi" w:cs="Arial"/>
              </w:rPr>
              <w:t>The u</w:t>
            </w:r>
            <w:r w:rsidRPr="00F92657">
              <w:rPr>
                <w:rFonts w:asciiTheme="majorHAnsi" w:hAnsiTheme="majorHAnsi" w:cs="Arial"/>
              </w:rPr>
              <w:t xml:space="preserve">rban population </w:t>
            </w:r>
            <w:r>
              <w:rPr>
                <w:rFonts w:asciiTheme="majorHAnsi" w:hAnsiTheme="majorHAnsi" w:cs="Arial"/>
              </w:rPr>
              <w:t>makes up around 58</w:t>
            </w:r>
            <w:r w:rsidRPr="00F92657">
              <w:rPr>
                <w:rFonts w:asciiTheme="majorHAnsi" w:hAnsiTheme="majorHAnsi" w:cs="Arial"/>
              </w:rPr>
              <w:t>%</w:t>
            </w:r>
            <w:r w:rsidRPr="00F92657">
              <w:rPr>
                <w:rStyle w:val="af"/>
                <w:rFonts w:asciiTheme="majorHAnsi" w:hAnsiTheme="majorHAnsi" w:cs="Arial"/>
              </w:rPr>
              <w:footnoteReference w:id="6"/>
            </w:r>
            <w:r w:rsidRPr="00F92657">
              <w:rPr>
                <w:rFonts w:asciiTheme="majorHAnsi" w:hAnsiTheme="majorHAnsi" w:cs="Arial"/>
              </w:rPr>
              <w:t xml:space="preserve">. </w:t>
            </w:r>
            <w:r>
              <w:rPr>
                <w:rFonts w:asciiTheme="majorHAnsi" w:hAnsiTheme="majorHAnsi" w:cs="Arial"/>
              </w:rPr>
              <w:t>O</w:t>
            </w:r>
            <w:r w:rsidRPr="00F92657">
              <w:rPr>
                <w:rFonts w:asciiTheme="majorHAnsi" w:hAnsiTheme="majorHAnsi" w:cs="Arial"/>
              </w:rPr>
              <w:t>verall</w:t>
            </w:r>
            <w:r>
              <w:rPr>
                <w:rFonts w:asciiTheme="majorHAnsi" w:hAnsiTheme="majorHAnsi" w:cs="Arial"/>
              </w:rPr>
              <w:t>, the</w:t>
            </w:r>
            <w:r w:rsidRPr="00F92657">
              <w:rPr>
                <w:rFonts w:asciiTheme="majorHAnsi" w:hAnsiTheme="majorHAnsi" w:cs="Arial"/>
              </w:rPr>
              <w:t xml:space="preserve"> age structure is relatively young, with </w:t>
            </w:r>
            <w:r>
              <w:rPr>
                <w:rFonts w:asciiTheme="majorHAnsi" w:hAnsiTheme="majorHAnsi" w:cs="Arial"/>
              </w:rPr>
              <w:t>more than 29</w:t>
            </w:r>
            <w:r w:rsidRPr="00F92657">
              <w:rPr>
                <w:rFonts w:asciiTheme="majorHAnsi" w:hAnsiTheme="majorHAnsi" w:cs="Arial"/>
              </w:rPr>
              <w:t>% of the populati</w:t>
            </w:r>
            <w:r>
              <w:rPr>
                <w:rFonts w:asciiTheme="majorHAnsi" w:hAnsiTheme="majorHAnsi" w:cs="Arial"/>
              </w:rPr>
              <w:t xml:space="preserve">on below 15 years of age, and 7% aged 65 years and above in 2020. </w:t>
            </w:r>
            <w:r w:rsidRPr="00F92657">
              <w:rPr>
                <w:rFonts w:asciiTheme="majorHAnsi" w:hAnsiTheme="majorHAnsi" w:cs="Arial"/>
              </w:rPr>
              <w:t>The annual population g</w:t>
            </w:r>
            <w:r>
              <w:rPr>
                <w:rFonts w:asciiTheme="majorHAnsi" w:hAnsiTheme="majorHAnsi" w:cs="Arial"/>
              </w:rPr>
              <w:t>rowth rate is estimated at 1.3%</w:t>
            </w:r>
            <w:r w:rsidRPr="00F92657">
              <w:rPr>
                <w:rFonts w:asciiTheme="majorHAnsi" w:hAnsiTheme="majorHAnsi" w:cs="Arial"/>
              </w:rPr>
              <w:t>, re</w:t>
            </w:r>
            <w:r>
              <w:rPr>
                <w:rFonts w:asciiTheme="majorHAnsi" w:hAnsiTheme="majorHAnsi" w:cs="Arial"/>
              </w:rPr>
              <w:t>sulting from a birth rate of 21.3 births per 1,000 population,</w:t>
            </w:r>
            <w:r w:rsidRPr="00F92657">
              <w:rPr>
                <w:rFonts w:asciiTheme="majorHAnsi" w:hAnsiTheme="majorHAnsi" w:cs="Arial"/>
              </w:rPr>
              <w:t xml:space="preserve"> a death rate of 7</w:t>
            </w:r>
            <w:r>
              <w:rPr>
                <w:rFonts w:asciiTheme="majorHAnsi" w:hAnsiTheme="majorHAnsi" w:cs="Arial"/>
              </w:rPr>
              <w:t>.19</w:t>
            </w:r>
            <w:r w:rsidRPr="00F92657">
              <w:rPr>
                <w:rFonts w:asciiTheme="majorHAnsi" w:hAnsiTheme="majorHAnsi" w:cs="Arial"/>
              </w:rPr>
              <w:t xml:space="preserve"> deaths per 1,000 population</w:t>
            </w:r>
            <w:r w:rsidRPr="00E3787B">
              <w:rPr>
                <w:rStyle w:val="af"/>
                <w:rFonts w:asciiTheme="majorHAnsi" w:hAnsiTheme="majorHAnsi" w:cs="Arial"/>
              </w:rPr>
              <w:footnoteReference w:id="7"/>
            </w:r>
            <w:r w:rsidRPr="00F92657">
              <w:rPr>
                <w:rFonts w:asciiTheme="majorHAnsi" w:hAnsiTheme="majorHAnsi" w:cs="Arial"/>
              </w:rPr>
              <w:t xml:space="preserve">, </w:t>
            </w:r>
            <w:r>
              <w:rPr>
                <w:rFonts w:asciiTheme="majorHAnsi" w:hAnsiTheme="majorHAnsi" w:cs="Arial"/>
              </w:rPr>
              <w:t>and a net migration rate of -5</w:t>
            </w:r>
            <w:r w:rsidRPr="00F92657">
              <w:rPr>
                <w:rFonts w:asciiTheme="majorHAnsi" w:hAnsiTheme="majorHAnsi" w:cs="Arial"/>
              </w:rPr>
              <w:t xml:space="preserve"> persons per 1</w:t>
            </w:r>
            <w:r w:rsidRPr="00D63E25">
              <w:rPr>
                <w:rFonts w:asciiTheme="majorHAnsi" w:hAnsiTheme="majorHAnsi" w:cs="Arial"/>
              </w:rPr>
              <w:t>,000 population.</w:t>
            </w:r>
          </w:p>
          <w:p w14:paraId="01C5413E" w14:textId="63F4602D" w:rsidR="00517EF3" w:rsidRPr="00517EF3" w:rsidRDefault="00517EF3" w:rsidP="00517EF3">
            <w:pPr>
              <w:autoSpaceDE w:val="0"/>
              <w:autoSpaceDN w:val="0"/>
              <w:adjustRightInd w:val="0"/>
              <w:spacing w:before="240" w:line="240" w:lineRule="auto"/>
              <w:jc w:val="both"/>
              <w:rPr>
                <w:rFonts w:asciiTheme="majorHAnsi" w:hAnsiTheme="majorHAnsi"/>
                <w:i/>
              </w:rPr>
            </w:pPr>
            <w:r w:rsidRPr="00517EF3">
              <w:rPr>
                <w:rFonts w:asciiTheme="majorHAnsi" w:hAnsiTheme="majorHAnsi"/>
                <w:i/>
              </w:rPr>
              <w:t xml:space="preserve">National Health Strategy </w:t>
            </w:r>
          </w:p>
          <w:p w14:paraId="3EB8AD64" w14:textId="36C07735" w:rsidR="0032448B" w:rsidRPr="0045066A" w:rsidRDefault="00007BFF" w:rsidP="009F69F1">
            <w:pPr>
              <w:spacing w:after="0" w:line="240" w:lineRule="auto"/>
              <w:jc w:val="both"/>
              <w:rPr>
                <w:rFonts w:asciiTheme="majorHAnsi" w:hAnsiTheme="majorHAnsi" w:cs="Arial"/>
              </w:rPr>
            </w:pPr>
            <w:r w:rsidRPr="00FC2F08">
              <w:rPr>
                <w:rFonts w:asciiTheme="majorHAnsi" w:hAnsiTheme="majorHAnsi" w:cs="Arial"/>
              </w:rPr>
              <w:t>The Government</w:t>
            </w:r>
            <w:r w:rsidR="00574F9D">
              <w:rPr>
                <w:rFonts w:asciiTheme="majorHAnsi" w:hAnsiTheme="majorHAnsi" w:cs="Arial"/>
              </w:rPr>
              <w:t xml:space="preserve"> is </w:t>
            </w:r>
            <w:r w:rsidR="006F74C5">
              <w:rPr>
                <w:rFonts w:asciiTheme="majorHAnsi" w:hAnsiTheme="majorHAnsi" w:cs="Arial"/>
              </w:rPr>
              <w:t>committed t</w:t>
            </w:r>
            <w:r w:rsidRPr="00FC2F08">
              <w:rPr>
                <w:rFonts w:asciiTheme="majorHAnsi" w:hAnsiTheme="majorHAnsi" w:cs="Arial"/>
              </w:rPr>
              <w:t xml:space="preserve">o make the quality of healthcare services </w:t>
            </w:r>
            <w:r>
              <w:rPr>
                <w:rFonts w:asciiTheme="majorHAnsi" w:hAnsiTheme="majorHAnsi" w:cs="Arial"/>
              </w:rPr>
              <w:t>available and affordable to all</w:t>
            </w:r>
            <w:r w:rsidR="0082336E">
              <w:rPr>
                <w:rFonts w:asciiTheme="majorHAnsi" w:hAnsiTheme="majorHAnsi" w:cs="Arial"/>
              </w:rPr>
              <w:t xml:space="preserve"> and modernizing</w:t>
            </w:r>
            <w:r w:rsidRPr="00FC2F08">
              <w:rPr>
                <w:rFonts w:asciiTheme="majorHAnsi" w:hAnsiTheme="majorHAnsi" w:cs="Arial"/>
              </w:rPr>
              <w:t xml:space="preserve"> the</w:t>
            </w:r>
            <w:r w:rsidR="0082336E">
              <w:rPr>
                <w:rFonts w:asciiTheme="majorHAnsi" w:hAnsiTheme="majorHAnsi" w:cs="Arial"/>
              </w:rPr>
              <w:t xml:space="preserve"> national health system with a</w:t>
            </w:r>
            <w:r w:rsidRPr="00FC2F08">
              <w:rPr>
                <w:rFonts w:asciiTheme="majorHAnsi" w:hAnsiTheme="majorHAnsi" w:cs="Arial"/>
              </w:rPr>
              <w:t xml:space="preserve"> focus on efficiency and financial sustainability. In </w:t>
            </w:r>
            <w:r>
              <w:rPr>
                <w:rFonts w:asciiTheme="majorHAnsi" w:hAnsiTheme="majorHAnsi" w:cs="Arial"/>
              </w:rPr>
              <w:t xml:space="preserve">a </w:t>
            </w:r>
            <w:r w:rsidR="00D63FB9">
              <w:rPr>
                <w:rFonts w:asciiTheme="majorHAnsi" w:hAnsiTheme="majorHAnsi" w:cs="Arial"/>
              </w:rPr>
              <w:t>mid</w:t>
            </w:r>
            <w:r w:rsidRPr="00FC2F08">
              <w:rPr>
                <w:rFonts w:asciiTheme="majorHAnsi" w:hAnsiTheme="majorHAnsi" w:cs="Arial"/>
              </w:rPr>
              <w:t>-term perspective</w:t>
            </w:r>
            <w:r w:rsidR="0045066A" w:rsidRPr="00FC2F08">
              <w:rPr>
                <w:rStyle w:val="af"/>
                <w:rFonts w:asciiTheme="majorHAnsi" w:hAnsiTheme="majorHAnsi" w:cs="Arial"/>
              </w:rPr>
              <w:footnoteReference w:id="8"/>
            </w:r>
            <w:r w:rsidR="0045066A">
              <w:rPr>
                <w:rFonts w:asciiTheme="majorHAnsi" w:hAnsiTheme="majorHAnsi" w:cs="Arial"/>
              </w:rPr>
              <w:t xml:space="preserve"> it </w:t>
            </w:r>
            <w:r w:rsidR="008440C1" w:rsidRPr="0032448B">
              <w:rPr>
                <w:rFonts w:asciiTheme="majorHAnsi" w:hAnsiTheme="majorHAnsi" w:cstheme="majorHAnsi"/>
              </w:rPr>
              <w:t>aim</w:t>
            </w:r>
            <w:r w:rsidR="0045066A">
              <w:rPr>
                <w:rFonts w:asciiTheme="majorHAnsi" w:hAnsiTheme="majorHAnsi" w:cstheme="majorHAnsi"/>
              </w:rPr>
              <w:t>s</w:t>
            </w:r>
            <w:r w:rsidR="008440C1" w:rsidRPr="0032448B">
              <w:rPr>
                <w:rFonts w:asciiTheme="majorHAnsi" w:hAnsiTheme="majorHAnsi" w:cstheme="majorHAnsi"/>
              </w:rPr>
              <w:t xml:space="preserve"> to reach economic and social end results, including private investment expansion and jobs creation, increase in life expectancy from </w:t>
            </w:r>
            <w:r w:rsidR="0032448B" w:rsidRPr="0032448B">
              <w:rPr>
                <w:rFonts w:asciiTheme="majorHAnsi" w:hAnsiTheme="majorHAnsi" w:cstheme="majorHAnsi"/>
              </w:rPr>
              <w:t>current 71.4</w:t>
            </w:r>
            <w:r w:rsidR="008440C1" w:rsidRPr="0032448B">
              <w:rPr>
                <w:rFonts w:asciiTheme="majorHAnsi" w:hAnsiTheme="majorHAnsi" w:cstheme="majorHAnsi"/>
              </w:rPr>
              <w:t xml:space="preserve"> to 75 years in 2025 and </w:t>
            </w:r>
            <w:r w:rsidR="0032448B" w:rsidRPr="0032448B">
              <w:rPr>
                <w:rFonts w:asciiTheme="majorHAnsi" w:hAnsiTheme="majorHAnsi" w:cstheme="majorHAnsi"/>
              </w:rPr>
              <w:t xml:space="preserve">population satisfaction with the quality of healthcare services. </w:t>
            </w:r>
            <w:r w:rsidR="00F64AC8" w:rsidRPr="0032448B">
              <w:rPr>
                <w:rFonts w:asciiTheme="majorHAnsi" w:hAnsiTheme="majorHAnsi" w:cstheme="majorHAnsi"/>
              </w:rPr>
              <w:t xml:space="preserve">The country will finance these efforts </w:t>
            </w:r>
            <w:proofErr w:type="gramStart"/>
            <w:r w:rsidR="00F64AC8" w:rsidRPr="0032448B">
              <w:rPr>
                <w:rFonts w:asciiTheme="majorHAnsi" w:hAnsiTheme="majorHAnsi" w:cstheme="majorHAnsi"/>
              </w:rPr>
              <w:t>in light of</w:t>
            </w:r>
            <w:proofErr w:type="gramEnd"/>
            <w:r w:rsidR="00F64AC8" w:rsidRPr="0032448B">
              <w:rPr>
                <w:rFonts w:asciiTheme="majorHAnsi" w:hAnsiTheme="majorHAnsi" w:cstheme="majorHAnsi"/>
              </w:rPr>
              <w:t xml:space="preserve"> their likely significant costs, other competing public priorities, and the country’s expected available future fiscal space </w:t>
            </w:r>
            <w:r w:rsidR="004E45CF">
              <w:rPr>
                <w:rFonts w:asciiTheme="majorHAnsi" w:hAnsiTheme="majorHAnsi" w:cstheme="majorHAnsi"/>
              </w:rPr>
              <w:t xml:space="preserve">following </w:t>
            </w:r>
            <w:r w:rsidR="00F64AC8" w:rsidRPr="0032448B">
              <w:rPr>
                <w:rFonts w:asciiTheme="majorHAnsi" w:hAnsiTheme="majorHAnsi" w:cstheme="majorHAnsi"/>
              </w:rPr>
              <w:t xml:space="preserve">its medium-term expenditure framework (MTEF). </w:t>
            </w:r>
            <w:r w:rsidR="00BE770F">
              <w:rPr>
                <w:rFonts w:asciiTheme="majorHAnsi" w:hAnsiTheme="majorHAnsi" w:cstheme="majorHAnsi"/>
              </w:rPr>
              <w:t>However, a</w:t>
            </w:r>
            <w:r w:rsidR="00F64AC8" w:rsidRPr="0032448B">
              <w:rPr>
                <w:rFonts w:asciiTheme="majorHAnsi" w:hAnsiTheme="majorHAnsi" w:cstheme="majorHAnsi"/>
              </w:rPr>
              <w:t>ll the</w:t>
            </w:r>
            <w:r w:rsidR="0082336E" w:rsidRPr="0032448B">
              <w:rPr>
                <w:rFonts w:asciiTheme="majorHAnsi" w:hAnsiTheme="majorHAnsi" w:cstheme="majorHAnsi"/>
              </w:rPr>
              <w:t>se efforts can</w:t>
            </w:r>
            <w:r w:rsidR="0045066A">
              <w:rPr>
                <w:rFonts w:asciiTheme="majorHAnsi" w:hAnsiTheme="majorHAnsi" w:cstheme="majorHAnsi"/>
              </w:rPr>
              <w:t xml:space="preserve"> be further</w:t>
            </w:r>
            <w:r w:rsidR="00F64AC8" w:rsidRPr="0032448B">
              <w:rPr>
                <w:rFonts w:asciiTheme="majorHAnsi" w:hAnsiTheme="majorHAnsi" w:cstheme="majorHAnsi"/>
              </w:rPr>
              <w:t xml:space="preserve"> complicated by the major health and economic uncertainties resulting from </w:t>
            </w:r>
            <w:r w:rsidR="003D61F2" w:rsidRPr="0032448B">
              <w:rPr>
                <w:rFonts w:asciiTheme="majorHAnsi" w:hAnsiTheme="majorHAnsi" w:cstheme="majorHAnsi"/>
              </w:rPr>
              <w:t xml:space="preserve">the </w:t>
            </w:r>
            <w:r w:rsidR="00F64AC8" w:rsidRPr="0032448B">
              <w:rPr>
                <w:rFonts w:asciiTheme="majorHAnsi" w:hAnsiTheme="majorHAnsi" w:cstheme="majorHAnsi"/>
              </w:rPr>
              <w:t>COVID-19 pandemic</w:t>
            </w:r>
            <w:r w:rsidR="004E45CF">
              <w:rPr>
                <w:rFonts w:asciiTheme="majorHAnsi" w:hAnsiTheme="majorHAnsi" w:cstheme="majorHAnsi"/>
              </w:rPr>
              <w:t xml:space="preserve"> and possible new emerging threats</w:t>
            </w:r>
            <w:r w:rsidR="00F64AC8" w:rsidRPr="0032448B">
              <w:rPr>
                <w:rFonts w:asciiTheme="majorHAnsi" w:hAnsiTheme="majorHAnsi" w:cstheme="majorHAnsi"/>
              </w:rPr>
              <w:t>.</w:t>
            </w:r>
            <w:r w:rsidR="0045066A">
              <w:rPr>
                <w:rFonts w:asciiTheme="majorHAnsi" w:hAnsiTheme="majorHAnsi" w:cstheme="majorHAnsi"/>
              </w:rPr>
              <w:t xml:space="preserve"> The strategic directions of the new MoH “Healthy Nation” plan are:</w:t>
            </w:r>
          </w:p>
          <w:p w14:paraId="20121117" w14:textId="3A6EAD66" w:rsidR="009F750B" w:rsidRPr="0045066A" w:rsidRDefault="00007BFF" w:rsidP="006A0E08">
            <w:pPr>
              <w:pStyle w:val="affff3"/>
              <w:widowControl w:val="0"/>
              <w:numPr>
                <w:ilvl w:val="0"/>
                <w:numId w:val="47"/>
              </w:numPr>
              <w:autoSpaceDE w:val="0"/>
              <w:autoSpaceDN w:val="0"/>
              <w:adjustRightInd w:val="0"/>
              <w:spacing w:before="120" w:after="0" w:line="240" w:lineRule="auto"/>
              <w:jc w:val="both"/>
              <w:rPr>
                <w:rFonts w:asciiTheme="majorHAnsi" w:eastAsia="Times New Roman" w:hAnsiTheme="majorHAnsi" w:cs="Times New Roman"/>
              </w:rPr>
            </w:pPr>
            <w:r w:rsidRPr="0045066A">
              <w:rPr>
                <w:rFonts w:asciiTheme="majorHAnsi" w:hAnsiTheme="majorHAnsi" w:cs="Arial"/>
                <w:i/>
              </w:rPr>
              <w:t>Promoting Public Health</w:t>
            </w:r>
            <w:r w:rsidRPr="0045066A">
              <w:rPr>
                <w:rFonts w:asciiTheme="majorHAnsi" w:hAnsiTheme="majorHAnsi" w:cs="Arial"/>
              </w:rPr>
              <w:t xml:space="preserve"> through </w:t>
            </w:r>
            <w:r w:rsidRPr="0045066A">
              <w:rPr>
                <w:rFonts w:asciiTheme="majorHAnsi" w:eastAsia="Times New Roman" w:hAnsiTheme="majorHAnsi" w:cs="Arial"/>
              </w:rPr>
              <w:t>shaping </w:t>
            </w:r>
            <w:r w:rsidRPr="0045066A">
              <w:rPr>
                <w:rFonts w:asciiTheme="majorHAnsi" w:eastAsia="Times New Roman" w:hAnsiTheme="majorHAnsi" w:cs="Arial"/>
                <w:bCs/>
              </w:rPr>
              <w:t xml:space="preserve">modern </w:t>
            </w:r>
            <w:r w:rsidR="002F680A">
              <w:rPr>
                <w:rFonts w:asciiTheme="majorHAnsi" w:eastAsia="Times New Roman" w:hAnsiTheme="majorHAnsi" w:cs="Arial"/>
              </w:rPr>
              <w:t>and </w:t>
            </w:r>
            <w:r w:rsidRPr="0045066A">
              <w:rPr>
                <w:rFonts w:asciiTheme="majorHAnsi" w:eastAsia="Times New Roman" w:hAnsiTheme="majorHAnsi" w:cs="Arial"/>
                <w:bCs/>
              </w:rPr>
              <w:t>effective healthcare system</w:t>
            </w:r>
            <w:r w:rsidRPr="0045066A">
              <w:rPr>
                <w:rFonts w:asciiTheme="majorHAnsi" w:eastAsia="Times New Roman" w:hAnsiTheme="majorHAnsi" w:cs="Arial"/>
              </w:rPr>
              <w:t>.</w:t>
            </w:r>
            <w:r w:rsidR="009F750B" w:rsidRPr="0045066A">
              <w:rPr>
                <w:rFonts w:asciiTheme="majorHAnsi" w:eastAsia="Times New Roman" w:hAnsiTheme="majorHAnsi" w:cs="Arial"/>
              </w:rPr>
              <w:t xml:space="preserve"> T</w:t>
            </w:r>
            <w:r w:rsidRPr="0045066A">
              <w:rPr>
                <w:rFonts w:asciiTheme="majorHAnsi" w:eastAsia="Times New Roman" w:hAnsiTheme="majorHAnsi" w:cs="Times New Roman"/>
              </w:rPr>
              <w:t>he effor</w:t>
            </w:r>
            <w:r w:rsidR="009F750B" w:rsidRPr="0045066A">
              <w:rPr>
                <w:rFonts w:asciiTheme="majorHAnsi" w:eastAsia="Times New Roman" w:hAnsiTheme="majorHAnsi" w:cs="Times New Roman"/>
              </w:rPr>
              <w:t>ts</w:t>
            </w:r>
            <w:r w:rsidRPr="0045066A">
              <w:rPr>
                <w:rFonts w:asciiTheme="majorHAnsi" w:eastAsia="Times New Roman" w:hAnsiTheme="majorHAnsi" w:cs="Times New Roman"/>
              </w:rPr>
              <w:t xml:space="preserve"> </w:t>
            </w:r>
            <w:r w:rsidR="00DA43CC">
              <w:rPr>
                <w:rFonts w:asciiTheme="majorHAnsi" w:eastAsia="Times New Roman" w:hAnsiTheme="majorHAnsi" w:cs="Times New Roman"/>
              </w:rPr>
              <w:t>will</w:t>
            </w:r>
            <w:r w:rsidR="005A2654">
              <w:rPr>
                <w:rFonts w:asciiTheme="majorHAnsi" w:eastAsia="Times New Roman" w:hAnsiTheme="majorHAnsi" w:cs="Times New Roman"/>
              </w:rPr>
              <w:t xml:space="preserve"> </w:t>
            </w:r>
            <w:proofErr w:type="gramStart"/>
            <w:r w:rsidR="005A2654">
              <w:rPr>
                <w:rFonts w:asciiTheme="majorHAnsi" w:eastAsia="Times New Roman" w:hAnsiTheme="majorHAnsi" w:cs="Times New Roman"/>
              </w:rPr>
              <w:t>directed</w:t>
            </w:r>
            <w:proofErr w:type="gramEnd"/>
            <w:r w:rsidR="005A2654">
              <w:rPr>
                <w:rFonts w:asciiTheme="majorHAnsi" w:eastAsia="Times New Roman" w:hAnsiTheme="majorHAnsi" w:cs="Times New Roman"/>
              </w:rPr>
              <w:t xml:space="preserve"> toward developing</w:t>
            </w:r>
            <w:r w:rsidRPr="0045066A">
              <w:rPr>
                <w:rFonts w:asciiTheme="majorHAnsi" w:eastAsia="Times New Roman" w:hAnsiTheme="majorHAnsi" w:cs="Times New Roman"/>
              </w:rPr>
              <w:t xml:space="preserve"> inter</w:t>
            </w:r>
            <w:r w:rsidR="00DF6578" w:rsidRPr="0045066A">
              <w:rPr>
                <w:rFonts w:asciiTheme="majorHAnsi" w:eastAsia="Times New Roman" w:hAnsiTheme="majorHAnsi" w:cs="Times New Roman"/>
              </w:rPr>
              <w:t>-sectorial</w:t>
            </w:r>
            <w:r w:rsidRPr="0045066A">
              <w:rPr>
                <w:rFonts w:asciiTheme="majorHAnsi" w:eastAsia="Times New Roman" w:hAnsiTheme="majorHAnsi" w:cs="Times New Roman"/>
              </w:rPr>
              <w:t xml:space="preserve"> collaboration on </w:t>
            </w:r>
            <w:r w:rsidR="00A078B2">
              <w:rPr>
                <w:rFonts w:asciiTheme="majorHAnsi" w:eastAsia="Times New Roman" w:hAnsiTheme="majorHAnsi" w:cs="Times New Roman"/>
              </w:rPr>
              <w:t>non-communicable diseases</w:t>
            </w:r>
            <w:r w:rsidRPr="0045066A">
              <w:rPr>
                <w:rFonts w:asciiTheme="majorHAnsi" w:eastAsia="Times New Roman" w:hAnsiTheme="majorHAnsi" w:cs="Times New Roman"/>
              </w:rPr>
              <w:t xml:space="preserve"> prevention and control, the formation of a healthy lifestyle, including the promotion of physical activity and healthy nutrition; </w:t>
            </w:r>
            <w:r w:rsidRPr="0045066A">
              <w:rPr>
                <w:rFonts w:asciiTheme="majorHAnsi" w:eastAsia="Times New Roman" w:hAnsiTheme="majorHAnsi" w:cs="Arial"/>
                <w:shd w:val="clear" w:color="auto" w:fill="FFFFFF"/>
              </w:rPr>
              <w:t>promotion of continuous quality </w:t>
            </w:r>
            <w:r w:rsidRPr="0045066A">
              <w:rPr>
                <w:rFonts w:asciiTheme="majorHAnsi" w:eastAsia="Times New Roman" w:hAnsiTheme="majorHAnsi" w:cs="Arial"/>
                <w:bCs/>
              </w:rPr>
              <w:t>improvement of screening programs</w:t>
            </w:r>
            <w:r w:rsidR="0082336E" w:rsidRPr="0045066A">
              <w:rPr>
                <w:rFonts w:asciiTheme="majorHAnsi" w:eastAsia="Times New Roman" w:hAnsiTheme="majorHAnsi" w:cs="Times New Roman"/>
              </w:rPr>
              <w:t xml:space="preserve">; and </w:t>
            </w:r>
            <w:r w:rsidRPr="0045066A">
              <w:rPr>
                <w:rFonts w:asciiTheme="majorHAnsi" w:eastAsia="Times New Roman" w:hAnsiTheme="majorHAnsi" w:cs="Times New Roman"/>
              </w:rPr>
              <w:t>prevention of be</w:t>
            </w:r>
            <w:r w:rsidR="009F750B" w:rsidRPr="0045066A">
              <w:rPr>
                <w:rFonts w:asciiTheme="majorHAnsi" w:eastAsia="Times New Roman" w:hAnsiTheme="majorHAnsi" w:cs="Times New Roman"/>
              </w:rPr>
              <w:t>havioral risk factors.</w:t>
            </w:r>
          </w:p>
          <w:p w14:paraId="5E84D921" w14:textId="0FB8F89D" w:rsidR="00EF3807" w:rsidRPr="00EF3807" w:rsidRDefault="00EF3807" w:rsidP="006A0E08">
            <w:pPr>
              <w:pStyle w:val="affff3"/>
              <w:numPr>
                <w:ilvl w:val="0"/>
                <w:numId w:val="47"/>
              </w:numPr>
              <w:spacing w:after="0" w:line="240" w:lineRule="auto"/>
              <w:jc w:val="both"/>
              <w:rPr>
                <w:rFonts w:asciiTheme="majorHAnsi" w:hAnsiTheme="majorHAnsi" w:cs="Arial"/>
                <w:i/>
              </w:rPr>
            </w:pPr>
            <w:r w:rsidRPr="00EF3807">
              <w:rPr>
                <w:rFonts w:asciiTheme="majorHAnsi" w:hAnsiTheme="majorHAnsi" w:cs="Arial"/>
                <w:i/>
              </w:rPr>
              <w:t xml:space="preserve">Guaranteeing affordable quality care. </w:t>
            </w:r>
            <w:r w:rsidRPr="00EF3807">
              <w:rPr>
                <w:rFonts w:asciiTheme="majorHAnsi" w:hAnsiTheme="majorHAnsi" w:cs="Arial"/>
              </w:rPr>
              <w:t xml:space="preserve">As the health status of the population is influenced by measures aiming to improve and expand the availability of quality complex health services and expands access to such services in underserved and rural </w:t>
            </w:r>
            <w:r w:rsidR="00230DBD">
              <w:rPr>
                <w:rFonts w:asciiTheme="majorHAnsi" w:hAnsiTheme="majorHAnsi" w:cs="Arial"/>
              </w:rPr>
              <w:t>areas, the measures have been</w:t>
            </w:r>
            <w:r w:rsidRPr="00EF3807">
              <w:rPr>
                <w:rFonts w:asciiTheme="majorHAnsi" w:hAnsiTheme="majorHAnsi" w:cs="Arial"/>
              </w:rPr>
              <w:t xml:space="preserve"> taken to </w:t>
            </w:r>
            <w:r w:rsidR="000032B0">
              <w:rPr>
                <w:rFonts w:asciiTheme="majorHAnsi" w:hAnsiTheme="majorHAnsi" w:cs="Arial"/>
              </w:rPr>
              <w:t>scale up the introduction of the</w:t>
            </w:r>
            <w:r w:rsidRPr="00EF3807">
              <w:rPr>
                <w:rFonts w:asciiTheme="majorHAnsi" w:hAnsiTheme="majorHAnsi" w:cs="Arial"/>
              </w:rPr>
              <w:t xml:space="preserve"> new models of care delivery practices and quality assurance; to address workload challenges and </w:t>
            </w:r>
            <w:r w:rsidR="00D352CF">
              <w:rPr>
                <w:rFonts w:asciiTheme="majorHAnsi" w:hAnsiTheme="majorHAnsi" w:cs="Arial"/>
              </w:rPr>
              <w:t xml:space="preserve">modernization of education and science. </w:t>
            </w:r>
          </w:p>
          <w:p w14:paraId="5DEB021B" w14:textId="49EA1E39" w:rsidR="00EF3807" w:rsidRDefault="00EF3807" w:rsidP="006A0E08">
            <w:pPr>
              <w:pStyle w:val="affff3"/>
              <w:numPr>
                <w:ilvl w:val="0"/>
                <w:numId w:val="47"/>
              </w:numPr>
              <w:spacing w:after="0" w:line="240" w:lineRule="auto"/>
              <w:jc w:val="both"/>
              <w:rPr>
                <w:rFonts w:asciiTheme="majorHAnsi" w:hAnsiTheme="majorHAnsi" w:cs="Arial"/>
              </w:rPr>
            </w:pPr>
            <w:r w:rsidRPr="00EF3807">
              <w:rPr>
                <w:rFonts w:asciiTheme="majorHAnsi" w:hAnsiTheme="majorHAnsi" w:cs="Arial"/>
                <w:i/>
              </w:rPr>
              <w:t xml:space="preserve">Formation of the modern disease risk forecasting system for increased epidemiological preparedness </w:t>
            </w:r>
            <w:r w:rsidRPr="00F2212A">
              <w:rPr>
                <w:rFonts w:asciiTheme="majorHAnsi" w:hAnsiTheme="majorHAnsi" w:cs="Arial"/>
                <w:i/>
              </w:rPr>
              <w:t xml:space="preserve">and </w:t>
            </w:r>
            <w:r w:rsidR="00412F86" w:rsidRPr="00F2212A">
              <w:rPr>
                <w:rFonts w:asciiTheme="majorHAnsi" w:hAnsiTheme="majorHAnsi" w:cs="Arial"/>
                <w:i/>
              </w:rPr>
              <w:t>response</w:t>
            </w:r>
            <w:r w:rsidR="00412F86">
              <w:rPr>
                <w:rFonts w:asciiTheme="majorHAnsi" w:hAnsiTheme="majorHAnsi" w:cs="Arial"/>
              </w:rPr>
              <w:t xml:space="preserve"> through</w:t>
            </w:r>
            <w:r w:rsidR="000032B0">
              <w:rPr>
                <w:rFonts w:asciiTheme="majorHAnsi" w:hAnsiTheme="majorHAnsi" w:cs="Arial"/>
              </w:rPr>
              <w:t xml:space="preserve"> transition to an</w:t>
            </w:r>
            <w:r w:rsidRPr="00412F86">
              <w:rPr>
                <w:rFonts w:asciiTheme="majorHAnsi" w:hAnsiTheme="majorHAnsi" w:cs="Arial"/>
              </w:rPr>
              <w:t xml:space="preserve"> advanced epidemiological surveillance and prediction model</w:t>
            </w:r>
            <w:r w:rsidR="00412F86">
              <w:rPr>
                <w:rFonts w:asciiTheme="majorHAnsi" w:hAnsiTheme="majorHAnsi" w:cs="Arial"/>
              </w:rPr>
              <w:t>s,</w:t>
            </w:r>
            <w:r w:rsidRPr="00412F86">
              <w:rPr>
                <w:rFonts w:asciiTheme="majorHAnsi" w:hAnsiTheme="majorHAnsi" w:cs="Arial"/>
              </w:rPr>
              <w:t xml:space="preserve"> increased epidemic prevention and control capabilities and expanded population access to modern, highly accurate, and precise laboratory testing. </w:t>
            </w:r>
          </w:p>
          <w:p w14:paraId="79E186A8" w14:textId="77777777" w:rsidR="00C46C25" w:rsidRDefault="005D5EE2" w:rsidP="006A0E08">
            <w:pPr>
              <w:pStyle w:val="affff3"/>
              <w:numPr>
                <w:ilvl w:val="0"/>
                <w:numId w:val="47"/>
              </w:numPr>
              <w:spacing w:after="0" w:line="240" w:lineRule="auto"/>
              <w:jc w:val="both"/>
              <w:rPr>
                <w:rFonts w:asciiTheme="majorHAnsi" w:hAnsiTheme="majorHAnsi" w:cs="Arial"/>
              </w:rPr>
            </w:pPr>
            <w:r w:rsidRPr="005D5EE2">
              <w:rPr>
                <w:rFonts w:asciiTheme="majorHAnsi" w:hAnsiTheme="majorHAnsi" w:cs="Arial"/>
                <w:i/>
              </w:rPr>
              <w:t xml:space="preserve">Ensuring availability of </w:t>
            </w:r>
            <w:r>
              <w:rPr>
                <w:rFonts w:asciiTheme="majorHAnsi" w:hAnsiTheme="majorHAnsi" w:cs="Arial"/>
                <w:i/>
              </w:rPr>
              <w:t>pharmaceuticals</w:t>
            </w:r>
            <w:r w:rsidRPr="005D5EE2">
              <w:rPr>
                <w:rFonts w:asciiTheme="majorHAnsi" w:hAnsiTheme="majorHAnsi" w:cs="Arial"/>
                <w:i/>
              </w:rPr>
              <w:t xml:space="preserve"> and medical devices of </w:t>
            </w:r>
            <w:r>
              <w:rPr>
                <w:rFonts w:asciiTheme="majorHAnsi" w:hAnsiTheme="majorHAnsi" w:cs="Arial"/>
                <w:i/>
              </w:rPr>
              <w:t>local</w:t>
            </w:r>
            <w:r w:rsidRPr="005D5EE2">
              <w:rPr>
                <w:rFonts w:asciiTheme="majorHAnsi" w:hAnsiTheme="majorHAnsi" w:cs="Arial"/>
                <w:i/>
              </w:rPr>
              <w:t xml:space="preserve"> production</w:t>
            </w:r>
            <w:r w:rsidR="009C36AB">
              <w:rPr>
                <w:rFonts w:asciiTheme="majorHAnsi" w:hAnsiTheme="majorHAnsi" w:cs="Arial"/>
              </w:rPr>
              <w:t xml:space="preserve"> through enlargement of domestic production</w:t>
            </w:r>
            <w:r w:rsidR="0058276C">
              <w:rPr>
                <w:rFonts w:asciiTheme="majorHAnsi" w:hAnsiTheme="majorHAnsi" w:cs="Arial"/>
              </w:rPr>
              <w:t xml:space="preserve"> and human</w:t>
            </w:r>
            <w:r w:rsidR="009C36AB">
              <w:rPr>
                <w:rFonts w:asciiTheme="majorHAnsi" w:hAnsiTheme="majorHAnsi" w:cs="Arial"/>
              </w:rPr>
              <w:t xml:space="preserve"> capacities.</w:t>
            </w:r>
          </w:p>
          <w:p w14:paraId="45F05820" w14:textId="3DC7B37C" w:rsidR="00D352CF" w:rsidRPr="00C46C25" w:rsidRDefault="00C46C25" w:rsidP="006A0E08">
            <w:pPr>
              <w:pStyle w:val="affff3"/>
              <w:numPr>
                <w:ilvl w:val="0"/>
                <w:numId w:val="47"/>
              </w:numPr>
              <w:spacing w:after="0" w:line="240" w:lineRule="auto"/>
              <w:jc w:val="both"/>
              <w:rPr>
                <w:rFonts w:asciiTheme="majorHAnsi" w:hAnsiTheme="majorHAnsi" w:cs="Arial"/>
              </w:rPr>
            </w:pPr>
            <w:r w:rsidRPr="00C46C25">
              <w:rPr>
                <w:rFonts w:asciiTheme="majorHAnsi" w:hAnsiTheme="majorHAnsi" w:cs="Arial"/>
                <w:i/>
              </w:rPr>
              <w:t xml:space="preserve">Increasing the share of population who practice </w:t>
            </w:r>
            <w:r w:rsidR="00D352CF" w:rsidRPr="00C46C25">
              <w:rPr>
                <w:rFonts w:asciiTheme="majorHAnsi" w:hAnsiTheme="majorHAnsi" w:cs="Arial"/>
                <w:i/>
              </w:rPr>
              <w:t>healthy lifestyle</w:t>
            </w:r>
            <w:r w:rsidRPr="00C46C25">
              <w:rPr>
                <w:rFonts w:asciiTheme="majorHAnsi" w:hAnsiTheme="majorHAnsi" w:cs="Arial"/>
                <w:i/>
              </w:rPr>
              <w:t xml:space="preserve">s </w:t>
            </w:r>
            <w:r w:rsidRPr="00C46C25">
              <w:rPr>
                <w:rFonts w:asciiTheme="majorHAnsi" w:hAnsiTheme="majorHAnsi" w:cs="Arial"/>
              </w:rPr>
              <w:t>through</w:t>
            </w:r>
            <w:r>
              <w:rPr>
                <w:rFonts w:asciiTheme="majorHAnsi" w:hAnsiTheme="majorHAnsi" w:cs="Arial"/>
              </w:rPr>
              <w:t xml:space="preserve"> further</w:t>
            </w:r>
            <w:r w:rsidRPr="00C46C25">
              <w:rPr>
                <w:rFonts w:asciiTheme="majorHAnsi" w:hAnsiTheme="majorHAnsi" w:cs="Arial"/>
              </w:rPr>
              <w:t xml:space="preserve"> development of healthy behaviors</w:t>
            </w:r>
            <w:r>
              <w:rPr>
                <w:rFonts w:asciiTheme="majorHAnsi" w:hAnsiTheme="majorHAnsi" w:cs="Arial"/>
              </w:rPr>
              <w:t>, including</w:t>
            </w:r>
            <w:r w:rsidRPr="00C46C25">
              <w:rPr>
                <w:rFonts w:asciiTheme="majorHAnsi" w:hAnsiTheme="majorHAnsi" w:cs="Arial"/>
              </w:rPr>
              <w:t xml:space="preserve"> physical activities. </w:t>
            </w:r>
          </w:p>
          <w:p w14:paraId="02525D92" w14:textId="77777777" w:rsidR="00C46C25" w:rsidRPr="00C46C25" w:rsidRDefault="00C46C25" w:rsidP="009F69F1">
            <w:pPr>
              <w:widowControl w:val="0"/>
              <w:autoSpaceDE w:val="0"/>
              <w:autoSpaceDN w:val="0"/>
              <w:adjustRightInd w:val="0"/>
              <w:spacing w:after="0" w:line="240" w:lineRule="auto"/>
              <w:ind w:left="360"/>
              <w:jc w:val="center"/>
              <w:rPr>
                <w:rFonts w:asciiTheme="minorHAnsi" w:hAnsiTheme="minorHAnsi" w:cstheme="minorHAnsi"/>
                <w:i/>
              </w:rPr>
            </w:pPr>
          </w:p>
          <w:p w14:paraId="4315B9FB" w14:textId="62166F7A" w:rsidR="006466AF" w:rsidRPr="009F69F1" w:rsidRDefault="000D1E24" w:rsidP="009F69F1">
            <w:pPr>
              <w:widowControl w:val="0"/>
              <w:autoSpaceDE w:val="0"/>
              <w:autoSpaceDN w:val="0"/>
              <w:adjustRightInd w:val="0"/>
              <w:spacing w:after="0" w:line="240" w:lineRule="auto"/>
              <w:rPr>
                <w:rFonts w:asciiTheme="minorHAnsi" w:hAnsiTheme="minorHAnsi" w:cstheme="minorHAnsi"/>
                <w:b/>
                <w:bCs/>
                <w:smallCaps/>
              </w:rPr>
            </w:pPr>
            <w:r w:rsidRPr="009F69F1">
              <w:rPr>
                <w:rFonts w:asciiTheme="minorHAnsi" w:hAnsiTheme="minorHAnsi" w:cstheme="minorHAnsi"/>
                <w:b/>
                <w:bCs/>
                <w:smallCaps/>
              </w:rPr>
              <w:t xml:space="preserve">Macroeconomic Framework </w:t>
            </w:r>
            <w:r w:rsidR="001516AF" w:rsidRPr="009F69F1">
              <w:rPr>
                <w:rFonts w:asciiTheme="minorHAnsi" w:hAnsiTheme="minorHAnsi" w:cstheme="minorHAnsi"/>
                <w:b/>
                <w:bCs/>
                <w:smallCaps/>
              </w:rPr>
              <w:t>and Budgeting</w:t>
            </w:r>
          </w:p>
          <w:p w14:paraId="781FADA5" w14:textId="77777777" w:rsidR="000D1E24" w:rsidRPr="00923A6E" w:rsidRDefault="000D1E24" w:rsidP="009F69F1">
            <w:pPr>
              <w:widowControl w:val="0"/>
              <w:autoSpaceDE w:val="0"/>
              <w:autoSpaceDN w:val="0"/>
              <w:adjustRightInd w:val="0"/>
              <w:spacing w:after="0" w:line="240" w:lineRule="auto"/>
              <w:jc w:val="center"/>
              <w:rPr>
                <w:rFonts w:asciiTheme="minorHAnsi" w:hAnsiTheme="minorHAnsi" w:cstheme="minorHAnsi"/>
              </w:rPr>
            </w:pPr>
          </w:p>
          <w:p w14:paraId="6896AD2E" w14:textId="3FF8FE56" w:rsidR="0064514D" w:rsidRDefault="00166FAF" w:rsidP="009F69F1">
            <w:pPr>
              <w:spacing w:after="0" w:line="240" w:lineRule="auto"/>
              <w:jc w:val="both"/>
              <w:rPr>
                <w:rFonts w:asciiTheme="majorHAnsi" w:hAnsiTheme="majorHAnsi" w:cs="Arial"/>
              </w:rPr>
            </w:pPr>
            <w:r w:rsidRPr="00923A6E">
              <w:rPr>
                <w:rFonts w:asciiTheme="majorHAnsi" w:hAnsiTheme="majorHAnsi" w:cs="Arial"/>
              </w:rPr>
              <w:t xml:space="preserve">To assure the country’s socio-economic development, </w:t>
            </w:r>
            <w:r w:rsidR="00557C70" w:rsidRPr="00923A6E">
              <w:rPr>
                <w:rFonts w:asciiTheme="majorHAnsi" w:hAnsiTheme="majorHAnsi" w:cs="Arial"/>
              </w:rPr>
              <w:t xml:space="preserve">the National Fund has been operating since 2000 that </w:t>
            </w:r>
            <w:r w:rsidR="0047690A" w:rsidRPr="00923A6E">
              <w:rPr>
                <w:rFonts w:asciiTheme="majorHAnsi" w:hAnsiTheme="majorHAnsi" w:cs="Arial"/>
              </w:rPr>
              <w:t>receives direct taxes from the oil sector and revenues from the privatization of state property and the sale of agricultural land. It was established for performing savi</w:t>
            </w:r>
            <w:r w:rsidR="00557C70" w:rsidRPr="00923A6E">
              <w:rPr>
                <w:rFonts w:asciiTheme="majorHAnsi" w:hAnsiTheme="majorHAnsi" w:cs="Arial"/>
              </w:rPr>
              <w:t xml:space="preserve">ngs and stabilization functions- the </w:t>
            </w:r>
            <w:r w:rsidR="0047690A" w:rsidRPr="00923A6E">
              <w:rPr>
                <w:rFonts w:asciiTheme="majorHAnsi" w:hAnsiTheme="majorHAnsi" w:cs="Arial"/>
              </w:rPr>
              <w:t>funds are used in the form of guaranteed transfer to the republican budget</w:t>
            </w:r>
            <w:r w:rsidR="001314D4">
              <w:rPr>
                <w:rFonts w:asciiTheme="majorHAnsi" w:hAnsiTheme="majorHAnsi" w:cs="Arial"/>
              </w:rPr>
              <w:t>.</w:t>
            </w:r>
            <w:r w:rsidR="0064514D" w:rsidRPr="00923A6E">
              <w:t xml:space="preserve"> </w:t>
            </w:r>
            <w:r w:rsidR="0064514D" w:rsidRPr="00923A6E">
              <w:rPr>
                <w:rFonts w:asciiTheme="majorHAnsi" w:hAnsiTheme="majorHAnsi" w:cs="Arial"/>
              </w:rPr>
              <w:t xml:space="preserve">Also, the saving accounts operate within the republican and sub-national (local) budgets for unplanned expenses or expenses in emergencies. </w:t>
            </w:r>
          </w:p>
          <w:p w14:paraId="26A106DB" w14:textId="77777777" w:rsidR="009F69F1" w:rsidRPr="00923A6E" w:rsidRDefault="009F69F1" w:rsidP="009F69F1">
            <w:pPr>
              <w:spacing w:after="0" w:line="240" w:lineRule="auto"/>
              <w:jc w:val="both"/>
              <w:rPr>
                <w:rFonts w:asciiTheme="majorHAnsi" w:hAnsiTheme="majorHAnsi" w:cs="Arial"/>
              </w:rPr>
            </w:pPr>
          </w:p>
          <w:p w14:paraId="7C8EF32F" w14:textId="715A7D4C" w:rsidR="000D1E24" w:rsidRDefault="00166FAF" w:rsidP="009F69F1">
            <w:pPr>
              <w:pStyle w:val="affff9"/>
              <w:spacing w:after="0" w:line="240" w:lineRule="auto"/>
              <w:jc w:val="both"/>
              <w:rPr>
                <w:rFonts w:asciiTheme="majorHAnsi" w:hAnsiTheme="majorHAnsi"/>
                <w:sz w:val="22"/>
                <w:szCs w:val="22"/>
              </w:rPr>
            </w:pPr>
            <w:r w:rsidRPr="00923A6E">
              <w:rPr>
                <w:rFonts w:asciiTheme="majorHAnsi" w:hAnsiTheme="majorHAnsi" w:cs="Arial"/>
                <w:sz w:val="22"/>
                <w:szCs w:val="22"/>
              </w:rPr>
              <w:t xml:space="preserve">The budget formulation in the country </w:t>
            </w:r>
            <w:r w:rsidR="00A24D6D" w:rsidRPr="00923A6E">
              <w:rPr>
                <w:rFonts w:asciiTheme="majorHAnsi" w:hAnsiTheme="majorHAnsi" w:cs="Arial"/>
                <w:sz w:val="22"/>
                <w:szCs w:val="22"/>
              </w:rPr>
              <w:t>is</w:t>
            </w:r>
            <w:r w:rsidRPr="00923A6E">
              <w:rPr>
                <w:rFonts w:asciiTheme="majorHAnsi" w:hAnsiTheme="majorHAnsi" w:cs="Arial"/>
                <w:sz w:val="22"/>
                <w:szCs w:val="22"/>
              </w:rPr>
              <w:t xml:space="preserve"> characterized </w:t>
            </w:r>
            <w:r w:rsidR="00A24D6D" w:rsidRPr="00923A6E">
              <w:rPr>
                <w:rFonts w:asciiTheme="majorHAnsi" w:hAnsiTheme="majorHAnsi" w:cs="Arial"/>
                <w:sz w:val="22"/>
                <w:szCs w:val="22"/>
              </w:rPr>
              <w:t>as a three-phased process, starting</w:t>
            </w:r>
            <w:r w:rsidRPr="00923A6E">
              <w:rPr>
                <w:rFonts w:asciiTheme="majorHAnsi" w:hAnsiTheme="majorHAnsi" w:cs="Arial"/>
                <w:sz w:val="22"/>
                <w:szCs w:val="22"/>
              </w:rPr>
              <w:t xml:space="preserve"> with the preparation of </w:t>
            </w:r>
            <w:r w:rsidR="006466AF" w:rsidRPr="00923A6E">
              <w:rPr>
                <w:rFonts w:asciiTheme="majorHAnsi" w:hAnsiTheme="majorHAnsi" w:cs="Arial"/>
                <w:sz w:val="22"/>
                <w:szCs w:val="22"/>
              </w:rPr>
              <w:t>three-year rolling budgets- MTEF</w:t>
            </w:r>
            <w:r w:rsidRPr="00923A6E">
              <w:rPr>
                <w:rFonts w:asciiTheme="majorHAnsi" w:hAnsiTheme="majorHAnsi" w:cs="Arial"/>
                <w:sz w:val="22"/>
                <w:szCs w:val="22"/>
              </w:rPr>
              <w:t xml:space="preserve">, followed by </w:t>
            </w:r>
            <w:r w:rsidR="00DB5CED" w:rsidRPr="00923A6E">
              <w:rPr>
                <w:rFonts w:asciiTheme="majorHAnsi" w:hAnsiTheme="majorHAnsi" w:cs="Arial"/>
                <w:sz w:val="22"/>
                <w:szCs w:val="22"/>
              </w:rPr>
              <w:t xml:space="preserve">the </w:t>
            </w:r>
            <w:r w:rsidRPr="00923A6E">
              <w:rPr>
                <w:rFonts w:asciiTheme="majorHAnsi" w:hAnsiTheme="majorHAnsi" w:cs="Arial"/>
                <w:sz w:val="22"/>
                <w:szCs w:val="22"/>
              </w:rPr>
              <w:t xml:space="preserve">Budget Law. After Government’s approval of procedures and deadlines of the budgeting cycle, </w:t>
            </w:r>
            <w:r w:rsidRPr="00923A6E">
              <w:rPr>
                <w:rFonts w:asciiTheme="majorHAnsi" w:hAnsiTheme="majorHAnsi"/>
                <w:sz w:val="22"/>
                <w:szCs w:val="22"/>
              </w:rPr>
              <w:t xml:space="preserve">the </w:t>
            </w:r>
            <w:r w:rsidR="00557C70" w:rsidRPr="00923A6E">
              <w:rPr>
                <w:rFonts w:asciiTheme="majorHAnsi" w:hAnsiTheme="majorHAnsi"/>
                <w:sz w:val="22"/>
                <w:szCs w:val="22"/>
              </w:rPr>
              <w:t>Ministry of National Economy</w:t>
            </w:r>
            <w:r w:rsidR="0089414A">
              <w:rPr>
                <w:rFonts w:asciiTheme="majorHAnsi" w:hAnsiTheme="majorHAnsi"/>
                <w:sz w:val="22"/>
                <w:szCs w:val="22"/>
              </w:rPr>
              <w:t xml:space="preserve"> (MoNE)</w:t>
            </w:r>
            <w:r w:rsidRPr="00923A6E">
              <w:rPr>
                <w:rFonts w:asciiTheme="majorHAnsi" w:hAnsiTheme="majorHAnsi"/>
                <w:sz w:val="22"/>
                <w:szCs w:val="22"/>
              </w:rPr>
              <w:t xml:space="preserve"> </w:t>
            </w:r>
            <w:r w:rsidRPr="00923A6E">
              <w:rPr>
                <w:rFonts w:asciiTheme="majorHAnsi" w:hAnsiTheme="majorHAnsi" w:cs="Arial"/>
                <w:sz w:val="22"/>
                <w:szCs w:val="22"/>
              </w:rPr>
              <w:t xml:space="preserve">develops the main directions of the country’s fiscal and tax policy and makes an </w:t>
            </w:r>
            <w:r w:rsidRPr="00923A6E">
              <w:rPr>
                <w:rFonts w:asciiTheme="majorHAnsi" w:hAnsiTheme="majorHAnsi"/>
                <w:sz w:val="22"/>
                <w:szCs w:val="22"/>
              </w:rPr>
              <w:t>annual forecast of social and economic develop</w:t>
            </w:r>
            <w:r w:rsidR="0089414A">
              <w:rPr>
                <w:rFonts w:asciiTheme="majorHAnsi" w:hAnsiTheme="majorHAnsi"/>
                <w:sz w:val="22"/>
                <w:szCs w:val="22"/>
              </w:rPr>
              <w:t>ment, which is approved by the Republican Budgetary C</w:t>
            </w:r>
            <w:r w:rsidR="001F730E" w:rsidRPr="00923A6E">
              <w:rPr>
                <w:rFonts w:asciiTheme="majorHAnsi" w:hAnsiTheme="majorHAnsi"/>
                <w:sz w:val="22"/>
                <w:szCs w:val="22"/>
              </w:rPr>
              <w:t>ommission and then by the g</w:t>
            </w:r>
            <w:r w:rsidR="00226984">
              <w:rPr>
                <w:rFonts w:asciiTheme="majorHAnsi" w:hAnsiTheme="majorHAnsi"/>
                <w:sz w:val="22"/>
                <w:szCs w:val="22"/>
              </w:rPr>
              <w:t>overnment. The</w:t>
            </w:r>
            <w:r w:rsidRPr="00923A6E">
              <w:rPr>
                <w:rFonts w:asciiTheme="majorHAnsi" w:hAnsiTheme="majorHAnsi"/>
                <w:sz w:val="22"/>
                <w:szCs w:val="22"/>
              </w:rPr>
              <w:t xml:space="preserve"> document serves as the basis </w:t>
            </w:r>
            <w:r w:rsidRPr="00923A6E">
              <w:rPr>
                <w:rStyle w:val="longtext"/>
                <w:rFonts w:asciiTheme="majorHAnsi" w:hAnsiTheme="majorHAnsi" w:cs="Arial"/>
                <w:sz w:val="22"/>
                <w:szCs w:val="22"/>
              </w:rPr>
              <w:t xml:space="preserve">for regions and cities of republican significance to prepare the forecasts of the social and economic development at the sub-national level to be approved by the local executive. </w:t>
            </w:r>
            <w:r w:rsidRPr="00923A6E">
              <w:rPr>
                <w:rFonts w:asciiTheme="majorHAnsi" w:hAnsiTheme="majorHAnsi"/>
                <w:sz w:val="22"/>
                <w:szCs w:val="22"/>
              </w:rPr>
              <w:t>The forecast takes its direction from the Strategy of Kazakhstan-2050</w:t>
            </w:r>
            <w:r w:rsidR="00557C70" w:rsidRPr="00923A6E">
              <w:rPr>
                <w:rStyle w:val="af"/>
                <w:rFonts w:asciiTheme="majorHAnsi" w:hAnsiTheme="majorHAnsi"/>
                <w:sz w:val="22"/>
                <w:szCs w:val="22"/>
              </w:rPr>
              <w:footnoteReference w:id="9"/>
            </w:r>
            <w:r w:rsidRPr="00923A6E">
              <w:rPr>
                <w:rFonts w:asciiTheme="majorHAnsi" w:hAnsiTheme="majorHAnsi"/>
                <w:sz w:val="22"/>
                <w:szCs w:val="22"/>
              </w:rPr>
              <w:t xml:space="preserve">, multi-year strategic plans and the President’s annual message. The Ministry of Finance does the budget formulation </w:t>
            </w:r>
            <w:r w:rsidRPr="00923A6E">
              <w:rPr>
                <w:rFonts w:asciiTheme="majorHAnsi" w:hAnsiTheme="majorHAnsi" w:cs="Arial"/>
                <w:sz w:val="22"/>
                <w:szCs w:val="22"/>
              </w:rPr>
              <w:t>and establishes budget ceilings for the sectors</w:t>
            </w:r>
            <w:r w:rsidR="00A24D6D" w:rsidRPr="00923A6E">
              <w:rPr>
                <w:rFonts w:asciiTheme="majorHAnsi" w:hAnsiTheme="majorHAnsi" w:cs="Arial"/>
                <w:sz w:val="22"/>
                <w:szCs w:val="22"/>
              </w:rPr>
              <w:t>, initiating the discussions with</w:t>
            </w:r>
            <w:r w:rsidR="00DB5CED" w:rsidRPr="00923A6E">
              <w:rPr>
                <w:rFonts w:asciiTheme="majorHAnsi" w:hAnsiTheme="majorHAnsi" w:cs="Arial"/>
                <w:sz w:val="22"/>
                <w:szCs w:val="22"/>
              </w:rPr>
              <w:t xml:space="preserve"> ministries </w:t>
            </w:r>
            <w:r w:rsidRPr="00923A6E">
              <w:rPr>
                <w:rFonts w:asciiTheme="majorHAnsi" w:hAnsiTheme="majorHAnsi" w:cs="Arial"/>
                <w:sz w:val="22"/>
                <w:szCs w:val="22"/>
              </w:rPr>
              <w:t>respon</w:t>
            </w:r>
            <w:r w:rsidR="001516AF">
              <w:rPr>
                <w:rFonts w:asciiTheme="majorHAnsi" w:hAnsiTheme="majorHAnsi" w:cs="Arial"/>
                <w:sz w:val="22"/>
                <w:szCs w:val="22"/>
              </w:rPr>
              <w:t>sible for</w:t>
            </w:r>
            <w:r w:rsidRPr="00923A6E">
              <w:rPr>
                <w:rFonts w:asciiTheme="majorHAnsi" w:hAnsiTheme="majorHAnsi" w:cs="Arial"/>
                <w:sz w:val="22"/>
                <w:szCs w:val="22"/>
              </w:rPr>
              <w:t xml:space="preserve"> their organization-based strategic development plans by defining the sector’s priorities and highlighting the results to be achieved by allocated funds</w:t>
            </w:r>
            <w:r w:rsidR="00DB5CED" w:rsidRPr="00923A6E">
              <w:rPr>
                <w:rFonts w:asciiTheme="majorHAnsi" w:hAnsiTheme="majorHAnsi" w:cs="Arial"/>
                <w:sz w:val="22"/>
                <w:szCs w:val="22"/>
              </w:rPr>
              <w:t xml:space="preserve">. </w:t>
            </w:r>
            <w:r w:rsidRPr="00923A6E">
              <w:rPr>
                <w:rFonts w:asciiTheme="majorHAnsi" w:hAnsiTheme="majorHAnsi"/>
                <w:sz w:val="22"/>
                <w:szCs w:val="22"/>
              </w:rPr>
              <w:t xml:space="preserve">The budget package is then presented to the parliament </w:t>
            </w:r>
            <w:r w:rsidR="00DE6973">
              <w:rPr>
                <w:rFonts w:asciiTheme="majorHAnsi" w:hAnsiTheme="majorHAnsi"/>
                <w:sz w:val="22"/>
                <w:szCs w:val="22"/>
              </w:rPr>
              <w:t>for ratification and adoption of the Budget Law</w:t>
            </w:r>
            <w:r w:rsidR="00AB6367">
              <w:rPr>
                <w:rFonts w:asciiTheme="majorHAnsi" w:hAnsiTheme="majorHAnsi"/>
                <w:sz w:val="22"/>
                <w:szCs w:val="22"/>
              </w:rPr>
              <w:t xml:space="preserve"> for three consecutive years</w:t>
            </w:r>
            <w:r w:rsidR="00DE6973">
              <w:rPr>
                <w:rFonts w:asciiTheme="majorHAnsi" w:hAnsiTheme="majorHAnsi"/>
                <w:sz w:val="22"/>
                <w:szCs w:val="22"/>
              </w:rPr>
              <w:t xml:space="preserve">. </w:t>
            </w:r>
          </w:p>
          <w:p w14:paraId="0D8E4094" w14:textId="77777777" w:rsidR="000D1E24" w:rsidRDefault="000D1E24" w:rsidP="009F69F1">
            <w:pPr>
              <w:pStyle w:val="affff9"/>
              <w:spacing w:after="0" w:line="240" w:lineRule="auto"/>
              <w:jc w:val="both"/>
              <w:rPr>
                <w:rFonts w:asciiTheme="majorHAnsi" w:hAnsiTheme="majorHAnsi"/>
                <w:sz w:val="22"/>
                <w:szCs w:val="22"/>
              </w:rPr>
            </w:pPr>
          </w:p>
          <w:p w14:paraId="49B803E6" w14:textId="77777777" w:rsidR="00906E0A" w:rsidRDefault="00802149" w:rsidP="009F69F1">
            <w:pPr>
              <w:pStyle w:val="affff9"/>
              <w:spacing w:after="0" w:line="240" w:lineRule="auto"/>
              <w:jc w:val="both"/>
              <w:rPr>
                <w:rFonts w:asciiTheme="majorHAnsi" w:hAnsiTheme="majorHAnsi" w:cstheme="majorHAnsi"/>
                <w:sz w:val="22"/>
                <w:szCs w:val="22"/>
              </w:rPr>
            </w:pPr>
            <w:r w:rsidRPr="00923A6E">
              <w:rPr>
                <w:rFonts w:asciiTheme="majorHAnsi" w:hAnsiTheme="majorHAnsi"/>
                <w:sz w:val="22"/>
                <w:szCs w:val="22"/>
              </w:rPr>
              <w:t>As a basis for the preparation of the draft republican budget for 2022–2024, the baseline scenario was taken, assuming moderate growth rates of the world economy, recovery of business activity, and a gradual increase in demand, a less volatile situation on external exchange markets and the adaptation of economic policy to the new realities of the global development. At the same time, the leveling of the negative consequence</w:t>
            </w:r>
            <w:r w:rsidR="00160385" w:rsidRPr="00923A6E">
              <w:rPr>
                <w:rFonts w:asciiTheme="majorHAnsi" w:hAnsiTheme="majorHAnsi"/>
                <w:sz w:val="22"/>
                <w:szCs w:val="22"/>
              </w:rPr>
              <w:t xml:space="preserve">s of the </w:t>
            </w:r>
            <w:r w:rsidR="00160385" w:rsidRPr="00923A6E">
              <w:rPr>
                <w:rFonts w:asciiTheme="majorHAnsi" w:hAnsiTheme="majorHAnsi" w:cstheme="majorHAnsi"/>
                <w:sz w:val="22"/>
                <w:szCs w:val="22"/>
              </w:rPr>
              <w:t>coronavirus pandemic is</w:t>
            </w:r>
            <w:r w:rsidRPr="00923A6E">
              <w:rPr>
                <w:rFonts w:asciiTheme="majorHAnsi" w:hAnsiTheme="majorHAnsi" w:cstheme="majorHAnsi"/>
                <w:sz w:val="22"/>
                <w:szCs w:val="22"/>
              </w:rPr>
              <w:t xml:space="preserve"> expected and the gradual stabilization of the epidemiol</w:t>
            </w:r>
            <w:r w:rsidR="00280771" w:rsidRPr="00923A6E">
              <w:rPr>
                <w:rFonts w:asciiTheme="majorHAnsi" w:hAnsiTheme="majorHAnsi" w:cstheme="majorHAnsi"/>
                <w:sz w:val="22"/>
                <w:szCs w:val="22"/>
              </w:rPr>
              <w:t>ogical situation through non-pharmaceutical</w:t>
            </w:r>
            <w:r w:rsidRPr="00923A6E">
              <w:rPr>
                <w:rFonts w:asciiTheme="majorHAnsi" w:hAnsiTheme="majorHAnsi" w:cstheme="majorHAnsi"/>
                <w:sz w:val="22"/>
                <w:szCs w:val="22"/>
              </w:rPr>
              <w:t xml:space="preserve"> measures and enhance</w:t>
            </w:r>
            <w:r w:rsidR="00280771" w:rsidRPr="00923A6E">
              <w:rPr>
                <w:rFonts w:asciiTheme="majorHAnsi" w:hAnsiTheme="majorHAnsi" w:cstheme="majorHAnsi"/>
                <w:sz w:val="22"/>
                <w:szCs w:val="22"/>
              </w:rPr>
              <w:t>d</w:t>
            </w:r>
            <w:r w:rsidRPr="00923A6E">
              <w:rPr>
                <w:rFonts w:asciiTheme="majorHAnsi" w:hAnsiTheme="majorHAnsi" w:cstheme="majorHAnsi"/>
                <w:sz w:val="22"/>
                <w:szCs w:val="22"/>
              </w:rPr>
              <w:t xml:space="preserve"> vaccination</w:t>
            </w:r>
            <w:r w:rsidR="00B62C03" w:rsidRPr="00923A6E">
              <w:rPr>
                <w:rFonts w:asciiTheme="majorHAnsi" w:hAnsiTheme="majorHAnsi" w:cstheme="majorHAnsi"/>
                <w:sz w:val="22"/>
                <w:szCs w:val="22"/>
              </w:rPr>
              <w:t xml:space="preserve"> are </w:t>
            </w:r>
            <w:r w:rsidR="00AA7942" w:rsidRPr="00923A6E">
              <w:rPr>
                <w:rFonts w:asciiTheme="majorHAnsi" w:hAnsiTheme="majorHAnsi" w:cstheme="majorHAnsi"/>
                <w:sz w:val="22"/>
                <w:szCs w:val="22"/>
              </w:rPr>
              <w:t>foreseen</w:t>
            </w:r>
            <w:r w:rsidRPr="00923A6E">
              <w:rPr>
                <w:rFonts w:asciiTheme="majorHAnsi" w:hAnsiTheme="majorHAnsi" w:cstheme="majorHAnsi"/>
                <w:sz w:val="22"/>
                <w:szCs w:val="22"/>
              </w:rPr>
              <w:t>.</w:t>
            </w:r>
            <w:r w:rsidR="00280771" w:rsidRPr="00923A6E">
              <w:rPr>
                <w:rFonts w:asciiTheme="majorHAnsi" w:hAnsiTheme="majorHAnsi" w:cstheme="majorHAnsi"/>
                <w:sz w:val="22"/>
                <w:szCs w:val="22"/>
              </w:rPr>
              <w:t xml:space="preserve"> </w:t>
            </w:r>
            <w:r w:rsidR="00923A6E" w:rsidRPr="00923A6E">
              <w:rPr>
                <w:rFonts w:asciiTheme="majorHAnsi" w:hAnsiTheme="majorHAnsi" w:cstheme="majorHAnsi"/>
                <w:sz w:val="22"/>
                <w:szCs w:val="22"/>
              </w:rPr>
              <w:t xml:space="preserve">Albeit at a slower pace, Kazakhstan’s recovery is forecasted to be robust of the double shock the country faced from the global Covid-19 crisis and the drop in oil prices in 2020. These shocks hit the economy markedly and </w:t>
            </w:r>
            <w:r w:rsidR="00923A6E" w:rsidRPr="00923A6E">
              <w:rPr>
                <w:rFonts w:asciiTheme="majorHAnsi" w:hAnsiTheme="majorHAnsi" w:cstheme="majorHAnsi"/>
                <w:sz w:val="22"/>
                <w:szCs w:val="22"/>
                <w:lang w:val="en-GB"/>
              </w:rPr>
              <w:t xml:space="preserve">the </w:t>
            </w:r>
            <w:r w:rsidR="00923A6E" w:rsidRPr="00923A6E">
              <w:rPr>
                <w:rFonts w:asciiTheme="majorHAnsi" w:hAnsiTheme="majorHAnsi" w:cstheme="majorHAnsi"/>
                <w:sz w:val="22"/>
                <w:szCs w:val="22"/>
              </w:rPr>
              <w:t>GDP contracted by -2.8% in 2020. With lifting the COVID-19 measures and getting the outbreak under control, it has expanded by 2.3% in the second quarter of 2021 over the same quarter in the previous year.</w:t>
            </w:r>
          </w:p>
          <w:p w14:paraId="686043AE" w14:textId="77777777" w:rsidR="00906E0A" w:rsidRDefault="00906E0A" w:rsidP="009F69F1">
            <w:pPr>
              <w:pStyle w:val="affff9"/>
              <w:spacing w:after="0" w:line="240" w:lineRule="auto"/>
              <w:jc w:val="both"/>
              <w:rPr>
                <w:rFonts w:asciiTheme="majorHAnsi" w:hAnsiTheme="majorHAnsi" w:cstheme="majorHAnsi"/>
                <w:sz w:val="22"/>
                <w:szCs w:val="22"/>
              </w:rPr>
            </w:pPr>
          </w:p>
          <w:p w14:paraId="5284E26C" w14:textId="7AC08C8C" w:rsidR="001516AF" w:rsidRDefault="00923A6E" w:rsidP="009F69F1">
            <w:pPr>
              <w:pStyle w:val="affff9"/>
              <w:spacing w:after="0" w:line="240" w:lineRule="auto"/>
              <w:jc w:val="both"/>
              <w:rPr>
                <w:rFonts w:asciiTheme="majorHAnsi" w:hAnsiTheme="majorHAnsi" w:cstheme="majorHAnsi"/>
                <w:sz w:val="22"/>
                <w:szCs w:val="22"/>
              </w:rPr>
            </w:pPr>
            <w:r w:rsidRPr="00923A6E">
              <w:rPr>
                <w:rFonts w:asciiTheme="majorHAnsi" w:hAnsiTheme="majorHAnsi" w:cstheme="majorHAnsi"/>
                <w:sz w:val="22"/>
                <w:szCs w:val="22"/>
              </w:rPr>
              <w:t>The</w:t>
            </w:r>
            <w:r>
              <w:rPr>
                <w:rFonts w:asciiTheme="majorHAnsi" w:hAnsiTheme="majorHAnsi" w:cstheme="majorHAnsi"/>
                <w:sz w:val="22"/>
                <w:szCs w:val="22"/>
              </w:rPr>
              <w:t xml:space="preserve"> projected pace of growth is 3.9</w:t>
            </w:r>
            <w:r w:rsidRPr="00923A6E">
              <w:rPr>
                <w:rFonts w:asciiTheme="majorHAnsi" w:hAnsiTheme="majorHAnsi" w:cstheme="majorHAnsi"/>
                <w:sz w:val="22"/>
                <w:szCs w:val="22"/>
              </w:rPr>
              <w:t>% in 2022</w:t>
            </w:r>
            <w:r w:rsidR="00FC1B8B">
              <w:rPr>
                <w:rFonts w:asciiTheme="majorHAnsi" w:hAnsiTheme="majorHAnsi" w:cstheme="majorHAnsi"/>
                <w:sz w:val="22"/>
                <w:szCs w:val="22"/>
              </w:rPr>
              <w:t>,</w:t>
            </w:r>
            <w:r>
              <w:rPr>
                <w:rFonts w:asciiTheme="majorHAnsi" w:hAnsiTheme="majorHAnsi" w:cstheme="majorHAnsi"/>
                <w:sz w:val="22"/>
                <w:szCs w:val="22"/>
              </w:rPr>
              <w:t xml:space="preserve"> with further growth to 5.2% in 2026</w:t>
            </w:r>
            <w:r w:rsidRPr="00923A6E">
              <w:rPr>
                <w:rStyle w:val="af"/>
                <w:rFonts w:asciiTheme="majorHAnsi" w:hAnsiTheme="majorHAnsi" w:cstheme="majorHAnsi"/>
                <w:sz w:val="22"/>
                <w:szCs w:val="22"/>
              </w:rPr>
              <w:footnoteReference w:id="10"/>
            </w:r>
            <w:r w:rsidRPr="00923A6E">
              <w:rPr>
                <w:rFonts w:asciiTheme="majorHAnsi" w:hAnsiTheme="majorHAnsi" w:cstheme="majorHAnsi"/>
                <w:sz w:val="22"/>
                <w:szCs w:val="22"/>
              </w:rPr>
              <w:t xml:space="preserve">, </w:t>
            </w:r>
            <w:r w:rsidRPr="00923A6E">
              <w:rPr>
                <w:rFonts w:ascii="Arial" w:hAnsi="Arial" w:cs="Arial"/>
                <w:bCs/>
                <w:sz w:val="22"/>
                <w:szCs w:val="22"/>
              </w:rPr>
              <w:t xml:space="preserve">but significant downside risks yet </w:t>
            </w:r>
            <w:r w:rsidR="00FC1B8B">
              <w:rPr>
                <w:rFonts w:ascii="Arial" w:hAnsi="Arial" w:cs="Arial"/>
                <w:bCs/>
                <w:sz w:val="22"/>
                <w:szCs w:val="22"/>
              </w:rPr>
              <w:t>remain</w:t>
            </w:r>
            <w:r w:rsidRPr="001516AF">
              <w:rPr>
                <w:rFonts w:ascii="Arial" w:hAnsi="Arial" w:cs="Arial"/>
                <w:bCs/>
                <w:sz w:val="22"/>
                <w:szCs w:val="22"/>
              </w:rPr>
              <w:t xml:space="preserve"> </w:t>
            </w:r>
            <w:r w:rsidRPr="001516AF">
              <w:rPr>
                <w:rFonts w:ascii="Arial" w:hAnsi="Arial" w:cs="Arial"/>
                <w:sz w:val="22"/>
                <w:szCs w:val="22"/>
              </w:rPr>
              <w:t>due to uneven economic recovery across countries and higher debt-related risks to the global financial market</w:t>
            </w:r>
            <w:r w:rsidR="00280771" w:rsidRPr="001516AF">
              <w:rPr>
                <w:rFonts w:asciiTheme="majorHAnsi" w:hAnsiTheme="majorHAnsi" w:cstheme="majorHAnsi"/>
                <w:sz w:val="22"/>
                <w:szCs w:val="22"/>
              </w:rPr>
              <w:t xml:space="preserve">. </w:t>
            </w:r>
            <w:r w:rsidRPr="001516AF">
              <w:rPr>
                <w:rFonts w:asciiTheme="majorHAnsi" w:hAnsiTheme="majorHAnsi" w:cstheme="majorHAnsi"/>
                <w:sz w:val="22"/>
                <w:szCs w:val="22"/>
              </w:rPr>
              <w:t xml:space="preserve">To adjust to external shocks caused by the pandemic, including depressed global demand and oil price, which is Kazakhstan's main export commodity, the Government has allowed sticking to a free-floating exchange rate regime for the local tenge currency, which resulted in tenge overall depreciation by 10% in 2020. An emergency interest rate hike from 9.25% to 12% on 10 March 2020 failed to stem a plunge to the record low. </w:t>
            </w:r>
            <w:r w:rsidR="001B385B" w:rsidRPr="001516AF">
              <w:rPr>
                <w:rFonts w:asciiTheme="majorHAnsi" w:hAnsiTheme="majorHAnsi" w:cstheme="majorHAnsi"/>
                <w:sz w:val="22"/>
                <w:szCs w:val="22"/>
              </w:rPr>
              <w:t>P</w:t>
            </w:r>
            <w:r w:rsidR="008D08EB" w:rsidRPr="001516AF">
              <w:rPr>
                <w:rFonts w:asciiTheme="majorHAnsi" w:hAnsiTheme="majorHAnsi" w:cstheme="majorHAnsi"/>
                <w:sz w:val="22"/>
                <w:szCs w:val="22"/>
              </w:rPr>
              <w:t xml:space="preserve">rojections </w:t>
            </w:r>
            <w:r w:rsidR="00CF7E5B">
              <w:rPr>
                <w:rFonts w:asciiTheme="majorHAnsi" w:hAnsiTheme="majorHAnsi" w:cstheme="majorHAnsi"/>
                <w:sz w:val="22"/>
                <w:szCs w:val="22"/>
              </w:rPr>
              <w:t>in the</w:t>
            </w:r>
            <w:r w:rsidR="001B385B" w:rsidRPr="001516AF">
              <w:rPr>
                <w:rFonts w:asciiTheme="majorHAnsi" w:hAnsiTheme="majorHAnsi" w:cstheme="majorHAnsi"/>
                <w:sz w:val="22"/>
                <w:szCs w:val="22"/>
              </w:rPr>
              <w:t xml:space="preserve"> Budget Law for 2022-2024 are made </w:t>
            </w:r>
            <w:r w:rsidR="008D08EB" w:rsidRPr="001516AF">
              <w:rPr>
                <w:rFonts w:asciiTheme="majorHAnsi" w:hAnsiTheme="majorHAnsi" w:cstheme="majorHAnsi"/>
                <w:sz w:val="22"/>
                <w:szCs w:val="22"/>
              </w:rPr>
              <w:t xml:space="preserve">at </w:t>
            </w:r>
            <w:r w:rsidR="00FC1B8B">
              <w:rPr>
                <w:rFonts w:asciiTheme="majorHAnsi" w:hAnsiTheme="majorHAnsi" w:cstheme="majorHAnsi"/>
                <w:sz w:val="22"/>
                <w:szCs w:val="22"/>
              </w:rPr>
              <w:t xml:space="preserve">a global </w:t>
            </w:r>
            <w:r w:rsidR="001F730E" w:rsidRPr="001516AF">
              <w:rPr>
                <w:rFonts w:asciiTheme="majorHAnsi" w:hAnsiTheme="majorHAnsi" w:cstheme="majorHAnsi"/>
                <w:sz w:val="22"/>
                <w:szCs w:val="22"/>
              </w:rPr>
              <w:t>oil price of US$</w:t>
            </w:r>
            <w:r w:rsidR="00EB682F" w:rsidRPr="001516AF">
              <w:rPr>
                <w:rFonts w:asciiTheme="majorHAnsi" w:hAnsiTheme="majorHAnsi" w:cstheme="majorHAnsi"/>
                <w:sz w:val="22"/>
                <w:szCs w:val="22"/>
              </w:rPr>
              <w:t>60 per barrel</w:t>
            </w:r>
            <w:r w:rsidR="007B0ADA" w:rsidRPr="001516AF">
              <w:rPr>
                <w:rFonts w:asciiTheme="majorHAnsi" w:hAnsiTheme="majorHAnsi" w:cstheme="majorHAnsi"/>
                <w:sz w:val="22"/>
                <w:szCs w:val="22"/>
              </w:rPr>
              <w:t xml:space="preserve"> </w:t>
            </w:r>
            <w:r w:rsidR="00EB682F" w:rsidRPr="001516AF">
              <w:rPr>
                <w:rFonts w:asciiTheme="majorHAnsi" w:hAnsiTheme="majorHAnsi" w:cstheme="majorHAnsi"/>
                <w:sz w:val="22"/>
                <w:szCs w:val="22"/>
              </w:rPr>
              <w:t xml:space="preserve">(US$1 to </w:t>
            </w:r>
            <w:r w:rsidR="007B0ADA" w:rsidRPr="001516AF">
              <w:rPr>
                <w:rFonts w:asciiTheme="majorHAnsi" w:hAnsiTheme="majorHAnsi" w:cstheme="majorHAnsi"/>
                <w:sz w:val="22"/>
                <w:szCs w:val="22"/>
              </w:rPr>
              <w:t>425 tenge</w:t>
            </w:r>
            <w:r w:rsidR="00EB682F" w:rsidRPr="001516AF">
              <w:rPr>
                <w:rFonts w:asciiTheme="majorHAnsi" w:hAnsiTheme="majorHAnsi" w:cstheme="majorHAnsi"/>
                <w:sz w:val="22"/>
                <w:szCs w:val="22"/>
              </w:rPr>
              <w:t xml:space="preserve"> rate</w:t>
            </w:r>
            <w:proofErr w:type="gramStart"/>
            <w:r w:rsidR="00EB682F" w:rsidRPr="001516AF">
              <w:rPr>
                <w:rFonts w:asciiTheme="majorHAnsi" w:hAnsiTheme="majorHAnsi" w:cstheme="majorHAnsi"/>
                <w:sz w:val="22"/>
                <w:szCs w:val="22"/>
              </w:rPr>
              <w:t>), and</w:t>
            </w:r>
            <w:proofErr w:type="gramEnd"/>
            <w:r w:rsidR="008D08EB" w:rsidRPr="001516AF">
              <w:rPr>
                <w:rFonts w:asciiTheme="majorHAnsi" w:hAnsiTheme="majorHAnsi" w:cstheme="majorHAnsi"/>
                <w:sz w:val="22"/>
                <w:szCs w:val="22"/>
              </w:rPr>
              <w:t xml:space="preserve"> estimated annual production volumes. </w:t>
            </w:r>
            <w:r w:rsidR="001B385B" w:rsidRPr="001516AF">
              <w:rPr>
                <w:rFonts w:asciiTheme="majorHAnsi" w:hAnsiTheme="majorHAnsi" w:cstheme="majorHAnsi"/>
                <w:sz w:val="22"/>
                <w:szCs w:val="22"/>
              </w:rPr>
              <w:t>The National Bank expects inflation to remain within the target range of 4</w:t>
            </w:r>
            <w:r w:rsidR="00A2453B">
              <w:rPr>
                <w:rFonts w:asciiTheme="majorHAnsi" w:hAnsiTheme="majorHAnsi" w:cstheme="majorHAnsi"/>
                <w:sz w:val="22"/>
                <w:szCs w:val="22"/>
              </w:rPr>
              <w:t>.0</w:t>
            </w:r>
            <w:r w:rsidR="001B385B" w:rsidRPr="001516AF">
              <w:rPr>
                <w:rFonts w:asciiTheme="majorHAnsi" w:hAnsiTheme="majorHAnsi" w:cstheme="majorHAnsi"/>
                <w:sz w:val="22"/>
                <w:szCs w:val="22"/>
              </w:rPr>
              <w:t>-6</w:t>
            </w:r>
            <w:r w:rsidR="00A2453B">
              <w:rPr>
                <w:rFonts w:asciiTheme="majorHAnsi" w:hAnsiTheme="majorHAnsi" w:cstheme="majorHAnsi"/>
                <w:sz w:val="22"/>
                <w:szCs w:val="22"/>
              </w:rPr>
              <w:t>.0</w:t>
            </w:r>
            <w:r w:rsidR="001B385B" w:rsidRPr="001516AF">
              <w:rPr>
                <w:rFonts w:asciiTheme="majorHAnsi" w:hAnsiTheme="majorHAnsi" w:cstheme="majorHAnsi"/>
                <w:sz w:val="22"/>
                <w:szCs w:val="22"/>
              </w:rPr>
              <w:t xml:space="preserve">% until the end </w:t>
            </w:r>
            <w:r w:rsidR="00FC1B8B">
              <w:rPr>
                <w:rFonts w:asciiTheme="majorHAnsi" w:hAnsiTheme="majorHAnsi" w:cstheme="majorHAnsi"/>
                <w:sz w:val="22"/>
                <w:szCs w:val="22"/>
              </w:rPr>
              <w:t xml:space="preserve">of </w:t>
            </w:r>
            <w:r w:rsidR="001B385B" w:rsidRPr="001516AF">
              <w:rPr>
                <w:rFonts w:asciiTheme="majorHAnsi" w:hAnsiTheme="majorHAnsi" w:cstheme="majorHAnsi"/>
                <w:sz w:val="22"/>
                <w:szCs w:val="22"/>
              </w:rPr>
              <w:t>202</w:t>
            </w:r>
            <w:r w:rsidR="00520859">
              <w:rPr>
                <w:rFonts w:asciiTheme="majorHAnsi" w:hAnsiTheme="majorHAnsi" w:cstheme="majorHAnsi"/>
                <w:sz w:val="22"/>
                <w:szCs w:val="22"/>
              </w:rPr>
              <w:t xml:space="preserve">2, 4.0-5.0% in 2023-2024, </w:t>
            </w:r>
            <w:r w:rsidR="00520859" w:rsidRPr="00A2453B">
              <w:rPr>
                <w:rFonts w:asciiTheme="majorHAnsi" w:hAnsiTheme="majorHAnsi" w:cstheme="majorHAnsi"/>
                <w:sz w:val="22"/>
                <w:szCs w:val="22"/>
              </w:rPr>
              <w:t>and 3</w:t>
            </w:r>
            <w:r w:rsidR="00A2453B">
              <w:rPr>
                <w:rFonts w:asciiTheme="majorHAnsi" w:hAnsiTheme="majorHAnsi" w:cstheme="majorHAnsi"/>
                <w:sz w:val="22"/>
                <w:szCs w:val="22"/>
              </w:rPr>
              <w:t>.0-4.0</w:t>
            </w:r>
            <w:r w:rsidR="001B385B" w:rsidRPr="00A2453B">
              <w:rPr>
                <w:rFonts w:asciiTheme="majorHAnsi" w:hAnsiTheme="majorHAnsi" w:cstheme="majorHAnsi"/>
                <w:sz w:val="22"/>
                <w:szCs w:val="22"/>
              </w:rPr>
              <w:t>% i</w:t>
            </w:r>
            <w:r w:rsidR="001F730E" w:rsidRPr="00A2453B">
              <w:rPr>
                <w:rFonts w:asciiTheme="majorHAnsi" w:hAnsiTheme="majorHAnsi" w:cstheme="majorHAnsi"/>
                <w:sz w:val="22"/>
                <w:szCs w:val="22"/>
              </w:rPr>
              <w:t>n 2025-2026.</w:t>
            </w:r>
            <w:r w:rsidR="001F730E" w:rsidRPr="001516AF">
              <w:rPr>
                <w:rFonts w:asciiTheme="majorHAnsi" w:hAnsiTheme="majorHAnsi" w:cstheme="majorHAnsi"/>
                <w:sz w:val="22"/>
                <w:szCs w:val="22"/>
              </w:rPr>
              <w:t xml:space="preserve"> To achieve the </w:t>
            </w:r>
            <w:r w:rsidR="001B385B" w:rsidRPr="001516AF">
              <w:rPr>
                <w:rFonts w:asciiTheme="majorHAnsi" w:hAnsiTheme="majorHAnsi" w:cstheme="majorHAnsi"/>
                <w:sz w:val="22"/>
                <w:szCs w:val="22"/>
              </w:rPr>
              <w:t>goals</w:t>
            </w:r>
            <w:r w:rsidR="001F730E" w:rsidRPr="001516AF">
              <w:rPr>
                <w:rFonts w:asciiTheme="majorHAnsi" w:hAnsiTheme="majorHAnsi" w:cstheme="majorHAnsi"/>
                <w:sz w:val="22"/>
                <w:szCs w:val="22"/>
              </w:rPr>
              <w:t xml:space="preserve"> the country set in </w:t>
            </w:r>
            <w:r w:rsidR="00FC1B8B">
              <w:rPr>
                <w:rFonts w:asciiTheme="majorHAnsi" w:hAnsiTheme="majorHAnsi" w:cstheme="majorHAnsi"/>
                <w:sz w:val="22"/>
                <w:szCs w:val="22"/>
              </w:rPr>
              <w:t xml:space="preserve">the </w:t>
            </w:r>
            <w:r w:rsidR="001F730E" w:rsidRPr="001516AF">
              <w:rPr>
                <w:rFonts w:asciiTheme="majorHAnsi" w:hAnsiTheme="majorHAnsi" w:cstheme="majorHAnsi"/>
                <w:sz w:val="22"/>
                <w:szCs w:val="22"/>
              </w:rPr>
              <w:t>mid-term</w:t>
            </w:r>
            <w:r w:rsidR="001B385B" w:rsidRPr="001516AF">
              <w:rPr>
                <w:rFonts w:asciiTheme="majorHAnsi" w:hAnsiTheme="majorHAnsi" w:cstheme="majorHAnsi"/>
                <w:sz w:val="22"/>
                <w:szCs w:val="22"/>
              </w:rPr>
              <w:t>, the Na</w:t>
            </w:r>
            <w:r w:rsidRPr="001516AF">
              <w:rPr>
                <w:rFonts w:asciiTheme="majorHAnsi" w:hAnsiTheme="majorHAnsi" w:cstheme="majorHAnsi"/>
                <w:sz w:val="22"/>
                <w:szCs w:val="22"/>
              </w:rPr>
              <w:t>tional Bank plans to</w:t>
            </w:r>
            <w:r w:rsidR="001B385B" w:rsidRPr="001516AF">
              <w:rPr>
                <w:rFonts w:asciiTheme="majorHAnsi" w:hAnsiTheme="majorHAnsi" w:cstheme="majorHAnsi"/>
                <w:sz w:val="22"/>
                <w:szCs w:val="22"/>
              </w:rPr>
              <w:t xml:space="preserve"> pursue a balanced monetary policy with an increase</w:t>
            </w:r>
            <w:r w:rsidR="001F730E" w:rsidRPr="001516AF">
              <w:rPr>
                <w:rFonts w:asciiTheme="majorHAnsi" w:hAnsiTheme="majorHAnsi" w:cstheme="majorHAnsi"/>
                <w:sz w:val="22"/>
                <w:szCs w:val="22"/>
              </w:rPr>
              <w:t>d</w:t>
            </w:r>
            <w:r w:rsidR="001B385B" w:rsidRPr="001516AF">
              <w:rPr>
                <w:rFonts w:asciiTheme="majorHAnsi" w:hAnsiTheme="majorHAnsi" w:cstheme="majorHAnsi"/>
                <w:sz w:val="22"/>
                <w:szCs w:val="22"/>
              </w:rPr>
              <w:t xml:space="preserve"> efficiency of the </w:t>
            </w:r>
            <w:r w:rsidR="001F730E" w:rsidRPr="001516AF">
              <w:rPr>
                <w:rFonts w:asciiTheme="majorHAnsi" w:hAnsiTheme="majorHAnsi" w:cstheme="majorHAnsi"/>
                <w:sz w:val="22"/>
                <w:szCs w:val="22"/>
              </w:rPr>
              <w:t xml:space="preserve">monetary </w:t>
            </w:r>
            <w:r w:rsidR="001B385B" w:rsidRPr="001516AF">
              <w:rPr>
                <w:rFonts w:asciiTheme="majorHAnsi" w:hAnsiTheme="majorHAnsi" w:cstheme="majorHAnsi"/>
                <w:sz w:val="22"/>
                <w:szCs w:val="22"/>
              </w:rPr>
              <w:t xml:space="preserve">transmission mechanism channels. </w:t>
            </w:r>
          </w:p>
          <w:p w14:paraId="0477E2ED" w14:textId="77777777" w:rsidR="00AB7CE7" w:rsidRDefault="00AB7CE7" w:rsidP="009F69F1">
            <w:pPr>
              <w:pStyle w:val="affff9"/>
              <w:spacing w:after="0" w:line="240" w:lineRule="auto"/>
              <w:jc w:val="both"/>
              <w:rPr>
                <w:rFonts w:asciiTheme="majorHAnsi" w:hAnsiTheme="majorHAnsi" w:cstheme="majorHAnsi"/>
                <w:sz w:val="22"/>
                <w:szCs w:val="22"/>
              </w:rPr>
            </w:pPr>
          </w:p>
          <w:p w14:paraId="61F95CCC" w14:textId="26BE4853" w:rsidR="00AB7CE7" w:rsidRPr="00AB7CE7" w:rsidRDefault="00AB7CE7" w:rsidP="009F69F1">
            <w:pPr>
              <w:pStyle w:val="affff9"/>
              <w:spacing w:after="0" w:line="240" w:lineRule="auto"/>
              <w:jc w:val="both"/>
              <w:rPr>
                <w:rFonts w:asciiTheme="majorHAnsi" w:hAnsiTheme="majorHAnsi" w:cstheme="majorHAnsi"/>
                <w:sz w:val="22"/>
                <w:szCs w:val="22"/>
              </w:rPr>
            </w:pPr>
            <w:r w:rsidRPr="00AB7CE7">
              <w:rPr>
                <w:rFonts w:asciiTheme="majorHAnsi" w:hAnsiTheme="majorHAnsi" w:cstheme="majorHAnsi"/>
                <w:sz w:val="22"/>
                <w:szCs w:val="22"/>
              </w:rPr>
              <w:t>The depressed economy</w:t>
            </w:r>
            <w:r w:rsidR="009740DA">
              <w:rPr>
                <w:rFonts w:asciiTheme="majorHAnsi" w:hAnsiTheme="majorHAnsi" w:cstheme="majorHAnsi"/>
                <w:sz w:val="22"/>
                <w:szCs w:val="22"/>
              </w:rPr>
              <w:t xml:space="preserve"> during the pandemic</w:t>
            </w:r>
            <w:r w:rsidRPr="00AB7CE7">
              <w:rPr>
                <w:rFonts w:asciiTheme="majorHAnsi" w:hAnsiTheme="majorHAnsi" w:cstheme="majorHAnsi"/>
                <w:sz w:val="22"/>
                <w:szCs w:val="22"/>
              </w:rPr>
              <w:t xml:space="preserve"> and expected pace of growth will have notable effects on poverty and unemployment rates and hit the most vulnerable groups, based on the WB projection</w:t>
            </w:r>
            <w:r w:rsidR="00BA192E">
              <w:rPr>
                <w:rFonts w:asciiTheme="majorHAnsi" w:hAnsiTheme="majorHAnsi" w:cstheme="majorHAnsi"/>
                <w:sz w:val="22"/>
                <w:szCs w:val="22"/>
              </w:rPr>
              <w:t>s. The poverty rate was</w:t>
            </w:r>
            <w:r w:rsidRPr="00AB7CE7">
              <w:rPr>
                <w:rFonts w:asciiTheme="majorHAnsi" w:hAnsiTheme="majorHAnsi" w:cstheme="majorHAnsi"/>
                <w:sz w:val="22"/>
                <w:szCs w:val="22"/>
              </w:rPr>
              <w:t xml:space="preserve"> expected to increase to 14% in 2020 from 8.5% in 2019 and a </w:t>
            </w:r>
            <w:r>
              <w:rPr>
                <w:rFonts w:asciiTheme="majorHAnsi" w:hAnsiTheme="majorHAnsi" w:cstheme="majorHAnsi"/>
                <w:sz w:val="22"/>
                <w:szCs w:val="22"/>
              </w:rPr>
              <w:t>baseline of 6% in 2016, resulting</w:t>
            </w:r>
            <w:r w:rsidRPr="00AB7CE7">
              <w:rPr>
                <w:rFonts w:asciiTheme="majorHAnsi" w:hAnsiTheme="majorHAnsi" w:cstheme="majorHAnsi"/>
                <w:sz w:val="22"/>
                <w:szCs w:val="22"/>
              </w:rPr>
              <w:t xml:space="preserve"> in 1.5 million additional poor people.</w:t>
            </w:r>
            <w:r w:rsidRPr="00AB7CE7">
              <w:rPr>
                <w:rFonts w:asciiTheme="majorHAnsi" w:hAnsiTheme="majorHAnsi" w:cstheme="majorHAnsi"/>
                <w:sz w:val="22"/>
                <w:szCs w:val="22"/>
                <w:vertAlign w:val="superscript"/>
              </w:rPr>
              <w:footnoteReference w:id="11"/>
            </w:r>
            <w:r w:rsidRPr="00AB7CE7">
              <w:rPr>
                <w:rFonts w:asciiTheme="majorHAnsi" w:hAnsiTheme="majorHAnsi" w:cstheme="majorHAnsi"/>
                <w:sz w:val="22"/>
                <w:szCs w:val="22"/>
                <w:vertAlign w:val="superscript"/>
              </w:rPr>
              <w:t xml:space="preserve"> </w:t>
            </w:r>
            <w:r w:rsidRPr="00AB7CE7">
              <w:rPr>
                <w:rFonts w:asciiTheme="majorHAnsi" w:hAnsiTheme="majorHAnsi" w:cstheme="majorHAnsi"/>
                <w:color w:val="000000"/>
                <w:sz w:val="22"/>
                <w:szCs w:val="22"/>
              </w:rPr>
              <w:t>The data on unemployment rate points to persistently high levels in the second half of 2020 after a spike in the first half forming 5% in Kazakhstan</w:t>
            </w:r>
            <w:r w:rsidRPr="00AB7CE7">
              <w:rPr>
                <w:rStyle w:val="af"/>
                <w:rFonts w:asciiTheme="majorHAnsi" w:hAnsiTheme="majorHAnsi" w:cstheme="majorHAnsi"/>
                <w:color w:val="000000"/>
                <w:sz w:val="22"/>
                <w:szCs w:val="22"/>
              </w:rPr>
              <w:footnoteReference w:id="12"/>
            </w:r>
            <w:r w:rsidRPr="00AB7CE7">
              <w:rPr>
                <w:rFonts w:asciiTheme="majorHAnsi" w:hAnsiTheme="majorHAnsi" w:cstheme="majorHAnsi"/>
                <w:color w:val="000000"/>
                <w:sz w:val="22"/>
                <w:szCs w:val="22"/>
              </w:rPr>
              <w:t>.</w:t>
            </w:r>
            <w:r w:rsidRPr="00AB7CE7">
              <w:rPr>
                <w:rFonts w:asciiTheme="majorHAnsi" w:hAnsiTheme="majorHAnsi" w:cstheme="majorHAnsi"/>
                <w:sz w:val="22"/>
                <w:szCs w:val="22"/>
              </w:rPr>
              <w:t xml:space="preserve"> The pandemic hit severely hospitality, </w:t>
            </w:r>
            <w:proofErr w:type="gramStart"/>
            <w:r w:rsidRPr="00AB7CE7">
              <w:rPr>
                <w:rFonts w:asciiTheme="majorHAnsi" w:hAnsiTheme="majorHAnsi" w:cstheme="majorHAnsi"/>
                <w:sz w:val="22"/>
                <w:szCs w:val="22"/>
              </w:rPr>
              <w:t>wholesale</w:t>
            </w:r>
            <w:proofErr w:type="gramEnd"/>
            <w:r w:rsidRPr="00AB7CE7">
              <w:rPr>
                <w:rFonts w:asciiTheme="majorHAnsi" w:hAnsiTheme="majorHAnsi" w:cstheme="majorHAnsi"/>
                <w:sz w:val="22"/>
                <w:szCs w:val="22"/>
              </w:rPr>
              <w:t xml:space="preserve"> and transport sectors that account for 30% of employment. The brunt of the crisis was disproportionally fallen on vulnerable populations by deepening their pre-existing vulnerabilities and inequalities.</w:t>
            </w:r>
            <w:r w:rsidRPr="00AB7CE7">
              <w:rPr>
                <w:rFonts w:asciiTheme="majorHAnsi" w:hAnsiTheme="majorHAnsi" w:cstheme="majorHAnsi"/>
                <w:color w:val="0C0F19"/>
                <w:sz w:val="22"/>
                <w:szCs w:val="22"/>
              </w:rPr>
              <w:t xml:space="preserve"> </w:t>
            </w:r>
            <w:r w:rsidRPr="00AB7CE7">
              <w:rPr>
                <w:rFonts w:asciiTheme="majorHAnsi" w:hAnsiTheme="majorHAnsi" w:cstheme="majorHAnsi"/>
                <w:sz w:val="22"/>
                <w:szCs w:val="22"/>
              </w:rPr>
              <w:t>To mitigate the negative impact of the crisis, the country developed and implemented various support measures. This required binding decisions to be made on where substantial financial resources should be directed to minimize social inequalities thrown by the epidemic and improve long-term resilience.</w:t>
            </w:r>
          </w:p>
          <w:p w14:paraId="699B5D1E" w14:textId="77777777" w:rsidR="001516AF" w:rsidRPr="001516AF" w:rsidRDefault="001516AF" w:rsidP="009F69F1">
            <w:pPr>
              <w:pStyle w:val="affff9"/>
              <w:spacing w:after="0" w:line="240" w:lineRule="auto"/>
              <w:jc w:val="both"/>
              <w:rPr>
                <w:rFonts w:asciiTheme="majorHAnsi" w:hAnsiTheme="majorHAnsi" w:cstheme="majorHAnsi"/>
                <w:sz w:val="22"/>
                <w:szCs w:val="22"/>
              </w:rPr>
            </w:pPr>
          </w:p>
          <w:p w14:paraId="57A6911D" w14:textId="235D2192" w:rsidR="00B926AF" w:rsidRDefault="008C47CD" w:rsidP="009F69F1">
            <w:pPr>
              <w:spacing w:after="0" w:line="240" w:lineRule="auto"/>
              <w:jc w:val="both"/>
              <w:rPr>
                <w:rFonts w:asciiTheme="majorHAnsi" w:hAnsiTheme="majorHAnsi" w:cstheme="majorHAnsi"/>
              </w:rPr>
            </w:pPr>
            <w:r w:rsidRPr="00C05573">
              <w:rPr>
                <w:rFonts w:asciiTheme="majorHAnsi" w:hAnsiTheme="majorHAnsi" w:cstheme="majorHAnsi"/>
              </w:rPr>
              <w:t xml:space="preserve">To address the growing needs generated by the pandemic, the 2020-2022 republican Budget </w:t>
            </w:r>
            <w:r w:rsidR="004943F0">
              <w:rPr>
                <w:rFonts w:asciiTheme="majorHAnsi" w:hAnsiTheme="majorHAnsi" w:cstheme="majorHAnsi"/>
              </w:rPr>
              <w:t>Law was revised twice in 2020 and</w:t>
            </w:r>
            <w:r w:rsidRPr="00C05573">
              <w:rPr>
                <w:rFonts w:asciiTheme="majorHAnsi" w:hAnsiTheme="majorHAnsi" w:cstheme="majorHAnsi"/>
              </w:rPr>
              <w:t xml:space="preserve"> increase</w:t>
            </w:r>
            <w:r w:rsidR="004943F0">
              <w:rPr>
                <w:rFonts w:asciiTheme="majorHAnsi" w:hAnsiTheme="majorHAnsi" w:cstheme="majorHAnsi"/>
              </w:rPr>
              <w:t>d</w:t>
            </w:r>
            <w:r w:rsidRPr="00C05573">
              <w:rPr>
                <w:rFonts w:asciiTheme="majorHAnsi" w:hAnsiTheme="majorHAnsi" w:cstheme="majorHAnsi"/>
              </w:rPr>
              <w:t xml:space="preserve"> the budget spending level. As a result, the budget gap was broadened to an estimated 3.5% of GDP in 2020 (-1.8% in 2019). To pay </w:t>
            </w:r>
            <w:r>
              <w:rPr>
                <w:rFonts w:asciiTheme="majorHAnsi" w:hAnsiTheme="majorHAnsi" w:cstheme="majorHAnsi"/>
              </w:rPr>
              <w:t xml:space="preserve">for the deficit, Kazakhstan </w:t>
            </w:r>
            <w:r w:rsidRPr="00C05573">
              <w:rPr>
                <w:rFonts w:asciiTheme="majorHAnsi" w:hAnsiTheme="majorHAnsi" w:cstheme="majorHAnsi"/>
              </w:rPr>
              <w:t>signed loan agreements with the Asian Development Bank</w:t>
            </w:r>
            <w:r w:rsidRPr="00C05573">
              <w:rPr>
                <w:rStyle w:val="af"/>
                <w:rFonts w:asciiTheme="majorHAnsi" w:hAnsiTheme="majorHAnsi" w:cstheme="majorHAnsi"/>
              </w:rPr>
              <w:footnoteReference w:id="13"/>
            </w:r>
            <w:r w:rsidRPr="00C05573">
              <w:rPr>
                <w:rFonts w:asciiTheme="majorHAnsi" w:hAnsiTheme="majorHAnsi" w:cstheme="majorHAnsi"/>
              </w:rPr>
              <w:t>, and the Asian Infrastructure Investment Bank</w:t>
            </w:r>
            <w:r w:rsidRPr="00C05573">
              <w:rPr>
                <w:rStyle w:val="af"/>
                <w:rFonts w:asciiTheme="majorHAnsi" w:hAnsiTheme="majorHAnsi" w:cstheme="majorHAnsi"/>
              </w:rPr>
              <w:footnoteReference w:id="14"/>
            </w:r>
            <w:r>
              <w:rPr>
                <w:rFonts w:asciiTheme="majorHAnsi" w:hAnsiTheme="majorHAnsi" w:cstheme="majorHAnsi"/>
              </w:rPr>
              <w:t xml:space="preserve"> totaled 1.5 billion euros, contributing to increased </w:t>
            </w:r>
            <w:r w:rsidRPr="007F45BE">
              <w:rPr>
                <w:rFonts w:asciiTheme="majorHAnsi" w:hAnsiTheme="majorHAnsi" w:cstheme="majorHAnsi"/>
              </w:rPr>
              <w:t xml:space="preserve">external debt. </w:t>
            </w:r>
            <w:r w:rsidR="007B0ADA" w:rsidRPr="007F45BE">
              <w:rPr>
                <w:rFonts w:asciiTheme="majorHAnsi" w:eastAsia="Times New Roman" w:hAnsiTheme="majorHAnsi" w:cstheme="majorHAnsi"/>
              </w:rPr>
              <w:t xml:space="preserve">The deficit of the republican budget </w:t>
            </w:r>
            <w:r w:rsidR="00CC37A6">
              <w:rPr>
                <w:rFonts w:asciiTheme="majorHAnsi" w:eastAsia="Times New Roman" w:hAnsiTheme="majorHAnsi" w:cstheme="majorHAnsi"/>
              </w:rPr>
              <w:t xml:space="preserve">in macroeconomic framework </w:t>
            </w:r>
            <w:r w:rsidR="008D7FF5">
              <w:rPr>
                <w:rFonts w:asciiTheme="majorHAnsi" w:eastAsia="Times New Roman" w:hAnsiTheme="majorHAnsi" w:cstheme="majorHAnsi"/>
              </w:rPr>
              <w:t xml:space="preserve">is </w:t>
            </w:r>
            <w:r w:rsidR="00CC37A6">
              <w:rPr>
                <w:rFonts w:asciiTheme="majorHAnsi" w:eastAsia="Times New Roman" w:hAnsiTheme="majorHAnsi" w:cstheme="majorHAnsi"/>
              </w:rPr>
              <w:t>estimated</w:t>
            </w:r>
            <w:r w:rsidR="007B0ADA" w:rsidRPr="007F45BE">
              <w:rPr>
                <w:rFonts w:asciiTheme="majorHAnsi" w:eastAsia="Times New Roman" w:hAnsiTheme="majorHAnsi" w:cstheme="majorHAnsi"/>
              </w:rPr>
              <w:t xml:space="preserve"> at th</w:t>
            </w:r>
            <w:r w:rsidR="00CC37A6">
              <w:rPr>
                <w:rFonts w:asciiTheme="majorHAnsi" w:eastAsia="Times New Roman" w:hAnsiTheme="majorHAnsi" w:cstheme="majorHAnsi"/>
              </w:rPr>
              <w:t>e level of 3.3% to GDP in 2022 (</w:t>
            </w:r>
            <w:r w:rsidR="007B0ADA" w:rsidRPr="007F45BE">
              <w:rPr>
                <w:rFonts w:asciiTheme="majorHAnsi" w:eastAsia="Times New Roman" w:hAnsiTheme="majorHAnsi" w:cstheme="majorHAnsi"/>
              </w:rPr>
              <w:t>2.8% to GDP in 2023</w:t>
            </w:r>
            <w:r w:rsidR="00CC37A6">
              <w:rPr>
                <w:rFonts w:asciiTheme="majorHAnsi" w:eastAsia="Times New Roman" w:hAnsiTheme="majorHAnsi" w:cstheme="majorHAnsi"/>
              </w:rPr>
              <w:t>,</w:t>
            </w:r>
            <w:r w:rsidR="007B0ADA" w:rsidRPr="007F45BE">
              <w:rPr>
                <w:rFonts w:asciiTheme="majorHAnsi" w:eastAsia="Times New Roman" w:hAnsiTheme="majorHAnsi" w:cstheme="majorHAnsi"/>
              </w:rPr>
              <w:t xml:space="preserve"> and 2.5% to GDP in 2024</w:t>
            </w:r>
            <w:r w:rsidR="00CC37A6">
              <w:rPr>
                <w:rFonts w:asciiTheme="majorHAnsi" w:eastAsia="Times New Roman" w:hAnsiTheme="majorHAnsi" w:cstheme="majorHAnsi"/>
              </w:rPr>
              <w:t>) will be financed primarily from internal sources.</w:t>
            </w:r>
            <w:r w:rsidR="00B926AF" w:rsidRPr="00DC2872">
              <w:rPr>
                <w:rFonts w:asciiTheme="majorHAnsi" w:hAnsiTheme="majorHAnsi" w:cstheme="majorHAnsi"/>
              </w:rPr>
              <w:t xml:space="preserve"> </w:t>
            </w:r>
          </w:p>
          <w:p w14:paraId="50114E17" w14:textId="77777777" w:rsidR="00906E0A" w:rsidRPr="008D7FF5" w:rsidRDefault="00906E0A" w:rsidP="009F69F1">
            <w:pPr>
              <w:spacing w:after="0" w:line="240" w:lineRule="auto"/>
              <w:jc w:val="both"/>
              <w:rPr>
                <w:rFonts w:asciiTheme="majorHAnsi" w:eastAsia="Times New Roman" w:hAnsiTheme="majorHAnsi" w:cstheme="majorHAnsi"/>
              </w:rPr>
            </w:pPr>
          </w:p>
          <w:p w14:paraId="4AB4019E" w14:textId="2141FCC4" w:rsidR="004D5094" w:rsidRDefault="00D72F08" w:rsidP="009F69F1">
            <w:pPr>
              <w:spacing w:after="0" w:line="240" w:lineRule="auto"/>
              <w:jc w:val="both"/>
              <w:rPr>
                <w:rFonts w:asciiTheme="majorHAnsi" w:hAnsiTheme="majorHAnsi" w:cstheme="majorHAnsi"/>
              </w:rPr>
            </w:pPr>
            <w:r w:rsidRPr="00D76657">
              <w:rPr>
                <w:rFonts w:asciiTheme="majorHAnsi" w:hAnsiTheme="majorHAnsi" w:cstheme="majorHAnsi"/>
              </w:rPr>
              <w:t>The government expenditure functions in</w:t>
            </w:r>
            <w:r w:rsidR="00F52B87" w:rsidRPr="00D76657">
              <w:rPr>
                <w:rFonts w:asciiTheme="majorHAnsi" w:hAnsiTheme="majorHAnsi" w:cstheme="majorHAnsi"/>
              </w:rPr>
              <w:t xml:space="preserve"> 2022-</w:t>
            </w:r>
            <w:r w:rsidR="00AB7CE7">
              <w:rPr>
                <w:rFonts w:asciiTheme="majorHAnsi" w:hAnsiTheme="majorHAnsi" w:cstheme="majorHAnsi"/>
              </w:rPr>
              <w:t xml:space="preserve">2024 </w:t>
            </w:r>
            <w:r w:rsidRPr="00D76657">
              <w:rPr>
                <w:rFonts w:asciiTheme="majorHAnsi" w:hAnsiTheme="majorHAnsi" w:cstheme="majorHAnsi"/>
              </w:rPr>
              <w:t>correspond to the national priorities of the Republic</w:t>
            </w:r>
            <w:r w:rsidR="00487FC9">
              <w:rPr>
                <w:rFonts w:asciiTheme="majorHAnsi" w:hAnsiTheme="majorHAnsi" w:cstheme="majorHAnsi"/>
              </w:rPr>
              <w:t xml:space="preserve"> of </w:t>
            </w:r>
            <w:r w:rsidR="009E01AA">
              <w:rPr>
                <w:rFonts w:asciiTheme="majorHAnsi" w:hAnsiTheme="majorHAnsi" w:cstheme="majorHAnsi"/>
              </w:rPr>
              <w:t>Kazakhstan</w:t>
            </w:r>
            <w:r w:rsidR="009F121D">
              <w:rPr>
                <w:rFonts w:asciiTheme="majorHAnsi" w:hAnsiTheme="majorHAnsi" w:cstheme="majorHAnsi"/>
              </w:rPr>
              <w:t xml:space="preserve"> approved by the</w:t>
            </w:r>
            <w:r w:rsidRPr="00D76657">
              <w:rPr>
                <w:rFonts w:asciiTheme="majorHAnsi" w:hAnsiTheme="majorHAnsi" w:cstheme="majorHAnsi"/>
              </w:rPr>
              <w:t xml:space="preserve"> Decree of the President</w:t>
            </w:r>
            <w:r w:rsidR="001D5354">
              <w:rPr>
                <w:rFonts w:asciiTheme="majorHAnsi" w:hAnsiTheme="majorHAnsi" w:cstheme="majorHAnsi"/>
              </w:rPr>
              <w:t>,</w:t>
            </w:r>
            <w:r w:rsidRPr="001D5354">
              <w:rPr>
                <w:rFonts w:asciiTheme="majorHAnsi" w:hAnsiTheme="majorHAnsi" w:cstheme="majorHAnsi"/>
                <w:vertAlign w:val="superscript"/>
              </w:rPr>
              <w:footnoteReference w:id="15"/>
            </w:r>
            <w:r w:rsidR="00F52B87" w:rsidRPr="001D5354">
              <w:rPr>
                <w:rFonts w:asciiTheme="majorHAnsi" w:hAnsiTheme="majorHAnsi" w:cstheme="majorHAnsi"/>
                <w:vertAlign w:val="superscript"/>
              </w:rPr>
              <w:t xml:space="preserve"> </w:t>
            </w:r>
            <w:r w:rsidR="00AB7CE7">
              <w:rPr>
                <w:rFonts w:asciiTheme="majorHAnsi" w:hAnsiTheme="majorHAnsi" w:cstheme="majorHAnsi"/>
              </w:rPr>
              <w:t>which</w:t>
            </w:r>
            <w:r w:rsidR="002C632E">
              <w:rPr>
                <w:rFonts w:asciiTheme="majorHAnsi" w:hAnsiTheme="majorHAnsi" w:cstheme="majorHAnsi"/>
              </w:rPr>
              <w:t xml:space="preserve"> </w:t>
            </w:r>
            <w:r w:rsidR="009E01AA">
              <w:rPr>
                <w:rFonts w:asciiTheme="majorHAnsi" w:hAnsiTheme="majorHAnsi" w:cstheme="majorHAnsi"/>
              </w:rPr>
              <w:t>includes</w:t>
            </w:r>
            <w:r w:rsidR="00F52B87" w:rsidRPr="00D76657">
              <w:rPr>
                <w:rFonts w:asciiTheme="majorHAnsi" w:hAnsiTheme="majorHAnsi" w:cstheme="majorHAnsi"/>
              </w:rPr>
              <w:t xml:space="preserve"> </w:t>
            </w:r>
            <w:r w:rsidR="00724DFE">
              <w:rPr>
                <w:rFonts w:asciiTheme="majorHAnsi" w:hAnsiTheme="majorHAnsi" w:cstheme="majorHAnsi"/>
              </w:rPr>
              <w:t>social and</w:t>
            </w:r>
            <w:r w:rsidR="001D5354">
              <w:rPr>
                <w:rFonts w:asciiTheme="majorHAnsi" w:hAnsiTheme="majorHAnsi" w:cstheme="majorHAnsi"/>
              </w:rPr>
              <w:t xml:space="preserve"> </w:t>
            </w:r>
            <w:r w:rsidR="00F52B87" w:rsidRPr="00D76657">
              <w:rPr>
                <w:rFonts w:asciiTheme="majorHAnsi" w:hAnsiTheme="majorHAnsi" w:cstheme="majorHAnsi"/>
              </w:rPr>
              <w:t>health</w:t>
            </w:r>
            <w:r w:rsidR="009E01AA">
              <w:rPr>
                <w:rFonts w:asciiTheme="majorHAnsi" w:hAnsiTheme="majorHAnsi" w:cstheme="majorHAnsi"/>
              </w:rPr>
              <w:t xml:space="preserve"> security and</w:t>
            </w:r>
            <w:r w:rsidR="00F52B87" w:rsidRPr="00D76657">
              <w:rPr>
                <w:rFonts w:asciiTheme="majorHAnsi" w:hAnsiTheme="majorHAnsi" w:cstheme="majorHAnsi"/>
              </w:rPr>
              <w:t xml:space="preserve"> protection and quality education. </w:t>
            </w:r>
            <w:r w:rsidR="00C61697" w:rsidRPr="003337B8">
              <w:rPr>
                <w:rFonts w:asciiTheme="majorHAnsi" w:hAnsiTheme="majorHAnsi" w:cstheme="majorHAnsi"/>
              </w:rPr>
              <w:t>The government projects</w:t>
            </w:r>
            <w:r w:rsidR="00AB7CE7">
              <w:rPr>
                <w:rFonts w:asciiTheme="majorHAnsi" w:hAnsiTheme="majorHAnsi" w:cstheme="majorHAnsi"/>
              </w:rPr>
              <w:t xml:space="preserve"> a</w:t>
            </w:r>
            <w:r w:rsidR="00C61697" w:rsidRPr="003337B8">
              <w:rPr>
                <w:rFonts w:asciiTheme="majorHAnsi" w:hAnsiTheme="majorHAnsi" w:cstheme="majorHAnsi"/>
              </w:rPr>
              <w:t xml:space="preserve"> nearly 5% average annual increase of public spending on health from the republican budget, attributable to increased </w:t>
            </w:r>
            <w:r w:rsidR="00676CF9">
              <w:rPr>
                <w:rFonts w:asciiTheme="majorHAnsi" w:hAnsiTheme="majorHAnsi" w:cstheme="majorHAnsi"/>
              </w:rPr>
              <w:t>funding towards the guaranteed volume of free medical care and health p</w:t>
            </w:r>
            <w:r w:rsidR="00C61697" w:rsidRPr="003337B8">
              <w:rPr>
                <w:rFonts w:asciiTheme="majorHAnsi" w:hAnsiTheme="majorHAnsi" w:cstheme="majorHAnsi"/>
              </w:rPr>
              <w:t xml:space="preserve">romotion </w:t>
            </w:r>
            <w:r w:rsidR="00676CF9">
              <w:rPr>
                <w:rFonts w:asciiTheme="majorHAnsi" w:hAnsiTheme="majorHAnsi" w:cstheme="majorHAnsi"/>
              </w:rPr>
              <w:t>and digitalization.</w:t>
            </w:r>
            <w:r w:rsidR="00C61697" w:rsidRPr="003337B8">
              <w:rPr>
                <w:rFonts w:asciiTheme="majorHAnsi" w:hAnsiTheme="majorHAnsi" w:cstheme="majorHAnsi"/>
              </w:rPr>
              <w:t xml:space="preserve"> </w:t>
            </w:r>
            <w:r w:rsidR="00DE1C90">
              <w:rPr>
                <w:rFonts w:asciiTheme="majorHAnsi" w:hAnsiTheme="majorHAnsi" w:cstheme="majorHAnsi"/>
              </w:rPr>
              <w:t xml:space="preserve">It dedicates some </w:t>
            </w:r>
            <w:r w:rsidR="001F0209">
              <w:rPr>
                <w:rFonts w:asciiTheme="majorHAnsi" w:hAnsiTheme="majorHAnsi" w:cstheme="majorHAnsi"/>
              </w:rPr>
              <w:t>12%</w:t>
            </w:r>
            <w:r w:rsidR="00670FE8">
              <w:rPr>
                <w:rFonts w:asciiTheme="majorHAnsi" w:hAnsiTheme="majorHAnsi" w:cstheme="majorHAnsi"/>
              </w:rPr>
              <w:t xml:space="preserve"> of its public budget to health</w:t>
            </w:r>
            <w:r w:rsidR="00AB7CE7">
              <w:rPr>
                <w:rFonts w:asciiTheme="majorHAnsi" w:hAnsiTheme="majorHAnsi" w:cstheme="majorHAnsi"/>
              </w:rPr>
              <w:t xml:space="preserve"> for </w:t>
            </w:r>
            <w:r w:rsidR="001F0209">
              <w:rPr>
                <w:rFonts w:asciiTheme="majorHAnsi" w:hAnsiTheme="majorHAnsi" w:cstheme="majorHAnsi"/>
              </w:rPr>
              <w:t xml:space="preserve">effective financial protection, risk sharing and redistribution. </w:t>
            </w:r>
            <w:r w:rsidR="00E4255D">
              <w:rPr>
                <w:rFonts w:asciiTheme="majorHAnsi" w:hAnsiTheme="majorHAnsi" w:cstheme="majorHAnsi"/>
              </w:rPr>
              <w:t>According to</w:t>
            </w:r>
            <w:r w:rsidR="00AB7CE7">
              <w:rPr>
                <w:rFonts w:asciiTheme="majorHAnsi" w:hAnsiTheme="majorHAnsi" w:cstheme="majorHAnsi"/>
              </w:rPr>
              <w:t xml:space="preserve"> the</w:t>
            </w:r>
            <w:r w:rsidR="00E4255D">
              <w:rPr>
                <w:rFonts w:asciiTheme="majorHAnsi" w:hAnsiTheme="majorHAnsi" w:cstheme="majorHAnsi"/>
              </w:rPr>
              <w:t xml:space="preserve"> adopted </w:t>
            </w:r>
            <w:r w:rsidR="009F69F1">
              <w:rPr>
                <w:rFonts w:asciiTheme="majorHAnsi" w:hAnsiTheme="majorHAnsi" w:cstheme="majorHAnsi"/>
              </w:rPr>
              <w:t xml:space="preserve">new </w:t>
            </w:r>
            <w:r w:rsidR="004943F0">
              <w:rPr>
                <w:rFonts w:asciiTheme="majorHAnsi" w:hAnsiTheme="majorHAnsi" w:cstheme="majorHAnsi"/>
              </w:rPr>
              <w:t xml:space="preserve">Republican </w:t>
            </w:r>
            <w:r w:rsidR="00E4255D">
              <w:rPr>
                <w:rFonts w:asciiTheme="majorHAnsi" w:hAnsiTheme="majorHAnsi" w:cstheme="majorHAnsi"/>
              </w:rPr>
              <w:t xml:space="preserve">Budget Law, the budget programs on public health promotion, </w:t>
            </w:r>
            <w:r w:rsidR="00AB7CE7">
              <w:rPr>
                <w:rFonts w:asciiTheme="majorHAnsi" w:hAnsiTheme="majorHAnsi" w:cstheme="majorHAnsi"/>
              </w:rPr>
              <w:t xml:space="preserve">the </w:t>
            </w:r>
            <w:r w:rsidR="00E4255D">
              <w:rPr>
                <w:rFonts w:asciiTheme="majorHAnsi" w:hAnsiTheme="majorHAnsi" w:cstheme="majorHAnsi"/>
              </w:rPr>
              <w:t>guaranteed volume of free medica</w:t>
            </w:r>
            <w:r w:rsidR="004943F0">
              <w:rPr>
                <w:rFonts w:asciiTheme="majorHAnsi" w:hAnsiTheme="majorHAnsi" w:cstheme="majorHAnsi"/>
              </w:rPr>
              <w:t xml:space="preserve">l care, including </w:t>
            </w:r>
            <w:r w:rsidR="00E4255D">
              <w:rPr>
                <w:rFonts w:asciiTheme="majorHAnsi" w:hAnsiTheme="majorHAnsi" w:cstheme="majorHAnsi"/>
              </w:rPr>
              <w:t xml:space="preserve">TB and HIV healthcare </w:t>
            </w:r>
            <w:r w:rsidR="00702678">
              <w:rPr>
                <w:rFonts w:asciiTheme="majorHAnsi" w:hAnsiTheme="majorHAnsi" w:cstheme="majorHAnsi"/>
              </w:rPr>
              <w:t>services</w:t>
            </w:r>
            <w:r w:rsidR="00EE4958">
              <w:rPr>
                <w:rFonts w:asciiTheme="majorHAnsi" w:hAnsiTheme="majorHAnsi" w:cstheme="majorHAnsi"/>
              </w:rPr>
              <w:t>,</w:t>
            </w:r>
            <w:r w:rsidR="00702678">
              <w:rPr>
                <w:rFonts w:asciiTheme="majorHAnsi" w:hAnsiTheme="majorHAnsi" w:cstheme="majorHAnsi"/>
              </w:rPr>
              <w:t xml:space="preserve"> </w:t>
            </w:r>
            <w:r w:rsidR="00EE4958">
              <w:rPr>
                <w:rFonts w:asciiTheme="majorHAnsi" w:hAnsiTheme="majorHAnsi" w:cstheme="majorHAnsi"/>
              </w:rPr>
              <w:t>as well as</w:t>
            </w:r>
            <w:r w:rsidR="00E4255D">
              <w:rPr>
                <w:rFonts w:asciiTheme="majorHAnsi" w:hAnsiTheme="majorHAnsi" w:cstheme="majorHAnsi"/>
              </w:rPr>
              <w:t xml:space="preserve"> social assistance schemes are secured and </w:t>
            </w:r>
            <w:r w:rsidR="00E4255D" w:rsidRPr="00054291">
              <w:rPr>
                <w:rFonts w:asciiTheme="majorHAnsi" w:hAnsiTheme="majorHAnsi" w:cstheme="majorHAnsi"/>
              </w:rPr>
              <w:t xml:space="preserve">not subject to sequestration </w:t>
            </w:r>
            <w:r w:rsidR="00E4255D">
              <w:rPr>
                <w:rFonts w:asciiTheme="majorHAnsi" w:hAnsiTheme="majorHAnsi" w:cstheme="majorHAnsi"/>
              </w:rPr>
              <w:t>during</w:t>
            </w:r>
            <w:r w:rsidR="00E4255D" w:rsidRPr="00054291">
              <w:rPr>
                <w:rFonts w:asciiTheme="majorHAnsi" w:hAnsiTheme="majorHAnsi" w:cstheme="majorHAnsi"/>
              </w:rPr>
              <w:t xml:space="preserve"> </w:t>
            </w:r>
            <w:r w:rsidR="00E4255D">
              <w:rPr>
                <w:rFonts w:asciiTheme="majorHAnsi" w:hAnsiTheme="majorHAnsi" w:cstheme="majorHAnsi"/>
              </w:rPr>
              <w:t xml:space="preserve">the </w:t>
            </w:r>
            <w:r w:rsidR="00E4255D" w:rsidRPr="00054291">
              <w:rPr>
                <w:rFonts w:asciiTheme="majorHAnsi" w:hAnsiTheme="majorHAnsi" w:cstheme="majorHAnsi"/>
              </w:rPr>
              <w:t>budget</w:t>
            </w:r>
            <w:r w:rsidR="00E4255D">
              <w:rPr>
                <w:rFonts w:asciiTheme="majorHAnsi" w:hAnsiTheme="majorHAnsi" w:cstheme="majorHAnsi"/>
              </w:rPr>
              <w:t xml:space="preserve"> </w:t>
            </w:r>
            <w:r w:rsidR="00E4255D" w:rsidRPr="00054291">
              <w:rPr>
                <w:rFonts w:asciiTheme="majorHAnsi" w:hAnsiTheme="majorHAnsi" w:cstheme="majorHAnsi"/>
              </w:rPr>
              <w:t>execution</w:t>
            </w:r>
            <w:r w:rsidR="00DE1C90">
              <w:rPr>
                <w:rFonts w:asciiTheme="majorHAnsi" w:hAnsiTheme="majorHAnsi" w:cstheme="majorHAnsi"/>
              </w:rPr>
              <w:t xml:space="preserve"> at central and local levels.</w:t>
            </w:r>
          </w:p>
          <w:p w14:paraId="42EDA711" w14:textId="77777777" w:rsidR="00906E0A" w:rsidRDefault="00906E0A" w:rsidP="009F69F1">
            <w:pPr>
              <w:spacing w:after="0" w:line="240" w:lineRule="auto"/>
              <w:jc w:val="both"/>
              <w:rPr>
                <w:rFonts w:asciiTheme="majorHAnsi" w:hAnsiTheme="majorHAnsi" w:cstheme="majorHAnsi"/>
              </w:rPr>
            </w:pPr>
          </w:p>
          <w:p w14:paraId="30D081F1" w14:textId="43F8D48F" w:rsidR="00423D82" w:rsidRDefault="004D5094" w:rsidP="009F69F1">
            <w:pPr>
              <w:pStyle w:val="affff9"/>
              <w:spacing w:after="0" w:line="240" w:lineRule="auto"/>
              <w:jc w:val="both"/>
              <w:rPr>
                <w:rFonts w:asciiTheme="majorHAnsi" w:hAnsiTheme="majorHAnsi" w:cs="Arial"/>
                <w:sz w:val="22"/>
                <w:szCs w:val="22"/>
                <w:lang w:val="en-GB"/>
              </w:rPr>
            </w:pPr>
            <w:r w:rsidRPr="00393004">
              <w:rPr>
                <w:rFonts w:asciiTheme="majorHAnsi" w:hAnsiTheme="majorHAnsi" w:cs="Arial"/>
                <w:sz w:val="22"/>
                <w:szCs w:val="22"/>
              </w:rPr>
              <w:t>The share of THE in the GDP was estimated at 3.0% in 2019, which</w:t>
            </w:r>
            <w:r w:rsidRPr="00393004">
              <w:rPr>
                <w:rFonts w:asciiTheme="majorHAnsi" w:hAnsiTheme="majorHAnsi" w:cs="Arial"/>
                <w:sz w:val="22"/>
                <w:szCs w:val="22"/>
                <w:lang w:val="en-GB"/>
              </w:rPr>
              <w:t xml:space="preserve"> is far below the average health spending in the OECD countries (8.8%).</w:t>
            </w:r>
            <w:r w:rsidR="00305CAE" w:rsidRPr="00393004">
              <w:rPr>
                <w:rFonts w:asciiTheme="majorHAnsi" w:hAnsiTheme="majorHAnsi" w:cs="Arial"/>
                <w:sz w:val="22"/>
                <w:szCs w:val="22"/>
                <w:lang w:val="en-GB"/>
              </w:rPr>
              <w:t xml:space="preserve"> The share of public expenditure</w:t>
            </w:r>
            <w:r w:rsidR="00AB7CE7">
              <w:rPr>
                <w:rFonts w:asciiTheme="majorHAnsi" w:hAnsiTheme="majorHAnsi" w:cs="Arial"/>
                <w:sz w:val="22"/>
                <w:szCs w:val="22"/>
                <w:lang w:val="en-GB"/>
              </w:rPr>
              <w:t xml:space="preserve"> in</w:t>
            </w:r>
            <w:r w:rsidRPr="00393004">
              <w:rPr>
                <w:rFonts w:asciiTheme="majorHAnsi" w:hAnsiTheme="majorHAnsi" w:cs="Arial"/>
                <w:sz w:val="22"/>
                <w:szCs w:val="22"/>
                <w:lang w:val="en-GB"/>
              </w:rPr>
              <w:t xml:space="preserve"> THE made up 5</w:t>
            </w:r>
            <w:r w:rsidR="00305CAE" w:rsidRPr="00393004">
              <w:rPr>
                <w:rFonts w:asciiTheme="majorHAnsi" w:hAnsiTheme="majorHAnsi" w:cs="Arial"/>
                <w:sz w:val="22"/>
                <w:szCs w:val="22"/>
                <w:lang w:val="en-GB"/>
              </w:rPr>
              <w:t>9.94%</w:t>
            </w:r>
            <w:r w:rsidR="00423D82">
              <w:rPr>
                <w:rFonts w:asciiTheme="majorHAnsi" w:hAnsiTheme="majorHAnsi" w:cs="Arial"/>
                <w:sz w:val="22"/>
                <w:szCs w:val="22"/>
                <w:lang w:val="en-GB"/>
              </w:rPr>
              <w:t>, which is less than</w:t>
            </w:r>
            <w:r w:rsidR="00193EBC">
              <w:rPr>
                <w:rFonts w:asciiTheme="majorHAnsi" w:hAnsiTheme="majorHAnsi" w:cs="Arial"/>
                <w:sz w:val="22"/>
                <w:szCs w:val="22"/>
                <w:lang w:val="en-GB"/>
              </w:rPr>
              <w:t xml:space="preserve"> </w:t>
            </w:r>
            <w:r w:rsidR="00AB7CE7">
              <w:rPr>
                <w:rFonts w:asciiTheme="majorHAnsi" w:hAnsiTheme="majorHAnsi" w:cs="Arial"/>
                <w:sz w:val="22"/>
                <w:szCs w:val="22"/>
                <w:lang w:val="en-GB"/>
              </w:rPr>
              <w:t xml:space="preserve">the </w:t>
            </w:r>
            <w:r w:rsidR="00193EBC">
              <w:rPr>
                <w:rFonts w:asciiTheme="majorHAnsi" w:hAnsiTheme="majorHAnsi" w:cs="Arial"/>
                <w:sz w:val="22"/>
                <w:szCs w:val="22"/>
                <w:lang w:val="en-GB"/>
              </w:rPr>
              <w:t>OECD average (73.5%)</w:t>
            </w:r>
            <w:r w:rsidR="00305CAE" w:rsidRPr="00393004">
              <w:rPr>
                <w:rFonts w:asciiTheme="majorHAnsi" w:hAnsiTheme="majorHAnsi" w:cs="Arial"/>
                <w:sz w:val="22"/>
                <w:szCs w:val="22"/>
                <w:lang w:val="en-GB"/>
              </w:rPr>
              <w:t>.</w:t>
            </w:r>
            <w:r w:rsidR="00305CAE" w:rsidRPr="00393004">
              <w:rPr>
                <w:rStyle w:val="af"/>
                <w:rFonts w:asciiTheme="majorHAnsi" w:hAnsiTheme="majorHAnsi" w:cs="Arial"/>
                <w:sz w:val="22"/>
                <w:szCs w:val="22"/>
                <w:lang w:val="en-GB"/>
              </w:rPr>
              <w:footnoteReference w:id="16"/>
            </w:r>
            <w:r w:rsidR="00393004" w:rsidRPr="00393004">
              <w:rPr>
                <w:rFonts w:asciiTheme="majorHAnsi" w:hAnsiTheme="majorHAnsi" w:cs="Arial"/>
                <w:sz w:val="22"/>
                <w:szCs w:val="22"/>
                <w:lang w:val="en-GB"/>
              </w:rPr>
              <w:t xml:space="preserve"> </w:t>
            </w:r>
            <w:r w:rsidR="00193EBC">
              <w:rPr>
                <w:rFonts w:asciiTheme="majorHAnsi" w:hAnsiTheme="majorHAnsi" w:cs="Arial"/>
                <w:sz w:val="22"/>
                <w:szCs w:val="22"/>
                <w:lang w:val="en-GB"/>
              </w:rPr>
              <w:t xml:space="preserve">The share of out-of-pocket spending in the total health expenditures (THE) made up 34% in 2019, forming a large proportion of private health expenditures </w:t>
            </w:r>
            <w:r w:rsidR="00193EBC" w:rsidRPr="00F92657">
              <w:rPr>
                <w:rFonts w:asciiTheme="majorHAnsi" w:hAnsiTheme="majorHAnsi" w:cs="Arial"/>
                <w:sz w:val="22"/>
                <w:szCs w:val="22"/>
                <w:lang w:val="en-GB"/>
              </w:rPr>
              <w:t xml:space="preserve">spent </w:t>
            </w:r>
            <w:r w:rsidR="00193EBC">
              <w:rPr>
                <w:rFonts w:asciiTheme="majorHAnsi" w:hAnsiTheme="majorHAnsi" w:cs="Arial"/>
                <w:sz w:val="22"/>
                <w:szCs w:val="22"/>
                <w:lang w:val="en-GB"/>
              </w:rPr>
              <w:t>mainly on</w:t>
            </w:r>
            <w:r w:rsidR="00193EBC" w:rsidRPr="00F92657">
              <w:rPr>
                <w:rFonts w:asciiTheme="majorHAnsi" w:hAnsiTheme="majorHAnsi" w:cs="Arial"/>
                <w:sz w:val="22"/>
                <w:szCs w:val="22"/>
                <w:lang w:val="en-GB"/>
              </w:rPr>
              <w:t xml:space="preserve"> medicin</w:t>
            </w:r>
            <w:r w:rsidR="00423D82">
              <w:rPr>
                <w:rFonts w:asciiTheme="majorHAnsi" w:hAnsiTheme="majorHAnsi" w:cs="Arial"/>
                <w:sz w:val="22"/>
                <w:szCs w:val="22"/>
                <w:lang w:val="en-GB"/>
              </w:rPr>
              <w:t xml:space="preserve">es and medical consumables. </w:t>
            </w:r>
            <w:r w:rsidR="00193EBC">
              <w:rPr>
                <w:rFonts w:asciiTheme="majorHAnsi" w:hAnsiTheme="majorHAnsi" w:cs="Arial"/>
                <w:sz w:val="22"/>
                <w:szCs w:val="22"/>
                <w:lang w:val="en-GB"/>
              </w:rPr>
              <w:t xml:space="preserve">Contributions to the voluntary healthcare payment schemes in the total health </w:t>
            </w:r>
            <w:proofErr w:type="gramStart"/>
            <w:r w:rsidR="00193EBC">
              <w:rPr>
                <w:rFonts w:asciiTheme="majorHAnsi" w:hAnsiTheme="majorHAnsi" w:cs="Arial"/>
                <w:sz w:val="22"/>
                <w:szCs w:val="22"/>
                <w:lang w:val="en-GB"/>
              </w:rPr>
              <w:t>expendit</w:t>
            </w:r>
            <w:r w:rsidR="00423D82">
              <w:rPr>
                <w:rFonts w:asciiTheme="majorHAnsi" w:hAnsiTheme="majorHAnsi" w:cs="Arial"/>
                <w:sz w:val="22"/>
                <w:szCs w:val="22"/>
                <w:lang w:val="en-GB"/>
              </w:rPr>
              <w:t>ures</w:t>
            </w:r>
            <w:proofErr w:type="gramEnd"/>
            <w:r w:rsidR="00423D82">
              <w:rPr>
                <w:rFonts w:asciiTheme="majorHAnsi" w:hAnsiTheme="majorHAnsi" w:cs="Arial"/>
                <w:sz w:val="22"/>
                <w:szCs w:val="22"/>
                <w:lang w:val="en-GB"/>
              </w:rPr>
              <w:t xml:space="preserve"> structure formed nearly 6%.</w:t>
            </w:r>
            <w:r w:rsidR="00193EBC">
              <w:rPr>
                <w:rFonts w:asciiTheme="majorHAnsi" w:hAnsiTheme="majorHAnsi" w:cs="Arial"/>
                <w:sz w:val="22"/>
                <w:szCs w:val="22"/>
                <w:lang w:val="en-GB"/>
              </w:rPr>
              <w:t xml:space="preserve"> </w:t>
            </w:r>
          </w:p>
          <w:p w14:paraId="1CEBC6A5" w14:textId="77777777" w:rsidR="005E3103" w:rsidRPr="00504F64" w:rsidRDefault="005E3103" w:rsidP="005E3103">
            <w:pPr>
              <w:jc w:val="both"/>
              <w:rPr>
                <w:rFonts w:cs="Arial"/>
                <w:bCs/>
              </w:rPr>
            </w:pPr>
          </w:p>
          <w:p w14:paraId="0C00F235" w14:textId="5056B306" w:rsidR="009F69F1" w:rsidRPr="00906E0A" w:rsidRDefault="00906E0A" w:rsidP="009F69F1">
            <w:pPr>
              <w:tabs>
                <w:tab w:val="left" w:pos="4416"/>
                <w:tab w:val="center" w:pos="5287"/>
              </w:tabs>
              <w:rPr>
                <w:rFonts w:cs="Arial"/>
                <w:b/>
                <w:bCs/>
                <w:smallCaps/>
              </w:rPr>
            </w:pPr>
            <w:r>
              <w:rPr>
                <w:rFonts w:cs="Arial"/>
                <w:b/>
                <w:bCs/>
                <w:smallCaps/>
              </w:rPr>
              <w:t>Health F</w:t>
            </w:r>
            <w:r w:rsidR="009F69F1" w:rsidRPr="00906E0A">
              <w:rPr>
                <w:rFonts w:cs="Arial"/>
                <w:b/>
                <w:bCs/>
                <w:smallCaps/>
              </w:rPr>
              <w:t xml:space="preserve">inancing </w:t>
            </w:r>
          </w:p>
          <w:p w14:paraId="1B58A49C" w14:textId="0102B3EA" w:rsidR="009F69F1" w:rsidRDefault="0056055F" w:rsidP="00BD27EC">
            <w:pPr>
              <w:pStyle w:val="affff9"/>
              <w:spacing w:after="0" w:line="240" w:lineRule="auto"/>
              <w:jc w:val="both"/>
              <w:rPr>
                <w:rFonts w:ascii="Arial" w:hAnsi="Arial" w:cs="Arial"/>
                <w:sz w:val="22"/>
                <w:szCs w:val="22"/>
              </w:rPr>
            </w:pPr>
            <w:r w:rsidRPr="0056055F">
              <w:rPr>
                <w:rFonts w:asciiTheme="majorHAnsi" w:hAnsiTheme="majorHAnsi" w:cstheme="majorHAnsi"/>
                <w:color w:val="000000"/>
                <w:sz w:val="22"/>
                <w:szCs w:val="22"/>
              </w:rPr>
              <w:t xml:space="preserve">The Code </w:t>
            </w:r>
            <w:r w:rsidRPr="0056055F">
              <w:rPr>
                <w:rFonts w:asciiTheme="majorHAnsi" w:hAnsiTheme="majorHAnsi" w:cstheme="majorHAnsi"/>
                <w:sz w:val="22"/>
                <w:szCs w:val="22"/>
              </w:rPr>
              <w:t xml:space="preserve">"On people's health and the health care system" adopted in July 2020 </w:t>
            </w:r>
            <w:r w:rsidR="009F69F1" w:rsidRPr="0056055F">
              <w:rPr>
                <w:rFonts w:asciiTheme="majorHAnsi" w:hAnsiTheme="majorHAnsi" w:cstheme="majorHAnsi"/>
                <w:color w:val="000000"/>
                <w:sz w:val="22"/>
                <w:szCs w:val="22"/>
              </w:rPr>
              <w:t>laid out the legal basis and outlined the framework for transition from a centralized to a mixed health-financing model. Consolidation of health funding pools and</w:t>
            </w:r>
            <w:r w:rsidR="009F69F1" w:rsidRPr="004C742C">
              <w:rPr>
                <w:rFonts w:ascii="Arial" w:hAnsi="Arial" w:cs="Arial"/>
                <w:color w:val="000000"/>
                <w:sz w:val="22"/>
                <w:szCs w:val="22"/>
              </w:rPr>
              <w:t xml:space="preserve"> administrative functions at the central level with the establishment of the</w:t>
            </w:r>
            <w:r w:rsidR="00423462">
              <w:rPr>
                <w:rFonts w:ascii="Arial" w:hAnsi="Arial" w:cs="Arial"/>
                <w:color w:val="000000"/>
                <w:sz w:val="22"/>
                <w:szCs w:val="22"/>
              </w:rPr>
              <w:t xml:space="preserve"> compulsory</w:t>
            </w:r>
            <w:r w:rsidR="009F69F1" w:rsidRPr="004C742C">
              <w:rPr>
                <w:rFonts w:ascii="Arial" w:hAnsi="Arial" w:cs="Arial"/>
                <w:color w:val="000000"/>
                <w:sz w:val="22"/>
                <w:szCs w:val="22"/>
              </w:rPr>
              <w:t xml:space="preserve"> healt</w:t>
            </w:r>
            <w:r w:rsidR="009F69F1">
              <w:rPr>
                <w:rFonts w:ascii="Arial" w:hAnsi="Arial" w:cs="Arial"/>
                <w:color w:val="000000"/>
                <w:sz w:val="22"/>
                <w:szCs w:val="22"/>
              </w:rPr>
              <w:t>h insurance fund (CHIF)</w:t>
            </w:r>
            <w:r w:rsidR="009F69F1" w:rsidRPr="008B2411">
              <w:rPr>
                <w:rFonts w:ascii="Arial" w:hAnsi="Arial" w:cs="Arial"/>
                <w:sz w:val="22"/>
                <w:szCs w:val="22"/>
                <w:vertAlign w:val="superscript"/>
              </w:rPr>
              <w:footnoteReference w:id="17"/>
            </w:r>
            <w:r w:rsidR="009F69F1" w:rsidRPr="004C742C">
              <w:rPr>
                <w:rFonts w:ascii="Arial" w:hAnsi="Arial" w:cs="Arial"/>
                <w:color w:val="000000"/>
                <w:sz w:val="22"/>
                <w:szCs w:val="22"/>
              </w:rPr>
              <w:t xml:space="preserve"> has reduced fragmentation of financing, allowed to overcome u</w:t>
            </w:r>
            <w:r w:rsidR="009F69F1">
              <w:rPr>
                <w:rFonts w:ascii="Arial" w:hAnsi="Arial" w:cs="Arial"/>
                <w:color w:val="000000"/>
                <w:sz w:val="22"/>
                <w:szCs w:val="22"/>
              </w:rPr>
              <w:t>njustified regional differences</w:t>
            </w:r>
            <w:r w:rsidR="009F69F1" w:rsidRPr="004C742C">
              <w:rPr>
                <w:rFonts w:ascii="Arial" w:hAnsi="Arial" w:cs="Arial"/>
                <w:color w:val="000000"/>
                <w:sz w:val="22"/>
                <w:szCs w:val="22"/>
              </w:rPr>
              <w:t>.</w:t>
            </w:r>
            <w:r w:rsidR="009F69F1">
              <w:rPr>
                <w:rFonts w:ascii="Arial" w:hAnsi="Arial" w:cs="Arial"/>
                <w:color w:val="000000"/>
                <w:sz w:val="22"/>
                <w:szCs w:val="22"/>
              </w:rPr>
              <w:t xml:space="preserve"> </w:t>
            </w:r>
            <w:r w:rsidR="009F69F1" w:rsidRPr="008B2411">
              <w:rPr>
                <w:rFonts w:ascii="Arial" w:hAnsi="Arial" w:cs="Arial"/>
                <w:sz w:val="22"/>
                <w:szCs w:val="22"/>
              </w:rPr>
              <w:t xml:space="preserve">The </w:t>
            </w:r>
            <w:r w:rsidR="009F69F1">
              <w:rPr>
                <w:rFonts w:ascii="Arial" w:hAnsi="Arial" w:cs="Arial"/>
                <w:sz w:val="22"/>
                <w:szCs w:val="22"/>
              </w:rPr>
              <w:t>C</w:t>
            </w:r>
            <w:r w:rsidR="009F69F1" w:rsidRPr="008B2411">
              <w:rPr>
                <w:rFonts w:ascii="Arial" w:hAnsi="Arial" w:cs="Arial"/>
                <w:sz w:val="22"/>
                <w:szCs w:val="22"/>
              </w:rPr>
              <w:t>HIF</w:t>
            </w:r>
            <w:r w:rsidR="009F69F1" w:rsidRPr="008B2411">
              <w:rPr>
                <w:rStyle w:val="af"/>
                <w:rFonts w:ascii="Arial" w:hAnsi="Arial" w:cs="Arial"/>
                <w:sz w:val="22"/>
                <w:szCs w:val="22"/>
              </w:rPr>
              <w:footnoteReference w:id="18"/>
            </w:r>
            <w:r w:rsidR="009F69F1" w:rsidRPr="008B2411">
              <w:rPr>
                <w:rFonts w:ascii="Arial" w:hAnsi="Arial" w:cs="Arial"/>
                <w:sz w:val="22"/>
                <w:szCs w:val="22"/>
                <w:vertAlign w:val="superscript"/>
              </w:rPr>
              <w:t>,</w:t>
            </w:r>
            <w:r w:rsidR="009F69F1" w:rsidRPr="008B2411">
              <w:rPr>
                <w:rStyle w:val="af"/>
                <w:rFonts w:ascii="Arial" w:hAnsi="Arial" w:cs="Arial"/>
                <w:sz w:val="22"/>
                <w:szCs w:val="22"/>
              </w:rPr>
              <w:footnoteReference w:id="19"/>
            </w:r>
            <w:r w:rsidR="009F69F1">
              <w:rPr>
                <w:rFonts w:ascii="Arial" w:hAnsi="Arial" w:cs="Arial"/>
                <w:sz w:val="22"/>
                <w:szCs w:val="22"/>
                <w:vertAlign w:val="superscript"/>
              </w:rPr>
              <w:t xml:space="preserve"> </w:t>
            </w:r>
            <w:r w:rsidR="009F69F1" w:rsidRPr="008B2411">
              <w:rPr>
                <w:rFonts w:ascii="Arial" w:hAnsi="Arial" w:cs="Arial"/>
                <w:sz w:val="22"/>
                <w:szCs w:val="22"/>
              </w:rPr>
              <w:t>pools monies in separate accounts and pays for health care within the frame of the state-guarante</w:t>
            </w:r>
            <w:r w:rsidR="009F69F1">
              <w:rPr>
                <w:rFonts w:ascii="Arial" w:hAnsi="Arial" w:cs="Arial"/>
                <w:sz w:val="22"/>
                <w:szCs w:val="22"/>
              </w:rPr>
              <w:t xml:space="preserve">ed volume of free medical care (or the </w:t>
            </w:r>
            <w:r w:rsidR="009F69F1" w:rsidRPr="008B2411">
              <w:rPr>
                <w:rFonts w:ascii="Arial" w:hAnsi="Arial" w:cs="Arial"/>
                <w:sz w:val="22"/>
                <w:szCs w:val="22"/>
              </w:rPr>
              <w:t>program of state guarantees)</w:t>
            </w:r>
            <w:r w:rsidR="009F69F1">
              <w:rPr>
                <w:rFonts w:ascii="Arial" w:hAnsi="Arial" w:cs="Arial"/>
                <w:sz w:val="22"/>
                <w:szCs w:val="22"/>
              </w:rPr>
              <w:t>, and in the system of compulsory social health insurance (CSHI), per</w:t>
            </w:r>
            <w:r w:rsidR="009F69F1" w:rsidRPr="008B2411">
              <w:rPr>
                <w:rFonts w:ascii="Arial" w:hAnsi="Arial" w:cs="Arial"/>
                <w:sz w:val="22"/>
                <w:szCs w:val="22"/>
              </w:rPr>
              <w:t>forms regular audits and expenditures’ analysis, monitors the performa</w:t>
            </w:r>
            <w:r w:rsidR="009F69F1">
              <w:rPr>
                <w:rFonts w:ascii="Arial" w:hAnsi="Arial" w:cs="Arial"/>
                <w:sz w:val="22"/>
                <w:szCs w:val="22"/>
              </w:rPr>
              <w:t>nce of impanel</w:t>
            </w:r>
            <w:r w:rsidR="009F69F1" w:rsidRPr="008B2411">
              <w:rPr>
                <w:rFonts w:ascii="Arial" w:hAnsi="Arial" w:cs="Arial"/>
                <w:sz w:val="22"/>
                <w:szCs w:val="22"/>
              </w:rPr>
              <w:t xml:space="preserve">ed healthcare providers, manages complaints and conduct sensitization and awareness-raising events on components of </w:t>
            </w:r>
            <w:r w:rsidR="009F69F1">
              <w:rPr>
                <w:rFonts w:ascii="Arial" w:hAnsi="Arial" w:cs="Arial"/>
                <w:sz w:val="22"/>
                <w:szCs w:val="22"/>
              </w:rPr>
              <w:t>CSHI.</w:t>
            </w:r>
          </w:p>
          <w:p w14:paraId="42D39AEE" w14:textId="77777777" w:rsidR="00BD27EC" w:rsidRPr="004C742C" w:rsidRDefault="00BD27EC" w:rsidP="00BD27EC">
            <w:pPr>
              <w:pStyle w:val="affff9"/>
              <w:spacing w:after="0" w:line="240" w:lineRule="auto"/>
              <w:jc w:val="both"/>
              <w:rPr>
                <w:rFonts w:ascii="Arial" w:hAnsi="Arial" w:cs="Arial"/>
                <w:color w:val="000000"/>
                <w:sz w:val="22"/>
                <w:szCs w:val="22"/>
              </w:rPr>
            </w:pPr>
          </w:p>
          <w:p w14:paraId="32AFC7D8" w14:textId="6F4834B0" w:rsidR="009F69F1" w:rsidRDefault="009F69F1" w:rsidP="00BD27EC">
            <w:pPr>
              <w:pStyle w:val="affff9"/>
              <w:spacing w:after="0" w:line="240" w:lineRule="auto"/>
              <w:jc w:val="both"/>
              <w:rPr>
                <w:rFonts w:ascii="Arial" w:eastAsia="Times New Roman" w:hAnsi="Arial" w:cs="Arial"/>
                <w:sz w:val="22"/>
                <w:szCs w:val="22"/>
              </w:rPr>
            </w:pPr>
            <w:r w:rsidRPr="00AF5077">
              <w:rPr>
                <w:rFonts w:ascii="Arial" w:eastAsia="Times New Roman" w:hAnsi="Arial" w:cs="Arial"/>
                <w:sz w:val="22"/>
                <w:szCs w:val="22"/>
              </w:rPr>
              <w:t>The first year of large-scale implementation of compulsor</w:t>
            </w:r>
            <w:r>
              <w:rPr>
                <w:rFonts w:ascii="Arial" w:eastAsia="Times New Roman" w:hAnsi="Arial" w:cs="Arial"/>
                <w:sz w:val="22"/>
                <w:szCs w:val="22"/>
              </w:rPr>
              <w:t>y social health insurance</w:t>
            </w:r>
            <w:r w:rsidRPr="00AF5077">
              <w:rPr>
                <w:rFonts w:ascii="Arial" w:eastAsia="Times New Roman" w:hAnsi="Arial" w:cs="Arial"/>
                <w:sz w:val="22"/>
                <w:szCs w:val="22"/>
              </w:rPr>
              <w:t xml:space="preserve"> coinc</w:t>
            </w:r>
            <w:r w:rsidR="00EC1499">
              <w:rPr>
                <w:rFonts w:ascii="Arial" w:eastAsia="Times New Roman" w:hAnsi="Arial" w:cs="Arial"/>
                <w:sz w:val="22"/>
                <w:szCs w:val="22"/>
              </w:rPr>
              <w:t>ided with the COVID-19 pandemic by</w:t>
            </w:r>
            <w:r w:rsidRPr="00AF5077">
              <w:rPr>
                <w:rFonts w:ascii="Arial" w:eastAsia="Times New Roman" w:hAnsi="Arial" w:cs="Arial"/>
                <w:sz w:val="22"/>
                <w:szCs w:val="22"/>
              </w:rPr>
              <w:t xml:space="preserve"> increasing the c</w:t>
            </w:r>
            <w:r>
              <w:rPr>
                <w:rFonts w:ascii="Arial" w:eastAsia="Times New Roman" w:hAnsi="Arial" w:cs="Arial"/>
                <w:sz w:val="22"/>
                <w:szCs w:val="22"/>
              </w:rPr>
              <w:t>omplexity of the health system'</w:t>
            </w:r>
            <w:r w:rsidRPr="00AF5077">
              <w:rPr>
                <w:rFonts w:ascii="Arial" w:eastAsia="Times New Roman" w:hAnsi="Arial" w:cs="Arial"/>
                <w:sz w:val="22"/>
                <w:szCs w:val="22"/>
              </w:rPr>
              <w:t xml:space="preserve"> challenges</w:t>
            </w:r>
            <w:r>
              <w:rPr>
                <w:rFonts w:ascii="Arial" w:eastAsia="Times New Roman" w:hAnsi="Arial" w:cs="Arial"/>
                <w:sz w:val="22"/>
                <w:szCs w:val="22"/>
              </w:rPr>
              <w:t xml:space="preserve">. </w:t>
            </w:r>
            <w:r w:rsidRPr="008B2411">
              <w:rPr>
                <w:rFonts w:ascii="Arial" w:eastAsia="Times New Roman" w:hAnsi="Arial" w:cs="Arial"/>
                <w:sz w:val="22"/>
                <w:szCs w:val="22"/>
              </w:rPr>
              <w:t>However, despite the quarantine measures, the population enrolled under the CSHI scheme made up 85% at the end of 2020. The SHIF has accomplished all necessary s</w:t>
            </w:r>
            <w:r>
              <w:rPr>
                <w:rFonts w:ascii="Arial" w:eastAsia="Times New Roman" w:hAnsi="Arial" w:cs="Arial"/>
                <w:sz w:val="22"/>
                <w:szCs w:val="22"/>
              </w:rPr>
              <w:t>teps to be fully operational that allows</w:t>
            </w:r>
            <w:r w:rsidRPr="008B2411">
              <w:rPr>
                <w:rFonts w:ascii="Arial" w:eastAsia="Times New Roman" w:hAnsi="Arial" w:cs="Arial"/>
                <w:sz w:val="22"/>
                <w:szCs w:val="22"/>
              </w:rPr>
              <w:t xml:space="preserve"> effectively respond to the outbreak. The CSHI deductions and contributions were mobilized to guarantee population access to narrow specialist' consultations, high-tech diagnostic services, day-care, and rehabilitation by injecting more than KZT550 bil</w:t>
            </w:r>
            <w:r>
              <w:rPr>
                <w:rFonts w:ascii="Arial" w:eastAsia="Times New Roman" w:hAnsi="Arial" w:cs="Arial"/>
                <w:sz w:val="22"/>
                <w:szCs w:val="22"/>
              </w:rPr>
              <w:t>lion into the healthcare system</w:t>
            </w:r>
            <w:r w:rsidRPr="008B2411">
              <w:rPr>
                <w:rFonts w:ascii="Arial" w:eastAsia="Times New Roman" w:hAnsi="Arial" w:cs="Arial"/>
                <w:sz w:val="22"/>
                <w:szCs w:val="22"/>
              </w:rPr>
              <w:t>. This significantly increased the volume of services and made them accessible to patients irrespe</w:t>
            </w:r>
            <w:r>
              <w:rPr>
                <w:rFonts w:ascii="Arial" w:eastAsia="Times New Roman" w:hAnsi="Arial" w:cs="Arial"/>
                <w:sz w:val="22"/>
                <w:szCs w:val="22"/>
              </w:rPr>
              <w:t xml:space="preserve">ctive of their insurance status. </w:t>
            </w:r>
          </w:p>
          <w:p w14:paraId="4AEB7C12" w14:textId="77777777" w:rsidR="00BD27EC" w:rsidRPr="008B2411" w:rsidRDefault="00BD27EC" w:rsidP="00BD27EC">
            <w:pPr>
              <w:pStyle w:val="affff9"/>
              <w:spacing w:after="0" w:line="240" w:lineRule="auto"/>
              <w:jc w:val="both"/>
              <w:rPr>
                <w:rFonts w:ascii="Arial" w:eastAsia="Times New Roman" w:hAnsi="Arial" w:cs="Arial"/>
                <w:sz w:val="22"/>
                <w:szCs w:val="22"/>
              </w:rPr>
            </w:pPr>
          </w:p>
          <w:p w14:paraId="1C9274C6" w14:textId="2BC6ADE0" w:rsidR="009F69F1" w:rsidRDefault="009F69F1" w:rsidP="00BD27EC">
            <w:pPr>
              <w:pStyle w:val="affff9"/>
              <w:spacing w:after="0" w:line="240" w:lineRule="auto"/>
              <w:jc w:val="both"/>
              <w:rPr>
                <w:rFonts w:ascii="Arial" w:hAnsi="Arial" w:cs="Arial"/>
                <w:sz w:val="22"/>
                <w:szCs w:val="22"/>
              </w:rPr>
            </w:pPr>
            <w:r w:rsidRPr="008B2411">
              <w:rPr>
                <w:rFonts w:ascii="Arial" w:hAnsi="Arial" w:cs="Arial"/>
                <w:sz w:val="22"/>
                <w:szCs w:val="22"/>
              </w:rPr>
              <w:t xml:space="preserve">The CSHI is financed primarily from contributions of employers and taxpayers, and </w:t>
            </w:r>
            <w:r w:rsidR="00EC1499">
              <w:rPr>
                <w:rFonts w:ascii="Arial" w:hAnsi="Arial" w:cs="Arial"/>
                <w:sz w:val="22"/>
                <w:szCs w:val="22"/>
              </w:rPr>
              <w:t xml:space="preserve">the </w:t>
            </w:r>
            <w:r w:rsidRPr="008B2411">
              <w:rPr>
                <w:rFonts w:ascii="Arial" w:hAnsi="Arial" w:cs="Arial"/>
                <w:sz w:val="22"/>
                <w:szCs w:val="22"/>
              </w:rPr>
              <w:t xml:space="preserve">republican budget’ </w:t>
            </w:r>
            <w:r w:rsidR="00EC1499">
              <w:rPr>
                <w:rFonts w:ascii="Arial" w:hAnsi="Arial" w:cs="Arial"/>
                <w:sz w:val="22"/>
                <w:szCs w:val="22"/>
              </w:rPr>
              <w:t>transfer</w:t>
            </w:r>
            <w:r w:rsidRPr="008B2411">
              <w:rPr>
                <w:rFonts w:ascii="Arial" w:hAnsi="Arial" w:cs="Arial"/>
                <w:sz w:val="22"/>
                <w:szCs w:val="22"/>
              </w:rPr>
              <w:t xml:space="preserve"> to cover the premium costs for economically</w:t>
            </w:r>
            <w:r>
              <w:rPr>
                <w:rFonts w:ascii="Arial" w:hAnsi="Arial" w:cs="Arial"/>
                <w:sz w:val="22"/>
                <w:szCs w:val="22"/>
              </w:rPr>
              <w:t xml:space="preserve"> inactive </w:t>
            </w:r>
            <w:r w:rsidR="00EB4FA5">
              <w:rPr>
                <w:rFonts w:ascii="Arial" w:hAnsi="Arial" w:cs="Arial"/>
                <w:sz w:val="22"/>
                <w:szCs w:val="22"/>
              </w:rPr>
              <w:t xml:space="preserve">population </w:t>
            </w:r>
            <w:r>
              <w:rPr>
                <w:rFonts w:ascii="Arial" w:hAnsi="Arial" w:cs="Arial"/>
                <w:sz w:val="22"/>
                <w:szCs w:val="22"/>
              </w:rPr>
              <w:t>groups. The last</w:t>
            </w:r>
            <w:r w:rsidRPr="008B2411">
              <w:rPr>
                <w:rFonts w:ascii="Arial" w:hAnsi="Arial" w:cs="Arial"/>
                <w:sz w:val="22"/>
                <w:szCs w:val="22"/>
              </w:rPr>
              <w:t xml:space="preserve"> includes persons registered as unemployed, non-working pregnant women, those on maternity leave, unemployed who care for a disabled child, recipients of pension payments, persons in the penitentiary system and detention centers, disabled and full-time students. Foreigners and non-residents, who are permanently residing in the country and returnees, enjoy similar rights and bear the same obligations as citizens of R</w:t>
            </w:r>
            <w:r w:rsidR="00EC1499">
              <w:rPr>
                <w:rFonts w:ascii="Arial" w:hAnsi="Arial" w:cs="Arial"/>
                <w:sz w:val="22"/>
                <w:szCs w:val="22"/>
              </w:rPr>
              <w:t xml:space="preserve">epublic of </w:t>
            </w:r>
            <w:r w:rsidRPr="008B2411">
              <w:rPr>
                <w:rFonts w:ascii="Arial" w:hAnsi="Arial" w:cs="Arial"/>
                <w:sz w:val="22"/>
                <w:szCs w:val="22"/>
              </w:rPr>
              <w:t>K</w:t>
            </w:r>
            <w:r w:rsidR="00EC1499">
              <w:rPr>
                <w:rFonts w:ascii="Arial" w:hAnsi="Arial" w:cs="Arial"/>
                <w:sz w:val="22"/>
                <w:szCs w:val="22"/>
              </w:rPr>
              <w:t>azakhstan (RK)</w:t>
            </w:r>
            <w:r w:rsidRPr="008B2411">
              <w:rPr>
                <w:rFonts w:ascii="Arial" w:hAnsi="Arial" w:cs="Arial"/>
                <w:sz w:val="22"/>
                <w:szCs w:val="22"/>
              </w:rPr>
              <w:t>.</w:t>
            </w:r>
          </w:p>
          <w:p w14:paraId="2E007514" w14:textId="77777777" w:rsidR="00EC1499" w:rsidRPr="008B2411" w:rsidRDefault="00EC1499" w:rsidP="00BD27EC">
            <w:pPr>
              <w:pStyle w:val="affff9"/>
              <w:spacing w:after="0" w:line="240" w:lineRule="auto"/>
              <w:jc w:val="both"/>
              <w:rPr>
                <w:rFonts w:ascii="Arial" w:hAnsi="Arial" w:cs="Arial"/>
                <w:sz w:val="22"/>
                <w:szCs w:val="22"/>
              </w:rPr>
            </w:pPr>
          </w:p>
          <w:p w14:paraId="39969876" w14:textId="77777777" w:rsidR="009F69F1" w:rsidRPr="008B2411" w:rsidRDefault="009F69F1" w:rsidP="00BD27EC">
            <w:pPr>
              <w:pStyle w:val="affff9"/>
              <w:spacing w:after="0" w:line="240" w:lineRule="auto"/>
              <w:jc w:val="both"/>
              <w:rPr>
                <w:rFonts w:ascii="Arial" w:hAnsi="Arial" w:cs="Arial"/>
                <w:color w:val="000000"/>
                <w:sz w:val="22"/>
                <w:szCs w:val="22"/>
              </w:rPr>
            </w:pPr>
            <w:r w:rsidRPr="008B2411">
              <w:rPr>
                <w:rFonts w:ascii="Arial" w:hAnsi="Arial" w:cs="Arial"/>
                <w:color w:val="000000"/>
                <w:sz w:val="22"/>
                <w:szCs w:val="22"/>
              </w:rPr>
              <w:t>Further development of healthcare as a multi-tier system distributes responsibility for the health of citizens between state, employers, and taxpayers and guarantee equitable and affordable access to quality healthcare services:</w:t>
            </w:r>
          </w:p>
          <w:p w14:paraId="6163BA1C" w14:textId="77777777" w:rsidR="009F69F1" w:rsidRPr="008B2411" w:rsidRDefault="009F69F1" w:rsidP="006A0E08">
            <w:pPr>
              <w:pStyle w:val="affff9"/>
              <w:numPr>
                <w:ilvl w:val="0"/>
                <w:numId w:val="47"/>
              </w:numPr>
              <w:spacing w:before="120" w:after="0" w:line="240" w:lineRule="auto"/>
              <w:jc w:val="both"/>
              <w:rPr>
                <w:rFonts w:ascii="Arial" w:hAnsi="Arial" w:cs="Arial"/>
                <w:sz w:val="22"/>
                <w:szCs w:val="22"/>
              </w:rPr>
            </w:pPr>
            <w:r w:rsidRPr="008B2411">
              <w:rPr>
                <w:rFonts w:ascii="Arial" w:hAnsi="Arial" w:cs="Arial"/>
                <w:sz w:val="22"/>
                <w:szCs w:val="22"/>
              </w:rPr>
              <w:t>state-guaranteed volume of free medical care including TB services, financed from repub</w:t>
            </w:r>
            <w:r>
              <w:rPr>
                <w:rFonts w:ascii="Arial" w:hAnsi="Arial" w:cs="Arial"/>
                <w:sz w:val="22"/>
                <w:szCs w:val="22"/>
              </w:rPr>
              <w:t xml:space="preserve">lican and sub-national </w:t>
            </w:r>
            <w:proofErr w:type="gramStart"/>
            <w:r>
              <w:rPr>
                <w:rFonts w:ascii="Arial" w:hAnsi="Arial" w:cs="Arial"/>
                <w:sz w:val="22"/>
                <w:szCs w:val="22"/>
              </w:rPr>
              <w:t>budgets;</w:t>
            </w:r>
            <w:proofErr w:type="gramEnd"/>
          </w:p>
          <w:p w14:paraId="49E7BCCE" w14:textId="77777777" w:rsidR="009F69F1" w:rsidRPr="008B2411" w:rsidRDefault="009F69F1" w:rsidP="006A0E08">
            <w:pPr>
              <w:pStyle w:val="affff9"/>
              <w:numPr>
                <w:ilvl w:val="0"/>
                <w:numId w:val="47"/>
              </w:numPr>
              <w:spacing w:after="0" w:line="240" w:lineRule="auto"/>
              <w:jc w:val="both"/>
              <w:rPr>
                <w:rFonts w:ascii="Arial" w:hAnsi="Arial" w:cs="Arial"/>
                <w:sz w:val="22"/>
                <w:szCs w:val="22"/>
              </w:rPr>
            </w:pPr>
            <w:r w:rsidRPr="008B2411">
              <w:rPr>
                <w:rFonts w:ascii="Arial" w:hAnsi="Arial" w:cs="Arial"/>
                <w:sz w:val="22"/>
                <w:szCs w:val="22"/>
              </w:rPr>
              <w:t xml:space="preserve">benefits’ package under the CSHI, </w:t>
            </w:r>
            <w:proofErr w:type="gramStart"/>
            <w:r w:rsidRPr="008B2411">
              <w:rPr>
                <w:rFonts w:ascii="Arial" w:hAnsi="Arial" w:cs="Arial"/>
                <w:sz w:val="22"/>
                <w:szCs w:val="22"/>
              </w:rPr>
              <w:t>financed  through</w:t>
            </w:r>
            <w:proofErr w:type="gramEnd"/>
            <w:r w:rsidRPr="008B2411">
              <w:rPr>
                <w:rFonts w:ascii="Arial" w:hAnsi="Arial" w:cs="Arial"/>
                <w:sz w:val="22"/>
                <w:szCs w:val="22"/>
              </w:rPr>
              <w:t xml:space="preserve"> a mix of contributions from the state, employers and employees, self-employed and through othe</w:t>
            </w:r>
            <w:r>
              <w:rPr>
                <w:rFonts w:ascii="Arial" w:hAnsi="Arial" w:cs="Arial"/>
                <w:sz w:val="22"/>
                <w:szCs w:val="22"/>
              </w:rPr>
              <w:t>r sources not prohibited by law</w:t>
            </w:r>
            <w:r w:rsidRPr="008B2411">
              <w:rPr>
                <w:rFonts w:ascii="Arial" w:hAnsi="Arial" w:cs="Arial"/>
                <w:sz w:val="22"/>
                <w:szCs w:val="22"/>
              </w:rPr>
              <w:t xml:space="preserve">; </w:t>
            </w:r>
          </w:p>
          <w:p w14:paraId="5A43159C" w14:textId="77777777" w:rsidR="009F69F1" w:rsidRPr="008B2411" w:rsidRDefault="009F69F1" w:rsidP="006A0E08">
            <w:pPr>
              <w:pStyle w:val="affff9"/>
              <w:numPr>
                <w:ilvl w:val="0"/>
                <w:numId w:val="47"/>
              </w:numPr>
              <w:spacing w:after="0" w:line="240" w:lineRule="auto"/>
              <w:jc w:val="both"/>
              <w:rPr>
                <w:rFonts w:ascii="Arial" w:hAnsi="Arial" w:cs="Arial"/>
                <w:sz w:val="22"/>
                <w:szCs w:val="22"/>
              </w:rPr>
            </w:pPr>
            <w:r w:rsidRPr="008B2411">
              <w:rPr>
                <w:rFonts w:ascii="Arial" w:hAnsi="Arial" w:cs="Arial"/>
                <w:sz w:val="22"/>
                <w:szCs w:val="22"/>
              </w:rPr>
              <w:t xml:space="preserve">benefits’ package of </w:t>
            </w:r>
            <w:r>
              <w:rPr>
                <w:rFonts w:ascii="Arial" w:hAnsi="Arial" w:cs="Arial"/>
                <w:sz w:val="22"/>
                <w:szCs w:val="22"/>
              </w:rPr>
              <w:t>the voluntary health insurance,</w:t>
            </w:r>
            <w:r w:rsidRPr="008B2411">
              <w:rPr>
                <w:rFonts w:ascii="Arial" w:hAnsi="Arial" w:cs="Arial"/>
                <w:sz w:val="22"/>
                <w:szCs w:val="22"/>
              </w:rPr>
              <w:t xml:space="preserve"> financed from voluntary contributions of citizens or employers; and </w:t>
            </w:r>
          </w:p>
          <w:p w14:paraId="6B32095D" w14:textId="0BA6D49B" w:rsidR="00BD27EC" w:rsidRPr="00EB4177" w:rsidRDefault="009F69F1" w:rsidP="006A0E08">
            <w:pPr>
              <w:pStyle w:val="affff9"/>
              <w:numPr>
                <w:ilvl w:val="0"/>
                <w:numId w:val="47"/>
              </w:numPr>
              <w:spacing w:after="0" w:line="240" w:lineRule="auto"/>
              <w:jc w:val="both"/>
              <w:rPr>
                <w:rFonts w:ascii="Arial" w:hAnsi="Arial" w:cs="Arial"/>
                <w:sz w:val="22"/>
                <w:szCs w:val="22"/>
              </w:rPr>
            </w:pPr>
            <w:r>
              <w:rPr>
                <w:rFonts w:ascii="Arial" w:hAnsi="Arial" w:cs="Arial"/>
                <w:sz w:val="22"/>
                <w:szCs w:val="22"/>
              </w:rPr>
              <w:t>package of paid</w:t>
            </w:r>
            <w:r w:rsidRPr="008B2411">
              <w:rPr>
                <w:rFonts w:ascii="Arial" w:hAnsi="Arial" w:cs="Arial"/>
                <w:sz w:val="22"/>
                <w:szCs w:val="22"/>
              </w:rPr>
              <w:t xml:space="preserve"> services</w:t>
            </w:r>
            <w:r>
              <w:rPr>
                <w:rFonts w:ascii="Arial" w:hAnsi="Arial" w:cs="Arial"/>
                <w:sz w:val="22"/>
                <w:szCs w:val="22"/>
              </w:rPr>
              <w:t>, financed through payments by users.</w:t>
            </w:r>
          </w:p>
          <w:p w14:paraId="74E516E5" w14:textId="77777777" w:rsidR="00EB4177" w:rsidRPr="00EB4177" w:rsidRDefault="00EB4177" w:rsidP="00EB4177">
            <w:pPr>
              <w:spacing w:before="240" w:line="240" w:lineRule="auto"/>
              <w:jc w:val="both"/>
              <w:rPr>
                <w:rFonts w:cs="Arial"/>
                <w:b/>
                <w:bCs/>
              </w:rPr>
            </w:pPr>
            <w:r w:rsidRPr="00EB4177">
              <w:rPr>
                <w:rFonts w:cs="Arial"/>
                <w:b/>
                <w:bCs/>
              </w:rPr>
              <w:t xml:space="preserve">TB Financing </w:t>
            </w:r>
          </w:p>
          <w:p w14:paraId="67236CFE" w14:textId="7BEFE1A7" w:rsidR="009F69F1" w:rsidRDefault="009F69F1" w:rsidP="00BD27EC">
            <w:pPr>
              <w:spacing w:after="0" w:line="240" w:lineRule="auto"/>
              <w:jc w:val="both"/>
              <w:rPr>
                <w:rFonts w:cs="Arial"/>
                <w:bCs/>
              </w:rPr>
            </w:pPr>
            <w:r w:rsidRPr="008B2411">
              <w:rPr>
                <w:rFonts w:cs="Arial"/>
                <w:bCs/>
              </w:rPr>
              <w:t xml:space="preserve">In Kazakhstan, most of the funding for the TB control program comes from domestic resources. With </w:t>
            </w:r>
            <w:r>
              <w:rPr>
                <w:rFonts w:cs="Arial"/>
                <w:bCs/>
              </w:rPr>
              <w:t>the establishment of C</w:t>
            </w:r>
            <w:r w:rsidRPr="008B2411">
              <w:rPr>
                <w:rFonts w:cs="Arial"/>
                <w:bCs/>
              </w:rPr>
              <w:t xml:space="preserve">HIF, the domestic funding has shifted from </w:t>
            </w:r>
            <w:r>
              <w:rPr>
                <w:rFonts w:cs="Arial"/>
                <w:bCs/>
              </w:rPr>
              <w:t xml:space="preserve">the </w:t>
            </w:r>
            <w:r w:rsidRPr="008B2411">
              <w:rPr>
                <w:rFonts w:cs="Arial"/>
                <w:bCs/>
              </w:rPr>
              <w:t>lo</w:t>
            </w:r>
            <w:r>
              <w:rPr>
                <w:rFonts w:cs="Arial"/>
                <w:bCs/>
              </w:rPr>
              <w:t>cal to</w:t>
            </w:r>
            <w:r w:rsidR="00D639EB">
              <w:rPr>
                <w:rFonts w:cs="Arial"/>
                <w:bCs/>
              </w:rPr>
              <w:t xml:space="preserve"> </w:t>
            </w:r>
            <w:r w:rsidR="00F70C8D">
              <w:rPr>
                <w:rFonts w:cs="Arial"/>
                <w:bCs/>
              </w:rPr>
              <w:t xml:space="preserve">the </w:t>
            </w:r>
            <w:r w:rsidR="00D639EB">
              <w:rPr>
                <w:rFonts w:cs="Arial"/>
                <w:bCs/>
              </w:rPr>
              <w:t>natio</w:t>
            </w:r>
            <w:r w:rsidR="00F70C8D">
              <w:rPr>
                <w:rFonts w:cs="Arial"/>
                <w:bCs/>
              </w:rPr>
              <w:t>nal government</w:t>
            </w:r>
            <w:r w:rsidR="00EC1499">
              <w:rPr>
                <w:rFonts w:cs="Arial"/>
                <w:bCs/>
              </w:rPr>
              <w:t xml:space="preserve"> by keeping the oblast administration</w:t>
            </w:r>
            <w:r w:rsidR="00F70C8D">
              <w:rPr>
                <w:rFonts w:cs="Arial"/>
                <w:bCs/>
              </w:rPr>
              <w:t>’s</w:t>
            </w:r>
            <w:r w:rsidR="00EC1499">
              <w:rPr>
                <w:rFonts w:cs="Arial"/>
                <w:bCs/>
              </w:rPr>
              <w:t xml:space="preserve"> </w:t>
            </w:r>
            <w:r w:rsidRPr="008B2411">
              <w:rPr>
                <w:rFonts w:cs="Arial"/>
                <w:bCs/>
              </w:rPr>
              <w:t>respo</w:t>
            </w:r>
            <w:r w:rsidR="00EC1499">
              <w:rPr>
                <w:rFonts w:cs="Arial"/>
                <w:bCs/>
              </w:rPr>
              <w:t>nsibility</w:t>
            </w:r>
            <w:r w:rsidRPr="008B2411">
              <w:rPr>
                <w:rFonts w:cs="Arial"/>
                <w:bCs/>
              </w:rPr>
              <w:t xml:space="preserve"> for the cost of TB social support component</w:t>
            </w:r>
            <w:r w:rsidRPr="008B2411">
              <w:rPr>
                <w:rStyle w:val="af"/>
                <w:rFonts w:cs="Arial"/>
                <w:bCs/>
              </w:rPr>
              <w:footnoteReference w:id="20"/>
            </w:r>
            <w:r w:rsidR="00EB4FA5">
              <w:rPr>
                <w:rFonts w:cs="Arial"/>
                <w:bCs/>
              </w:rPr>
              <w:t>,</w:t>
            </w:r>
            <w:r w:rsidR="00EC1499">
              <w:rPr>
                <w:rFonts w:cs="Arial"/>
                <w:bCs/>
              </w:rPr>
              <w:t xml:space="preserve"> and </w:t>
            </w:r>
            <w:r w:rsidR="00F70C8D">
              <w:rPr>
                <w:rFonts w:cs="Arial"/>
                <w:bCs/>
              </w:rPr>
              <w:t>additional</w:t>
            </w:r>
            <w:r w:rsidR="00D639EB">
              <w:rPr>
                <w:rFonts w:cs="Arial"/>
                <w:bCs/>
              </w:rPr>
              <w:t xml:space="preserve"> support</w:t>
            </w:r>
            <w:r w:rsidR="00EC1499">
              <w:rPr>
                <w:rFonts w:cs="Arial"/>
                <w:bCs/>
              </w:rPr>
              <w:t xml:space="preserve"> to the program of state guarantees</w:t>
            </w:r>
            <w:r w:rsidR="00EB4FA5">
              <w:rPr>
                <w:rFonts w:cs="Arial"/>
                <w:bCs/>
              </w:rPr>
              <w:t xml:space="preserve"> and ACSM activities</w:t>
            </w:r>
            <w:r>
              <w:rPr>
                <w:rFonts w:cs="Arial"/>
                <w:bCs/>
              </w:rPr>
              <w:t>. The</w:t>
            </w:r>
            <w:r w:rsidRPr="008B2411">
              <w:rPr>
                <w:rFonts w:cs="Arial"/>
                <w:bCs/>
              </w:rPr>
              <w:t xml:space="preserve"> </w:t>
            </w:r>
            <w:r w:rsidR="00C30798">
              <w:rPr>
                <w:rFonts w:cs="Arial"/>
                <w:bCs/>
              </w:rPr>
              <w:t xml:space="preserve">local </w:t>
            </w:r>
            <w:r w:rsidRPr="008B2411">
              <w:rPr>
                <w:rFonts w:cs="Arial"/>
                <w:bCs/>
              </w:rPr>
              <w:t>expenditures </w:t>
            </w:r>
            <w:r>
              <w:rPr>
                <w:rFonts w:cs="Arial"/>
                <w:bCs/>
              </w:rPr>
              <w:t xml:space="preserve">have </w:t>
            </w:r>
            <w:r w:rsidRPr="008B2411">
              <w:rPr>
                <w:rFonts w:cs="Arial"/>
              </w:rPr>
              <w:t>increase</w:t>
            </w:r>
            <w:r>
              <w:rPr>
                <w:rFonts w:cs="Arial"/>
              </w:rPr>
              <w:t>d</w:t>
            </w:r>
            <w:r w:rsidRPr="008B2411">
              <w:rPr>
                <w:rFonts w:cs="Arial"/>
                <w:bCs/>
              </w:rPr>
              <w:t> over time</w:t>
            </w:r>
            <w:r w:rsidR="00C30798">
              <w:rPr>
                <w:rFonts w:cs="Arial"/>
                <w:bCs/>
              </w:rPr>
              <w:t xml:space="preserve"> for the </w:t>
            </w:r>
            <w:r w:rsidR="004066E5">
              <w:rPr>
                <w:rFonts w:cs="Arial"/>
                <w:bCs/>
              </w:rPr>
              <w:t>social assi</w:t>
            </w:r>
            <w:r w:rsidR="00F70C8D">
              <w:rPr>
                <w:rFonts w:cs="Arial"/>
                <w:bCs/>
              </w:rPr>
              <w:t>s</w:t>
            </w:r>
            <w:r w:rsidR="004066E5">
              <w:rPr>
                <w:rFonts w:cs="Arial"/>
                <w:bCs/>
              </w:rPr>
              <w:t>tance</w:t>
            </w:r>
            <w:r w:rsidRPr="008B2411">
              <w:rPr>
                <w:rFonts w:cs="Arial"/>
                <w:bCs/>
              </w:rPr>
              <w:t xml:space="preserve"> and accounted for nearly 4</w:t>
            </w:r>
            <w:r>
              <w:rPr>
                <w:rFonts w:cs="Arial"/>
                <w:bCs/>
              </w:rPr>
              <w:t>.4% of the total TB budget in 2020</w:t>
            </w:r>
            <w:r w:rsidRPr="008B2411">
              <w:rPr>
                <w:rFonts w:cs="Arial"/>
                <w:bCs/>
              </w:rPr>
              <w:t xml:space="preserve">, </w:t>
            </w:r>
            <w:r w:rsidRPr="003C4775">
              <w:rPr>
                <w:rFonts w:cs="Arial"/>
                <w:bCs/>
              </w:rPr>
              <w:t xml:space="preserve">with </w:t>
            </w:r>
            <w:r w:rsidR="003C4775">
              <w:rPr>
                <w:rFonts w:cs="Arial"/>
                <w:bCs/>
              </w:rPr>
              <w:t xml:space="preserve">the </w:t>
            </w:r>
            <w:r w:rsidRPr="003C4775">
              <w:rPr>
                <w:rFonts w:cs="Arial"/>
                <w:bCs/>
              </w:rPr>
              <w:t>regional variations</w:t>
            </w:r>
            <w:r w:rsidRPr="003C4775">
              <w:rPr>
                <w:rFonts w:cs="Arial"/>
              </w:rPr>
              <w:t xml:space="preserve"> from low 1% to high 12%</w:t>
            </w:r>
            <w:r w:rsidRPr="003C4775">
              <w:rPr>
                <w:rFonts w:cs="Arial"/>
                <w:bCs/>
              </w:rPr>
              <w:t>.</w:t>
            </w:r>
          </w:p>
          <w:p w14:paraId="799E1E95" w14:textId="77777777" w:rsidR="00BD27EC" w:rsidRDefault="00BD27EC" w:rsidP="00BD27EC">
            <w:pPr>
              <w:spacing w:after="0" w:line="240" w:lineRule="auto"/>
              <w:jc w:val="both"/>
              <w:rPr>
                <w:rFonts w:cs="Arial"/>
                <w:bCs/>
              </w:rPr>
            </w:pPr>
          </w:p>
          <w:p w14:paraId="5D08A2F5" w14:textId="4A9BE6AC" w:rsidR="006720BF" w:rsidRPr="006720BF" w:rsidRDefault="00E440BE" w:rsidP="00F70C8D">
            <w:pPr>
              <w:jc w:val="both"/>
              <w:rPr>
                <w:rFonts w:asciiTheme="majorHAnsi" w:eastAsia="SimSun" w:hAnsiTheme="majorHAnsi" w:cstheme="majorHAnsi"/>
                <w:i/>
                <w:lang w:eastAsia="zh-CN"/>
              </w:rPr>
            </w:pPr>
            <w:r w:rsidRPr="001B423F">
              <w:rPr>
                <w:rFonts w:asciiTheme="majorHAnsi" w:eastAsia="SimSun" w:hAnsiTheme="majorHAnsi" w:cstheme="majorHAnsi"/>
                <w:lang w:eastAsia="zh-CN"/>
              </w:rPr>
              <w:t>The international assistance network aims to control TB in Kazakhstan is limited and represents an annual average of approximately 5% of the total spending on TB service in 2013-2021</w:t>
            </w:r>
            <w:r w:rsidRPr="00E440BE">
              <w:rPr>
                <w:rFonts w:asciiTheme="majorHAnsi" w:eastAsia="SimSun" w:hAnsiTheme="majorHAnsi" w:cstheme="majorHAnsi"/>
                <w:color w:val="3366FF"/>
                <w:lang w:eastAsia="zh-CN"/>
              </w:rPr>
              <w:t xml:space="preserve">. </w:t>
            </w:r>
            <w:r w:rsidR="009F69F1" w:rsidRPr="00F70C8D">
              <w:rPr>
                <w:rFonts w:asciiTheme="majorHAnsi" w:eastAsia="SimSun" w:hAnsiTheme="majorHAnsi" w:cstheme="majorHAnsi"/>
                <w:lang w:eastAsia="zh-CN"/>
              </w:rPr>
              <w:t>The analysis identifies the GF</w:t>
            </w:r>
            <w:r w:rsidR="00F70C8D" w:rsidRPr="00F70C8D">
              <w:rPr>
                <w:rFonts w:asciiTheme="majorHAnsi" w:eastAsia="SimSun" w:hAnsiTheme="majorHAnsi" w:cstheme="majorHAnsi"/>
                <w:lang w:eastAsia="zh-CN"/>
              </w:rPr>
              <w:t xml:space="preserve">, </w:t>
            </w:r>
            <w:r w:rsidR="009F69F1" w:rsidRPr="00F70C8D">
              <w:rPr>
                <w:rFonts w:asciiTheme="majorHAnsi" w:eastAsia="SimSun" w:hAnsiTheme="majorHAnsi" w:cstheme="majorHAnsi"/>
                <w:lang w:eastAsia="zh-CN"/>
              </w:rPr>
              <w:t>USAID</w:t>
            </w:r>
            <w:r w:rsidR="00F70C8D" w:rsidRPr="00F70C8D">
              <w:rPr>
                <w:rFonts w:asciiTheme="majorHAnsi" w:eastAsia="SimSun" w:hAnsiTheme="majorHAnsi" w:cstheme="majorHAnsi"/>
                <w:lang w:eastAsia="zh-CN"/>
              </w:rPr>
              <w:t>, Partners in H</w:t>
            </w:r>
            <w:r w:rsidR="00F70C8D">
              <w:rPr>
                <w:rFonts w:asciiTheme="majorHAnsi" w:eastAsia="SimSun" w:hAnsiTheme="majorHAnsi" w:cstheme="majorHAnsi"/>
                <w:lang w:eastAsia="zh-CN"/>
              </w:rPr>
              <w:t>ealth (PI</w:t>
            </w:r>
            <w:r w:rsidR="00F70C8D" w:rsidRPr="00F70C8D">
              <w:rPr>
                <w:rFonts w:asciiTheme="majorHAnsi" w:eastAsia="SimSun" w:hAnsiTheme="majorHAnsi" w:cstheme="majorHAnsi"/>
                <w:lang w:eastAsia="zh-CN"/>
              </w:rPr>
              <w:t xml:space="preserve">H) and </w:t>
            </w:r>
            <w:r w:rsidR="00F70C8D" w:rsidRPr="00F70C8D">
              <w:rPr>
                <w:rFonts w:asciiTheme="majorHAnsi" w:eastAsia="Times New Roman" w:hAnsiTheme="majorHAnsi" w:cstheme="majorHAnsi"/>
                <w:color w:val="201F1E"/>
                <w:shd w:val="clear" w:color="auto" w:fill="FFFFFF"/>
              </w:rPr>
              <w:t>KNCV</w:t>
            </w:r>
            <w:r w:rsidR="00F70C8D">
              <w:rPr>
                <w:rFonts w:asciiTheme="majorHAnsi" w:eastAsia="Times New Roman" w:hAnsiTheme="majorHAnsi" w:cstheme="majorHAnsi"/>
              </w:rPr>
              <w:t xml:space="preserve"> </w:t>
            </w:r>
            <w:r w:rsidR="00360056">
              <w:rPr>
                <w:rFonts w:asciiTheme="majorHAnsi" w:eastAsia="Times New Roman" w:hAnsiTheme="majorHAnsi" w:cstheme="majorHAnsi"/>
              </w:rPr>
              <w:t>Tuberculosis Foundation (KNCV</w:t>
            </w:r>
            <w:r w:rsidR="00F70C8D">
              <w:rPr>
                <w:rFonts w:asciiTheme="majorHAnsi" w:eastAsia="Times New Roman" w:hAnsiTheme="majorHAnsi" w:cstheme="majorHAnsi"/>
              </w:rPr>
              <w:t xml:space="preserve">) </w:t>
            </w:r>
            <w:r w:rsidR="009F69F1" w:rsidRPr="00F70C8D">
              <w:rPr>
                <w:rFonts w:asciiTheme="majorHAnsi" w:eastAsia="SimSun" w:hAnsiTheme="majorHAnsi" w:cstheme="majorHAnsi"/>
                <w:lang w:eastAsia="zh-CN"/>
              </w:rPr>
              <w:t>as key partners</w:t>
            </w:r>
            <w:r w:rsidR="00F70C8D" w:rsidRPr="00F70C8D">
              <w:rPr>
                <w:rFonts w:asciiTheme="majorHAnsi" w:hAnsiTheme="majorHAnsi" w:cstheme="majorHAnsi"/>
              </w:rPr>
              <w:t xml:space="preserve"> </w:t>
            </w:r>
            <w:r w:rsidR="009F69F1" w:rsidRPr="00F70C8D">
              <w:rPr>
                <w:rFonts w:asciiTheme="majorHAnsi" w:eastAsia="SimSun" w:hAnsiTheme="majorHAnsi" w:cstheme="majorHAnsi"/>
                <w:lang w:eastAsia="zh-CN"/>
              </w:rPr>
              <w:t xml:space="preserve">that contribute resources to fill the gap in the </w:t>
            </w:r>
            <w:r w:rsidR="008B1A4A">
              <w:rPr>
                <w:rFonts w:asciiTheme="majorHAnsi" w:eastAsia="SimSun" w:hAnsiTheme="majorHAnsi" w:cstheme="majorHAnsi"/>
                <w:lang w:eastAsia="zh-CN"/>
              </w:rPr>
              <w:t>country’ efforts to control TB (</w:t>
            </w:r>
            <w:r w:rsidR="008B1A4A" w:rsidRPr="008B1A4A">
              <w:rPr>
                <w:rFonts w:asciiTheme="majorHAnsi" w:eastAsia="SimSun" w:hAnsiTheme="majorHAnsi" w:cstheme="majorHAnsi"/>
                <w:i/>
                <w:lang w:eastAsia="zh-CN"/>
              </w:rPr>
              <w:t xml:space="preserve">for more detailes please refer to section </w:t>
            </w:r>
            <w:r w:rsidR="006720BF">
              <w:rPr>
                <w:rFonts w:asciiTheme="majorHAnsi" w:eastAsia="SimSun" w:hAnsiTheme="majorHAnsi" w:cstheme="majorHAnsi"/>
                <w:i/>
                <w:lang w:eastAsia="zh-CN"/>
              </w:rPr>
              <w:t>3.2</w:t>
            </w:r>
            <w:r w:rsidR="008B1A4A">
              <w:rPr>
                <w:rFonts w:asciiTheme="majorHAnsi" w:eastAsia="SimSun" w:hAnsiTheme="majorHAnsi" w:cstheme="majorHAnsi"/>
                <w:i/>
                <w:lang w:eastAsia="zh-CN"/>
              </w:rPr>
              <w:t xml:space="preserve">. </w:t>
            </w:r>
            <w:r w:rsidR="006720BF">
              <w:rPr>
                <w:rFonts w:asciiTheme="majorHAnsi" w:eastAsia="SimSun" w:hAnsiTheme="majorHAnsi" w:cstheme="majorHAnsi"/>
                <w:i/>
                <w:lang w:eastAsia="zh-CN"/>
              </w:rPr>
              <w:t>Sustainability and Transition</w:t>
            </w:r>
            <w:r w:rsidR="008B1A4A">
              <w:rPr>
                <w:rFonts w:asciiTheme="majorHAnsi" w:eastAsia="SimSun" w:hAnsiTheme="majorHAnsi" w:cstheme="majorHAnsi"/>
                <w:i/>
                <w:lang w:eastAsia="zh-CN"/>
              </w:rPr>
              <w:t>).</w:t>
            </w:r>
          </w:p>
          <w:p w14:paraId="29B36606" w14:textId="77777777" w:rsidR="009F69F1" w:rsidRPr="008B2411" w:rsidRDefault="009F69F1" w:rsidP="00EB4177">
            <w:pPr>
              <w:spacing w:before="240"/>
              <w:jc w:val="both"/>
              <w:rPr>
                <w:rFonts w:cs="Arial"/>
              </w:rPr>
            </w:pPr>
            <w:r w:rsidRPr="008B2411">
              <w:rPr>
                <w:rFonts w:cs="Arial"/>
                <w:b/>
              </w:rPr>
              <w:t>TB services payment approaches</w:t>
            </w:r>
          </w:p>
          <w:p w14:paraId="235E54BA" w14:textId="06665981" w:rsidR="00EB4177" w:rsidRDefault="009F69F1" w:rsidP="00EB4177">
            <w:pPr>
              <w:spacing w:after="0" w:line="240" w:lineRule="auto"/>
              <w:jc w:val="both"/>
              <w:rPr>
                <w:rFonts w:cs="Arial"/>
              </w:rPr>
            </w:pPr>
            <w:r w:rsidRPr="008B2411">
              <w:rPr>
                <w:rFonts w:cs="Arial"/>
              </w:rPr>
              <w:t>The payment to TB dispensaries for the medico-social services</w:t>
            </w:r>
            <w:r w:rsidRPr="008B2411">
              <w:rPr>
                <w:rStyle w:val="af"/>
                <w:rFonts w:cs="Arial"/>
              </w:rPr>
              <w:footnoteReference w:id="21"/>
            </w:r>
            <w:r w:rsidRPr="008B2411">
              <w:rPr>
                <w:rFonts w:cs="Arial"/>
                <w:vertAlign w:val="superscript"/>
              </w:rPr>
              <w:t>,</w:t>
            </w:r>
            <w:r w:rsidRPr="008B2411">
              <w:rPr>
                <w:rStyle w:val="af"/>
                <w:rFonts w:cs="Arial"/>
              </w:rPr>
              <w:footnoteReference w:id="22"/>
            </w:r>
            <w:r w:rsidRPr="008B2411">
              <w:rPr>
                <w:rFonts w:cs="Arial"/>
                <w:vertAlign w:val="superscript"/>
              </w:rPr>
              <w:t xml:space="preserve"> </w:t>
            </w:r>
            <w:r w:rsidRPr="008B2411">
              <w:rPr>
                <w:rFonts w:cs="Arial"/>
              </w:rPr>
              <w:t>is based on the amount specified in their contracts, determined by the complex tariff (CT) for a TB patient, multiplied with the average number of active TB patients for the reporting period, and</w:t>
            </w:r>
            <w:r w:rsidR="00EB4FA5">
              <w:rPr>
                <w:rFonts w:cs="Arial"/>
              </w:rPr>
              <w:t xml:space="preserve"> by adding</w:t>
            </w:r>
            <w:r w:rsidRPr="008B2411">
              <w:rPr>
                <w:rFonts w:cs="Arial"/>
              </w:rPr>
              <w:t xml:space="preserve"> the cost of anti-TB drugs not exceeding their purchase price</w:t>
            </w:r>
            <w:r w:rsidR="00EB4FA5">
              <w:rPr>
                <w:rFonts w:cs="Arial"/>
              </w:rPr>
              <w:t xml:space="preserve"> </w:t>
            </w:r>
            <w:r w:rsidR="00395B36">
              <w:rPr>
                <w:rFonts w:cs="Arial"/>
              </w:rPr>
              <w:t>paid retrospectively</w:t>
            </w:r>
            <w:r w:rsidRPr="008B2411">
              <w:rPr>
                <w:rFonts w:cs="Arial"/>
              </w:rPr>
              <w:t xml:space="preserve">. Payment for </w:t>
            </w:r>
            <w:r>
              <w:rPr>
                <w:rFonts w:cs="Arial"/>
              </w:rPr>
              <w:t xml:space="preserve">the </w:t>
            </w:r>
            <w:r w:rsidRPr="008B2411">
              <w:rPr>
                <w:rFonts w:cs="Arial"/>
              </w:rPr>
              <w:t>delivery of inpatient and hospital-replacing care to TB patients in the republican organization i</w:t>
            </w:r>
            <w:r>
              <w:rPr>
                <w:rFonts w:cs="Arial"/>
              </w:rPr>
              <w:t xml:space="preserve">s made at a rate of a </w:t>
            </w:r>
            <w:r w:rsidRPr="008B2411">
              <w:rPr>
                <w:rFonts w:cs="Arial"/>
              </w:rPr>
              <w:t>bed-day, and for the surgi</w:t>
            </w:r>
            <w:r>
              <w:rPr>
                <w:rFonts w:cs="Arial"/>
              </w:rPr>
              <w:t>cal care at the interregional level- at the</w:t>
            </w:r>
            <w:r w:rsidRPr="008B2411">
              <w:rPr>
                <w:rFonts w:cs="Arial"/>
              </w:rPr>
              <w:t xml:space="preserve"> cost of the corresponding DRG. </w:t>
            </w:r>
          </w:p>
          <w:p w14:paraId="7E0403AA" w14:textId="77777777" w:rsidR="00103D6A" w:rsidRDefault="00103D6A" w:rsidP="00103D6A">
            <w:pPr>
              <w:spacing w:after="0" w:line="240" w:lineRule="auto"/>
              <w:jc w:val="both"/>
              <w:rPr>
                <w:rFonts w:asciiTheme="majorHAnsi" w:hAnsiTheme="majorHAnsi" w:cstheme="majorHAnsi"/>
                <w:color w:val="3366FF"/>
              </w:rPr>
            </w:pPr>
          </w:p>
          <w:p w14:paraId="24F0DEF2" w14:textId="1237B598" w:rsidR="00103D6A" w:rsidRPr="00756C84" w:rsidRDefault="00103D6A" w:rsidP="00B64910">
            <w:pPr>
              <w:jc w:val="both"/>
              <w:rPr>
                <w:rFonts w:asciiTheme="majorHAnsi" w:eastAsia="Times New Roman" w:hAnsiTheme="majorHAnsi" w:cstheme="majorHAnsi"/>
              </w:rPr>
            </w:pPr>
            <w:r w:rsidRPr="00756C84">
              <w:rPr>
                <w:rFonts w:asciiTheme="majorHAnsi" w:hAnsiTheme="majorHAnsi" w:cstheme="majorHAnsi"/>
              </w:rPr>
              <w:t xml:space="preserve">There are different ambulatory TB care delivery models operational, including TB cabinets established as an organizational part of policlinics, outpatient TB departments at </w:t>
            </w:r>
            <w:r w:rsidR="007471DF" w:rsidRPr="00756C84">
              <w:rPr>
                <w:rFonts w:asciiTheme="majorHAnsi" w:hAnsiTheme="majorHAnsi" w:cstheme="majorHAnsi"/>
              </w:rPr>
              <w:t xml:space="preserve">the regional </w:t>
            </w:r>
            <w:r w:rsidRPr="00756C84">
              <w:rPr>
                <w:rFonts w:asciiTheme="majorHAnsi" w:hAnsiTheme="majorHAnsi" w:cstheme="majorHAnsi"/>
              </w:rPr>
              <w:t xml:space="preserve">TB Centers, and outreach services for hard-to-reach population groups through mobile facilities. </w:t>
            </w:r>
            <w:r w:rsidR="00B64910" w:rsidRPr="00756C84">
              <w:rPr>
                <w:rFonts w:asciiTheme="majorHAnsi" w:eastAsia="Times New Roman" w:hAnsiTheme="majorHAnsi" w:cstheme="majorHAnsi"/>
                <w:shd w:val="clear" w:color="auto" w:fill="FFFFFF"/>
              </w:rPr>
              <w:t>Therefore, varying payment policies or a mix of them have been envisaged in the transition phase and reviewed for the evidence of cost-saving in delivering desired treatment outcomes.</w:t>
            </w:r>
          </w:p>
          <w:p w14:paraId="5A161CD9" w14:textId="19EAEB93" w:rsidR="00103D6A" w:rsidRDefault="00103D6A" w:rsidP="00103D6A">
            <w:pPr>
              <w:spacing w:after="0" w:line="240" w:lineRule="auto"/>
              <w:jc w:val="both"/>
              <w:rPr>
                <w:rFonts w:asciiTheme="majorHAnsi" w:hAnsiTheme="majorHAnsi" w:cstheme="majorHAnsi"/>
              </w:rPr>
            </w:pPr>
            <w:r w:rsidRPr="00756C84">
              <w:rPr>
                <w:rFonts w:asciiTheme="majorHAnsi" w:hAnsiTheme="majorHAnsi" w:cstheme="majorHAnsi"/>
              </w:rPr>
              <w:t>The care organization when the TB cabinets are administratively integrated into the PHC facility structure is the most prevailing model within and across the regions. In this model, the typical PHC team provides the TB prevention and control services, and Territorial Phthisiatrician</w:t>
            </w:r>
            <w:r w:rsidR="007145AE">
              <w:rPr>
                <w:rFonts w:asciiTheme="majorHAnsi" w:hAnsiTheme="majorHAnsi" w:cstheme="majorHAnsi"/>
              </w:rPr>
              <w:t>s focus</w:t>
            </w:r>
            <w:r w:rsidRPr="00756C84">
              <w:rPr>
                <w:rFonts w:asciiTheme="majorHAnsi" w:hAnsiTheme="majorHAnsi" w:cstheme="majorHAnsi"/>
              </w:rPr>
              <w:t xml:space="preserve"> more on care coordination, clinical management, and treatment oversight at the primary care level. The expenses are included in the budget of PHC facilities formed from the capitation payment, incentive fun</w:t>
            </w:r>
            <w:r w:rsidR="007145AE">
              <w:rPr>
                <w:rFonts w:asciiTheme="majorHAnsi" w:hAnsiTheme="majorHAnsi" w:cstheme="majorHAnsi"/>
              </w:rPr>
              <w:t>d allocations,</w:t>
            </w:r>
            <w:r w:rsidRPr="00756C84">
              <w:rPr>
                <w:rFonts w:asciiTheme="majorHAnsi" w:hAnsiTheme="majorHAnsi" w:cstheme="majorHAnsi"/>
              </w:rPr>
              <w:t xml:space="preserve"> tariff-based financing for diagnostic services</w:t>
            </w:r>
            <w:r w:rsidR="007145AE">
              <w:rPr>
                <w:rFonts w:asciiTheme="majorHAnsi" w:hAnsiTheme="majorHAnsi" w:cstheme="majorHAnsi"/>
              </w:rPr>
              <w:t>, and</w:t>
            </w:r>
            <w:r w:rsidRPr="00756C84">
              <w:rPr>
                <w:rFonts w:asciiTheme="majorHAnsi" w:hAnsiTheme="majorHAnsi" w:cstheme="majorHAnsi"/>
              </w:rPr>
              <w:t xml:space="preserve"> paid services. </w:t>
            </w:r>
            <w:r w:rsidR="00E81D6B" w:rsidRPr="00E81D6B">
              <w:rPr>
                <w:rFonts w:asciiTheme="majorHAnsi" w:hAnsiTheme="majorHAnsi" w:cstheme="majorHAnsi"/>
              </w:rPr>
              <w:t xml:space="preserve">In very few districts, the regional TB Centers can maintain sub-contracts with PHC facilities, where the TB units are established to provide the full range of ambulatory services to TB patients. Under this model, PHC is paid from the contractual amount formed from the complex tariff for an active TB patient. </w:t>
            </w:r>
          </w:p>
          <w:p w14:paraId="645C2C02" w14:textId="77777777" w:rsidR="00E81D6B" w:rsidRPr="00756C84" w:rsidRDefault="00E81D6B" w:rsidP="00103D6A">
            <w:pPr>
              <w:spacing w:after="0" w:line="240" w:lineRule="auto"/>
              <w:jc w:val="both"/>
              <w:rPr>
                <w:rFonts w:asciiTheme="majorHAnsi" w:hAnsiTheme="majorHAnsi" w:cstheme="majorHAnsi"/>
              </w:rPr>
            </w:pPr>
          </w:p>
          <w:p w14:paraId="67845AA5" w14:textId="717DA4F4" w:rsidR="00103D6A" w:rsidRPr="00756C84" w:rsidRDefault="00103D6A" w:rsidP="007646FD">
            <w:pPr>
              <w:spacing w:after="0" w:line="240" w:lineRule="auto"/>
              <w:jc w:val="both"/>
              <w:rPr>
                <w:rFonts w:asciiTheme="majorHAnsi" w:hAnsiTheme="majorHAnsi" w:cstheme="majorHAnsi"/>
              </w:rPr>
            </w:pPr>
            <w:r w:rsidRPr="00756C84">
              <w:rPr>
                <w:rFonts w:asciiTheme="majorHAnsi" w:hAnsiTheme="majorHAnsi" w:cstheme="majorHAnsi"/>
              </w:rPr>
              <w:t>The TB services rationalization at the hospital level and integration of TB control in PHC, and promotion of compliance with the WHO standards will be supported by streamlined financing, including mechanisms that will allow reinv</w:t>
            </w:r>
            <w:r w:rsidR="007646FD">
              <w:rPr>
                <w:rFonts w:asciiTheme="majorHAnsi" w:hAnsiTheme="majorHAnsi" w:cstheme="majorHAnsi"/>
              </w:rPr>
              <w:t>estment of savings into the TB Service.</w:t>
            </w:r>
            <w:r w:rsidRPr="00756C84">
              <w:rPr>
                <w:rFonts w:asciiTheme="majorHAnsi" w:hAnsiTheme="majorHAnsi" w:cstheme="majorHAnsi"/>
              </w:rPr>
              <w:t xml:space="preserve"> In parallel to the hospital beds reduction, it is becoming critical to have further increased capability at the PHC and motivated staff to manage TB patients appropriately and ensure good health outcomes. Moreover, the cohesion strategies for improving incentive structures at </w:t>
            </w:r>
            <w:r w:rsidR="00B13B31">
              <w:rPr>
                <w:rFonts w:asciiTheme="majorHAnsi" w:hAnsiTheme="majorHAnsi" w:cstheme="majorHAnsi"/>
              </w:rPr>
              <w:t>the TB Center and PHC levels have been</w:t>
            </w:r>
            <w:r w:rsidRPr="00756C84">
              <w:rPr>
                <w:rFonts w:asciiTheme="majorHAnsi" w:hAnsiTheme="majorHAnsi" w:cstheme="majorHAnsi"/>
              </w:rPr>
              <w:t xml:space="preserve"> discussed.</w:t>
            </w:r>
          </w:p>
          <w:p w14:paraId="3F379B38" w14:textId="5B965E0E" w:rsidR="009F69F1" w:rsidRPr="00395B36" w:rsidRDefault="009F69F1" w:rsidP="00103D6A">
            <w:pPr>
              <w:spacing w:before="360" w:after="240" w:line="240" w:lineRule="auto"/>
              <w:rPr>
                <w:rFonts w:cs="Arial"/>
                <w:b/>
                <w:bCs/>
                <w:smallCaps/>
              </w:rPr>
            </w:pPr>
            <w:r w:rsidRPr="00395B36">
              <w:rPr>
                <w:rFonts w:cs="Arial"/>
                <w:b/>
                <w:bCs/>
                <w:smallCaps/>
              </w:rPr>
              <w:t>Health Information System</w:t>
            </w:r>
          </w:p>
          <w:p w14:paraId="534A8B89" w14:textId="77777777" w:rsidR="009F69F1" w:rsidRDefault="009F69F1" w:rsidP="00395B36">
            <w:pPr>
              <w:spacing w:after="0" w:line="240" w:lineRule="auto"/>
              <w:jc w:val="both"/>
              <w:rPr>
                <w:rFonts w:cs="Arial"/>
              </w:rPr>
            </w:pPr>
            <w:r w:rsidRPr="008B2411">
              <w:rPr>
                <w:rFonts w:cs="Arial"/>
              </w:rPr>
              <w:t xml:space="preserve">A unified health management information system (HMIS) was founded in Kazakhstan in 2007 to tie together the healthcare reforms through generating timely and accurate data allowing information analyses to monitor performance and enable safe and reliable quality care delivery. The system has </w:t>
            </w:r>
            <w:r>
              <w:rPr>
                <w:rFonts w:cs="Arial"/>
              </w:rPr>
              <w:t>been gradually expanded into</w:t>
            </w:r>
            <w:r w:rsidRPr="008B2411">
              <w:rPr>
                <w:rFonts w:cs="Arial"/>
              </w:rPr>
              <w:t xml:space="preserve"> primary an</w:t>
            </w:r>
            <w:r>
              <w:rPr>
                <w:rFonts w:cs="Arial"/>
              </w:rPr>
              <w:t>d inpatient health care as the clinics</w:t>
            </w:r>
            <w:r w:rsidRPr="008B2411">
              <w:rPr>
                <w:rFonts w:cs="Arial"/>
              </w:rPr>
              <w:t xml:space="preserve"> begin to understand the potential advantages arising from the use of information technology, including further reduction of reporting paperwork burden. The HMIS is used in nearly all healthcare facilities that allows to generate data from population enrollment, encounter or service delivery, maintain disease’ registers and administrative records, and perform payment functions. </w:t>
            </w:r>
            <w:r w:rsidRPr="00CA6E4D">
              <w:rPr>
                <w:rFonts w:cs="Arial"/>
              </w:rPr>
              <w:t xml:space="preserve">The efforts are underway for efficient interaction between health information systems and subsystems within the health sector and the overall e-government system.  </w:t>
            </w:r>
          </w:p>
          <w:p w14:paraId="6B80BF0B" w14:textId="77777777" w:rsidR="00395B36" w:rsidRPr="00DF3BF1" w:rsidRDefault="00395B36" w:rsidP="00395B36">
            <w:pPr>
              <w:spacing w:after="0" w:line="240" w:lineRule="auto"/>
              <w:jc w:val="both"/>
              <w:rPr>
                <w:rFonts w:cs="Arial"/>
              </w:rPr>
            </w:pPr>
          </w:p>
          <w:p w14:paraId="2DA698F2" w14:textId="4C67E8F6" w:rsidR="00395B36" w:rsidRPr="00FC63DC" w:rsidRDefault="009F69F1" w:rsidP="00395B36">
            <w:pPr>
              <w:spacing w:after="0" w:line="240" w:lineRule="auto"/>
              <w:jc w:val="both"/>
              <w:rPr>
                <w:rFonts w:cs="Arial"/>
              </w:rPr>
            </w:pPr>
            <w:r w:rsidRPr="00CA6E4D">
              <w:rPr>
                <w:rFonts w:cs="Arial"/>
              </w:rPr>
              <w:t xml:space="preserve">The NSCP </w:t>
            </w:r>
            <w:r>
              <w:rPr>
                <w:rFonts w:cs="Arial"/>
              </w:rPr>
              <w:t xml:space="preserve">owns well-established and functioning </w:t>
            </w:r>
            <w:r w:rsidRPr="00CA6E4D">
              <w:rPr>
                <w:rFonts w:cs="Arial"/>
              </w:rPr>
              <w:t>TB</w:t>
            </w:r>
            <w:r>
              <w:rPr>
                <w:rFonts w:cs="Arial"/>
              </w:rPr>
              <w:t xml:space="preserve"> information system. T</w:t>
            </w:r>
            <w:r w:rsidRPr="00CA6E4D">
              <w:rPr>
                <w:rFonts w:cs="Arial"/>
              </w:rPr>
              <w:t>he</w:t>
            </w:r>
            <w:r>
              <w:rPr>
                <w:rFonts w:cs="Arial"/>
              </w:rPr>
              <w:t xml:space="preserve"> national TB Registry (NRBT)</w:t>
            </w:r>
            <w:r w:rsidRPr="00CA6E4D">
              <w:rPr>
                <w:rFonts w:cs="Arial"/>
              </w:rPr>
              <w:t xml:space="preserve"> is a comprehensive web-based tool that integrates case management, drugs control, and surveillance data into a single platform </w:t>
            </w:r>
            <w:r w:rsidRPr="00FC63DC">
              <w:rPr>
                <w:rFonts w:cs="Arial"/>
              </w:rPr>
              <w:t xml:space="preserve">for effective monitoring and evaluation of the national TB program. The system enables electronic TB recording and reporting. </w:t>
            </w:r>
            <w:r>
              <w:rPr>
                <w:rFonts w:cs="Arial"/>
              </w:rPr>
              <w:t>Considering the country’s aspiration towards moving to e-health and revi</w:t>
            </w:r>
            <w:r w:rsidR="00384714">
              <w:rPr>
                <w:rFonts w:cs="Arial"/>
              </w:rPr>
              <w:t>sted by the WHO cases definitions</w:t>
            </w:r>
            <w:r>
              <w:rPr>
                <w:rFonts w:cs="Arial"/>
              </w:rPr>
              <w:t>, the current system requires the updating</w:t>
            </w:r>
            <w:r w:rsidR="00395B36">
              <w:rPr>
                <w:rFonts w:cs="Arial"/>
              </w:rPr>
              <w:t xml:space="preserve"> of</w:t>
            </w:r>
            <w:r>
              <w:rPr>
                <w:rFonts w:cs="Arial"/>
              </w:rPr>
              <w:t xml:space="preserve"> recording and reporting modules. </w:t>
            </w:r>
          </w:p>
          <w:p w14:paraId="7E1CD121" w14:textId="063E7C23" w:rsidR="009F69F1" w:rsidRPr="00395B36" w:rsidRDefault="009F69F1" w:rsidP="00395B36">
            <w:pPr>
              <w:spacing w:before="360" w:after="240" w:line="240" w:lineRule="auto"/>
              <w:rPr>
                <w:rFonts w:cs="Arial"/>
                <w:b/>
                <w:bCs/>
                <w:smallCaps/>
              </w:rPr>
            </w:pPr>
            <w:r w:rsidRPr="00395B36">
              <w:rPr>
                <w:rFonts w:cs="Arial"/>
                <w:b/>
                <w:bCs/>
                <w:smallCaps/>
              </w:rPr>
              <w:t xml:space="preserve">Public Procurement </w:t>
            </w:r>
          </w:p>
          <w:p w14:paraId="1DAC1643" w14:textId="7A36737B" w:rsidR="00395B36" w:rsidRPr="007A59E0" w:rsidRDefault="009F69F1" w:rsidP="00EC5AA0">
            <w:pPr>
              <w:spacing w:after="0" w:line="240" w:lineRule="auto"/>
              <w:jc w:val="both"/>
              <w:rPr>
                <w:rFonts w:cs="Times New Roman"/>
                <w:color w:val="333333"/>
              </w:rPr>
            </w:pPr>
            <w:r w:rsidRPr="00FC63DC">
              <w:rPr>
                <w:rFonts w:cs="Times New Roman"/>
              </w:rPr>
              <w:t>According to the MoF</w:t>
            </w:r>
            <w:r w:rsidRPr="00FC63DC">
              <w:rPr>
                <w:rStyle w:val="af"/>
                <w:rFonts w:cs="Arial"/>
              </w:rPr>
              <w:footnoteReference w:id="23"/>
            </w:r>
            <w:r w:rsidRPr="00FC63DC">
              <w:rPr>
                <w:rFonts w:cs="Times New Roman"/>
              </w:rPr>
              <w:t xml:space="preserve">, the public procurement in Kazakhstan accounted for approximately a total of KZT 5.9 trillion in 2020, forming about 8.4% of GDP, up from 7.1% in 2018. It represents a large market in the country. The framework for public procurement has undergone significant improvements in recent years, taking account of the rising importance this function has for effective public service delivery and adapting it to the increasing demands of its citizens and public organizations. Today the entire process of public procurement is automated; it provides access to legislation and norms related to public procurement, and detailed instructions for different users. </w:t>
            </w:r>
            <w:r w:rsidR="000F5C6A" w:rsidRPr="000F5C6A">
              <w:rPr>
                <w:rFonts w:cs="Times New Roman"/>
              </w:rPr>
              <w:t>More than 104 thousand suppliers and 26 thousand customers are currently registered on the web portal.</w:t>
            </w:r>
          </w:p>
          <w:p w14:paraId="1DC58E62" w14:textId="6CEF90C6" w:rsidR="009F69F1" w:rsidRDefault="009F69F1" w:rsidP="00677D0D">
            <w:pPr>
              <w:spacing w:after="0" w:line="240" w:lineRule="auto"/>
              <w:jc w:val="both"/>
              <w:rPr>
                <w:rFonts w:cs="Arial"/>
              </w:rPr>
            </w:pPr>
            <w:r w:rsidRPr="007A59E0">
              <w:rPr>
                <w:rFonts w:cs="Arial"/>
              </w:rPr>
              <w:t xml:space="preserve">Kazakhstan has a Single Drug Distributor introduced in 2009 – SK-Pharmacy- responsible for procuring medicines from the drug formulary system and </w:t>
            </w:r>
            <w:r w:rsidRPr="007A59E0">
              <w:t>medical products, within the guaranteed volume of free medical care and within the system of CSHI for</w:t>
            </w:r>
            <w:r w:rsidRPr="007A59E0">
              <w:rPr>
                <w:rFonts w:cs="Arial"/>
              </w:rPr>
              <w:t xml:space="preserve"> the state-owned healthcare organizations. It allows achieving significant budget savings from centralized procurement, consolidation of demanded volume of medicines and supplies across the country, and exclusion of intermediaries from the purchasing chain by directly contracting with the manufactures. At the same tim</w:t>
            </w:r>
            <w:r w:rsidR="00677D0D">
              <w:rPr>
                <w:rFonts w:cs="Arial"/>
              </w:rPr>
              <w:t xml:space="preserve">e, part of the logistics costs such as </w:t>
            </w:r>
            <w:r w:rsidRPr="007A59E0">
              <w:rPr>
                <w:rFonts w:cs="Arial"/>
              </w:rPr>
              <w:t>c</w:t>
            </w:r>
            <w:r w:rsidR="00677D0D">
              <w:rPr>
                <w:rFonts w:cs="Arial"/>
              </w:rPr>
              <w:t>ertification, customs clearance</w:t>
            </w:r>
            <w:r w:rsidRPr="007A59E0">
              <w:rPr>
                <w:rFonts w:cs="Arial"/>
              </w:rPr>
              <w:t xml:space="preserve"> is borne by SK –Pharmacy. There are also arrangements introduced for purchasing drugs and medical supplies/products through the UNDP and UNICEF pooled procurement mechanisms </w:t>
            </w:r>
            <w:r>
              <w:rPr>
                <w:rFonts w:cs="Arial"/>
              </w:rPr>
              <w:t>and</w:t>
            </w:r>
            <w:r w:rsidRPr="007A59E0">
              <w:rPr>
                <w:rFonts w:cs="Arial"/>
              </w:rPr>
              <w:t xml:space="preserve"> the Global Drug Facility (GDF). The single drug distributor maintains long-term contracts with the domestic producers and contributes to the support and development of the local pharmaceutical industry. The most significant price reduction is achieved through the tender process. The procurement </w:t>
            </w:r>
            <w:r>
              <w:rPr>
                <w:rFonts w:cs="Arial"/>
              </w:rPr>
              <w:t xml:space="preserve">processes </w:t>
            </w:r>
            <w:r w:rsidRPr="007A59E0">
              <w:rPr>
                <w:rFonts w:cs="Arial"/>
              </w:rPr>
              <w:t xml:space="preserve">and provision of medicines, medical </w:t>
            </w:r>
            <w:proofErr w:type="gramStart"/>
            <w:r w:rsidRPr="007A59E0">
              <w:rPr>
                <w:rFonts w:cs="Arial"/>
              </w:rPr>
              <w:t>supply</w:t>
            </w:r>
            <w:proofErr w:type="gramEnd"/>
            <w:r w:rsidRPr="007A59E0">
              <w:rPr>
                <w:rFonts w:cs="Arial"/>
              </w:rPr>
              <w:t xml:space="preserve"> and products within the guaranteed volume of medical care in the system of compulsory health insurance, </w:t>
            </w:r>
            <w:r>
              <w:rPr>
                <w:rFonts w:cs="Arial"/>
              </w:rPr>
              <w:t>is carried out</w:t>
            </w:r>
            <w:r w:rsidRPr="007A59E0">
              <w:rPr>
                <w:rFonts w:cs="Arial"/>
              </w:rPr>
              <w:t xml:space="preserve"> in accordance with the Rules</w:t>
            </w:r>
            <w:r w:rsidRPr="007A59E0">
              <w:rPr>
                <w:rStyle w:val="af"/>
                <w:rFonts w:cs="Arial"/>
              </w:rPr>
              <w:footnoteReference w:id="24"/>
            </w:r>
            <w:r w:rsidRPr="007A59E0">
              <w:rPr>
                <w:rFonts w:cs="Arial"/>
                <w:vertAlign w:val="superscript"/>
              </w:rPr>
              <w:t>,</w:t>
            </w:r>
            <w:r w:rsidRPr="007A59E0">
              <w:rPr>
                <w:rStyle w:val="af"/>
                <w:rFonts w:cs="Arial"/>
              </w:rPr>
              <w:footnoteReference w:id="25"/>
            </w:r>
            <w:r>
              <w:rPr>
                <w:rFonts w:cs="Arial"/>
              </w:rPr>
              <w:t xml:space="preserve"> the country </w:t>
            </w:r>
            <w:r w:rsidR="00677D0D">
              <w:rPr>
                <w:rFonts w:cs="Arial"/>
              </w:rPr>
              <w:t xml:space="preserve">has </w:t>
            </w:r>
            <w:r>
              <w:rPr>
                <w:rFonts w:cs="Arial"/>
              </w:rPr>
              <w:t>adopted.</w:t>
            </w:r>
            <w:r w:rsidRPr="007A59E0">
              <w:rPr>
                <w:rFonts w:cs="Arial"/>
              </w:rPr>
              <w:t xml:space="preserve"> </w:t>
            </w:r>
          </w:p>
          <w:p w14:paraId="4D1F663E" w14:textId="77777777" w:rsidR="00E854F8" w:rsidRPr="007A59E0" w:rsidRDefault="00E854F8" w:rsidP="00677D0D">
            <w:pPr>
              <w:spacing w:after="0" w:line="240" w:lineRule="auto"/>
              <w:rPr>
                <w:rFonts w:cs="Arial"/>
              </w:rPr>
            </w:pPr>
          </w:p>
          <w:p w14:paraId="3EF4121B" w14:textId="2B91BB42" w:rsidR="009F69F1" w:rsidRPr="00677D0D" w:rsidRDefault="009F69F1" w:rsidP="00677D0D">
            <w:pPr>
              <w:spacing w:after="0" w:line="240" w:lineRule="auto"/>
              <w:jc w:val="both"/>
              <w:rPr>
                <w:rFonts w:cs="Arial"/>
              </w:rPr>
            </w:pPr>
            <w:r w:rsidRPr="007A59E0">
              <w:rPr>
                <w:rFonts w:cs="Arial"/>
              </w:rPr>
              <w:t xml:space="preserve">The market size of TB drugs is relatively small, except for </w:t>
            </w:r>
            <w:r w:rsidR="00677D0D" w:rsidRPr="00974FD7">
              <w:rPr>
                <w:rFonts w:cs="Arial"/>
              </w:rPr>
              <w:t>levofloxacin (Lfx)</w:t>
            </w:r>
            <w:r w:rsidRPr="007A59E0">
              <w:rPr>
                <w:rFonts w:cs="Arial"/>
              </w:rPr>
              <w:t xml:space="preserve">, </w:t>
            </w:r>
            <w:r w:rsidR="00677D0D" w:rsidRPr="00677D0D">
              <w:rPr>
                <w:rFonts w:cs="Arial"/>
              </w:rPr>
              <w:t>moxifloxacin (</w:t>
            </w:r>
            <w:r w:rsidR="00677D0D" w:rsidRPr="007A59E0">
              <w:rPr>
                <w:rFonts w:cs="Arial"/>
              </w:rPr>
              <w:t>Mfx</w:t>
            </w:r>
            <w:r w:rsidR="00677D0D">
              <w:rPr>
                <w:rFonts w:cs="Arial"/>
              </w:rPr>
              <w:t>)</w:t>
            </w:r>
            <w:r w:rsidRPr="007A59E0">
              <w:rPr>
                <w:rFonts w:cs="Arial"/>
              </w:rPr>
              <w:t xml:space="preserve">, Meropenem; and some anti-TB drugs (Bdq, </w:t>
            </w:r>
            <w:r>
              <w:rPr>
                <w:rFonts w:cs="Arial"/>
              </w:rPr>
              <w:t xml:space="preserve">and </w:t>
            </w:r>
            <w:r w:rsidRPr="007A59E0">
              <w:rPr>
                <w:rFonts w:cs="Arial"/>
              </w:rPr>
              <w:t xml:space="preserve">pediatric anti-TB drugs) have </w:t>
            </w:r>
            <w:proofErr w:type="gramStart"/>
            <w:r w:rsidRPr="007A59E0">
              <w:rPr>
                <w:rFonts w:cs="Arial"/>
              </w:rPr>
              <w:t>no</w:t>
            </w:r>
            <w:proofErr w:type="gramEnd"/>
            <w:r w:rsidRPr="007A59E0">
              <w:rPr>
                <w:rFonts w:cs="Arial"/>
              </w:rPr>
              <w:t xml:space="preserve"> </w:t>
            </w:r>
            <w:r>
              <w:rPr>
                <w:rFonts w:cs="Arial"/>
              </w:rPr>
              <w:t xml:space="preserve">yet </w:t>
            </w:r>
            <w:r w:rsidRPr="007A59E0">
              <w:rPr>
                <w:rFonts w:cs="Arial"/>
              </w:rPr>
              <w:t xml:space="preserve">registered </w:t>
            </w:r>
            <w:r>
              <w:rPr>
                <w:rFonts w:cs="Arial"/>
              </w:rPr>
              <w:t xml:space="preserve">in the </w:t>
            </w:r>
            <w:r w:rsidR="00E854F8">
              <w:rPr>
                <w:rFonts w:cs="Arial"/>
              </w:rPr>
              <w:t>RK</w:t>
            </w:r>
            <w:r>
              <w:rPr>
                <w:rFonts w:cs="Arial"/>
              </w:rPr>
              <w:t xml:space="preserve">. </w:t>
            </w:r>
            <w:r w:rsidRPr="00677D0D">
              <w:rPr>
                <w:rFonts w:cs="Arial"/>
              </w:rPr>
              <w:t>Registration of medicinal products under the new EAEU rules</w:t>
            </w:r>
            <w:r w:rsidRPr="007A59E0">
              <w:rPr>
                <w:rFonts w:cs="Arial"/>
              </w:rPr>
              <w:t xml:space="preserve"> came into force in July 2021</w:t>
            </w:r>
            <w:r>
              <w:rPr>
                <w:rFonts w:cs="Arial"/>
              </w:rPr>
              <w:t>,</w:t>
            </w:r>
            <w:r w:rsidRPr="007A59E0">
              <w:rPr>
                <w:rFonts w:cs="Arial"/>
              </w:rPr>
              <w:t xml:space="preserve"> and </w:t>
            </w:r>
            <w:r>
              <w:rPr>
                <w:rFonts w:cs="Arial"/>
              </w:rPr>
              <w:t xml:space="preserve">the current provision does not foresee </w:t>
            </w:r>
            <w:r w:rsidRPr="007A59E0">
              <w:rPr>
                <w:rFonts w:cs="Arial"/>
              </w:rPr>
              <w:t>a simplified procedure for the WHO pre-qualified drugs registration.</w:t>
            </w:r>
          </w:p>
          <w:p w14:paraId="34675ABE" w14:textId="7538F472" w:rsidR="009F69F1" w:rsidRPr="00A91D5B" w:rsidRDefault="009F69F1" w:rsidP="00181CA6">
            <w:pPr>
              <w:spacing w:before="240" w:line="240" w:lineRule="auto"/>
              <w:jc w:val="both"/>
              <w:rPr>
                <w:rFonts w:cs="Arial"/>
                <w:b/>
              </w:rPr>
            </w:pPr>
            <w:r w:rsidRPr="007A59E0">
              <w:rPr>
                <w:rFonts w:cs="Arial"/>
                <w:b/>
              </w:rPr>
              <w:t>Social Order</w:t>
            </w:r>
          </w:p>
          <w:p w14:paraId="7C11090E" w14:textId="77777777" w:rsidR="009F69F1" w:rsidRDefault="009F69F1" w:rsidP="00EC5AA0">
            <w:pPr>
              <w:spacing w:after="0" w:line="240" w:lineRule="auto"/>
              <w:jc w:val="both"/>
              <w:rPr>
                <w:rFonts w:cs="Arial"/>
              </w:rPr>
            </w:pPr>
            <w:r w:rsidRPr="007A59E0">
              <w:rPr>
                <w:rFonts w:cs="Arial"/>
              </w:rPr>
              <w:t xml:space="preserve">The state social order is operational in all regions with an increase in funding at the sub-national level in recent years. Funds have been allocated to public health, education, culture, social programs, youth policy, religious affairs, tourism, physical education, and sports. The main administrators of the budget programs at the local level, implementing more than half of all social projects, were regional departments of internal policy. An annual increase of funding for TB services through social contracting was </w:t>
            </w:r>
            <w:r>
              <w:rPr>
                <w:rFonts w:cs="Arial"/>
              </w:rPr>
              <w:t xml:space="preserve">also </w:t>
            </w:r>
            <w:r w:rsidRPr="007A59E0">
              <w:rPr>
                <w:rFonts w:cs="Arial"/>
              </w:rPr>
              <w:t xml:space="preserve">observed in 2017-2019, with the larger share of resources allocated for the projects administered by the MoH. </w:t>
            </w:r>
          </w:p>
          <w:p w14:paraId="52B8C220" w14:textId="77777777" w:rsidR="00181CA6" w:rsidRPr="007A59E0" w:rsidRDefault="00181CA6" w:rsidP="00EC5AA0">
            <w:pPr>
              <w:spacing w:after="0" w:line="240" w:lineRule="auto"/>
              <w:jc w:val="both"/>
              <w:rPr>
                <w:rFonts w:cs="Arial"/>
              </w:rPr>
            </w:pPr>
          </w:p>
          <w:p w14:paraId="34955CB7" w14:textId="0215DDA7" w:rsidR="009F69F1" w:rsidRDefault="009F69F1" w:rsidP="00EC5AA0">
            <w:pPr>
              <w:spacing w:after="0" w:line="240" w:lineRule="auto"/>
              <w:jc w:val="both"/>
              <w:rPr>
                <w:rFonts w:cs="Arial"/>
              </w:rPr>
            </w:pPr>
            <w:r w:rsidRPr="007A59E0">
              <w:rPr>
                <w:rFonts w:cs="Arial"/>
              </w:rPr>
              <w:t xml:space="preserve">Improvements were made in the legal and regulatory framework: e.g., the new Code </w:t>
            </w:r>
            <w:r w:rsidR="00C06EEC">
              <w:rPr>
                <w:rFonts w:cs="Arial"/>
              </w:rPr>
              <w:t xml:space="preserve">on </w:t>
            </w:r>
            <w:r w:rsidRPr="007A59E0">
              <w:rPr>
                <w:rFonts w:cs="Arial"/>
              </w:rPr>
              <w:t>health and the health care sy</w:t>
            </w:r>
            <w:r w:rsidR="00C06EEC">
              <w:rPr>
                <w:rFonts w:cs="Arial"/>
              </w:rPr>
              <w:t>stem</w:t>
            </w:r>
            <w:r w:rsidR="00181CA6">
              <w:rPr>
                <w:rFonts w:cs="Arial"/>
              </w:rPr>
              <w:t xml:space="preserve"> </w:t>
            </w:r>
            <w:r w:rsidR="00C06EEC">
              <w:rPr>
                <w:rFonts w:cs="Arial"/>
              </w:rPr>
              <w:t>underlines</w:t>
            </w:r>
            <w:r w:rsidRPr="007A59E0">
              <w:rPr>
                <w:rFonts w:cs="Arial"/>
              </w:rPr>
              <w:t xml:space="preserve"> local executive bodies responsible for organizing social support</w:t>
            </w:r>
            <w:r w:rsidR="00AA3073">
              <w:rPr>
                <w:rFonts w:cs="Arial"/>
              </w:rPr>
              <w:t xml:space="preserve"> to vulnerable population groups</w:t>
            </w:r>
            <w:r w:rsidRPr="007A59E0">
              <w:rPr>
                <w:rFonts w:cs="Arial"/>
              </w:rPr>
              <w:t xml:space="preserve">. Most </w:t>
            </w:r>
            <w:r w:rsidR="00CB1A0B">
              <w:rPr>
                <w:rFonts w:cs="Arial"/>
              </w:rPr>
              <w:t xml:space="preserve">TB </w:t>
            </w:r>
            <w:r w:rsidRPr="007A59E0">
              <w:rPr>
                <w:rFonts w:cs="Arial"/>
              </w:rPr>
              <w:t>patients who receive outpatient treatment on a regular basis receive cash benefits, food packages, and travel passes. In addition, integrated social, legal, medical community-based interventions are designed for people in difficult life situations.</w:t>
            </w:r>
          </w:p>
          <w:p w14:paraId="12B52D96" w14:textId="77777777" w:rsidR="00AA3073" w:rsidRPr="00A91D5B" w:rsidRDefault="00AA3073" w:rsidP="00EC5AA0">
            <w:pPr>
              <w:spacing w:after="0" w:line="240" w:lineRule="auto"/>
              <w:jc w:val="both"/>
              <w:rPr>
                <w:rFonts w:cs="Arial"/>
              </w:rPr>
            </w:pPr>
          </w:p>
          <w:p w14:paraId="6112B16B" w14:textId="4FDC0841" w:rsidR="009F69F1" w:rsidRDefault="009F69F1" w:rsidP="00EC5AA0">
            <w:pPr>
              <w:pStyle w:val="affff9"/>
              <w:spacing w:after="0" w:line="240" w:lineRule="auto"/>
              <w:jc w:val="both"/>
              <w:rPr>
                <w:rStyle w:val="af"/>
                <w:rFonts w:ascii="Arial" w:hAnsi="Arial"/>
                <w:sz w:val="22"/>
                <w:szCs w:val="22"/>
              </w:rPr>
            </w:pPr>
            <w:r w:rsidRPr="007A59E0">
              <w:rPr>
                <w:rFonts w:ascii="Arial" w:hAnsi="Arial"/>
                <w:sz w:val="22"/>
                <w:szCs w:val="22"/>
              </w:rPr>
              <w:t xml:space="preserve">Kazakhstan has accumulated significant experience in social contracting. In 2002, the government adopted the concept paper on state support of NGOs, and in 2005 </w:t>
            </w:r>
            <w:r w:rsidRPr="007A59E0">
              <w:rPr>
                <w:rFonts w:ascii="Arial" w:hAnsi="Arial" w:cs="Arial"/>
                <w:sz w:val="22"/>
                <w:szCs w:val="22"/>
                <w:lang w:val="en-GB"/>
              </w:rPr>
              <w:t xml:space="preserve">the Law </w:t>
            </w:r>
            <w:r w:rsidRPr="007A59E0">
              <w:rPr>
                <w:rFonts w:ascii="Arial" w:hAnsi="Arial"/>
                <w:sz w:val="22"/>
                <w:szCs w:val="22"/>
              </w:rPr>
              <w:t xml:space="preserve">“On state social order, grants and bonuses for non-governmental organizations in the Republic of Kazakhstan” </w:t>
            </w:r>
            <w:r w:rsidRPr="007A59E0">
              <w:rPr>
                <w:rStyle w:val="af"/>
                <w:rFonts w:ascii="Arial" w:hAnsi="Arial" w:cs="Arial"/>
                <w:sz w:val="22"/>
                <w:szCs w:val="22"/>
                <w:lang w:val="en-GB"/>
              </w:rPr>
              <w:footnoteReference w:id="26"/>
            </w:r>
            <w:r w:rsidRPr="007A59E0">
              <w:rPr>
                <w:rFonts w:ascii="Arial" w:hAnsi="Arial" w:cs="Arial"/>
                <w:sz w:val="22"/>
                <w:szCs w:val="22"/>
                <w:lang w:val="en-GB"/>
              </w:rPr>
              <w:t>, regulating the collaboration of the government with NGOs</w:t>
            </w:r>
            <w:r w:rsidRPr="007A59E0">
              <w:rPr>
                <w:rStyle w:val="af"/>
                <w:rFonts w:ascii="Arial" w:hAnsi="Arial" w:cs="Arial"/>
                <w:sz w:val="22"/>
                <w:szCs w:val="22"/>
                <w:lang w:val="en-GB"/>
              </w:rPr>
              <w:footnoteReference w:id="27"/>
            </w:r>
            <w:r w:rsidRPr="007A59E0">
              <w:rPr>
                <w:rFonts w:ascii="Arial" w:hAnsi="Arial" w:cs="Arial"/>
                <w:sz w:val="22"/>
                <w:szCs w:val="22"/>
                <w:lang w:val="en-GB"/>
              </w:rPr>
              <w:t xml:space="preserve"> as providers of social and health-related services. </w:t>
            </w:r>
            <w:r w:rsidRPr="007A59E0">
              <w:rPr>
                <w:rFonts w:ascii="Arial" w:hAnsi="Arial"/>
                <w:sz w:val="22"/>
                <w:szCs w:val="22"/>
              </w:rPr>
              <w:t xml:space="preserve">Since then, the Law has undergone several revisions, and the latest amendments and additions allow extending the duration of a social project for up to three years. </w:t>
            </w:r>
            <w:r w:rsidRPr="007A59E0">
              <w:rPr>
                <w:rFonts w:ascii="Arial" w:hAnsi="Arial" w:cs="Arial"/>
                <w:sz w:val="22"/>
                <w:szCs w:val="22"/>
                <w:lang w:val="en-GB"/>
              </w:rPr>
              <w:t xml:space="preserve">Also, a unified grant-funding operator was established, letting NGOs spend up to 10% of the grant for the material and technical support. </w:t>
            </w:r>
            <w:r w:rsidRPr="007A59E0">
              <w:rPr>
                <w:rFonts w:ascii="Arial" w:hAnsi="Arial"/>
                <w:sz w:val="22"/>
                <w:szCs w:val="22"/>
              </w:rPr>
              <w:t>There are other legislative and regulatory acts in this field endorsed: the Law "On public p</w:t>
            </w:r>
            <w:r>
              <w:rPr>
                <w:rFonts w:ascii="Arial" w:hAnsi="Arial"/>
                <w:sz w:val="22"/>
                <w:szCs w:val="22"/>
              </w:rPr>
              <w:t>rocurement", and the Rules for public p</w:t>
            </w:r>
            <w:r w:rsidRPr="007A59E0">
              <w:rPr>
                <w:rFonts w:ascii="Arial" w:hAnsi="Arial"/>
                <w:sz w:val="22"/>
                <w:szCs w:val="22"/>
              </w:rPr>
              <w:t>rocurement. In August 2018, the Mi</w:t>
            </w:r>
            <w:r>
              <w:rPr>
                <w:rFonts w:ascii="Arial" w:hAnsi="Arial"/>
                <w:sz w:val="22"/>
                <w:szCs w:val="22"/>
              </w:rPr>
              <w:t xml:space="preserve">nister of </w:t>
            </w:r>
            <w:r w:rsidR="00A936B5">
              <w:rPr>
                <w:rFonts w:ascii="Arial" w:hAnsi="Arial"/>
                <w:sz w:val="22"/>
                <w:szCs w:val="22"/>
              </w:rPr>
              <w:t xml:space="preserve">Labor </w:t>
            </w:r>
            <w:r>
              <w:rPr>
                <w:rFonts w:ascii="Arial" w:hAnsi="Arial"/>
                <w:sz w:val="22"/>
                <w:szCs w:val="22"/>
              </w:rPr>
              <w:t xml:space="preserve">Social Development </w:t>
            </w:r>
            <w:r w:rsidRPr="007A59E0">
              <w:rPr>
                <w:rFonts w:ascii="Arial" w:hAnsi="Arial"/>
                <w:sz w:val="22"/>
                <w:szCs w:val="22"/>
              </w:rPr>
              <w:t>adopted the rules</w:t>
            </w:r>
            <w:r>
              <w:rPr>
                <w:rFonts w:ascii="Arial" w:hAnsi="Arial"/>
                <w:sz w:val="22"/>
                <w:szCs w:val="22"/>
              </w:rPr>
              <w:t xml:space="preserve"> for</w:t>
            </w:r>
            <w:r w:rsidRPr="007A59E0">
              <w:rPr>
                <w:rFonts w:ascii="Arial" w:hAnsi="Arial"/>
                <w:sz w:val="22"/>
                <w:szCs w:val="22"/>
              </w:rPr>
              <w:t xml:space="preserve"> forming, monitoring and evaluation </w:t>
            </w:r>
            <w:r>
              <w:rPr>
                <w:rFonts w:ascii="Arial" w:hAnsi="Arial"/>
                <w:sz w:val="22"/>
                <w:szCs w:val="22"/>
              </w:rPr>
              <w:t>of the social order along with</w:t>
            </w:r>
            <w:r w:rsidRPr="007A59E0">
              <w:rPr>
                <w:rFonts w:ascii="Arial" w:hAnsi="Arial"/>
                <w:sz w:val="22"/>
                <w:szCs w:val="22"/>
              </w:rPr>
              <w:t xml:space="preserve"> the Standard of the state social order.</w:t>
            </w:r>
            <w:r w:rsidRPr="007A59E0">
              <w:rPr>
                <w:rStyle w:val="af"/>
                <w:rFonts w:ascii="Arial" w:hAnsi="Arial"/>
                <w:sz w:val="22"/>
                <w:szCs w:val="22"/>
              </w:rPr>
              <w:t xml:space="preserve"> </w:t>
            </w:r>
            <w:r w:rsidRPr="007A59E0">
              <w:rPr>
                <w:rStyle w:val="af"/>
                <w:rFonts w:ascii="Arial" w:hAnsi="Arial"/>
                <w:sz w:val="22"/>
                <w:szCs w:val="22"/>
              </w:rPr>
              <w:footnoteReference w:id="28"/>
            </w:r>
          </w:p>
          <w:p w14:paraId="252D4704" w14:textId="77777777" w:rsidR="009F69F1" w:rsidRPr="00A91D5B" w:rsidRDefault="009F69F1" w:rsidP="00EC5AA0">
            <w:pPr>
              <w:pStyle w:val="affff9"/>
              <w:spacing w:after="0" w:line="240" w:lineRule="auto"/>
              <w:jc w:val="both"/>
              <w:rPr>
                <w:rFonts w:ascii="Arial" w:hAnsi="Arial"/>
                <w:sz w:val="22"/>
                <w:szCs w:val="22"/>
              </w:rPr>
            </w:pPr>
          </w:p>
          <w:p w14:paraId="550A2291" w14:textId="77777777" w:rsidR="009F69F1" w:rsidRDefault="009F69F1" w:rsidP="00EC5AA0">
            <w:pPr>
              <w:autoSpaceDE w:val="0"/>
              <w:autoSpaceDN w:val="0"/>
              <w:adjustRightInd w:val="0"/>
              <w:spacing w:after="0" w:line="240" w:lineRule="auto"/>
              <w:jc w:val="both"/>
              <w:rPr>
                <w:rFonts w:cs="Arial"/>
              </w:rPr>
            </w:pPr>
            <w:r w:rsidRPr="007A59E0">
              <w:rPr>
                <w:rFonts w:cs="Arial"/>
              </w:rPr>
              <w:t>The government has lifted some requirements envisaged for the supplier while procuring services through state social order, e.g., it does not require to be payable and submit the proof of financial resources sufficient to fulfill the obligations under the contract. The procurement rules define approaches for the bids’ technical and financial assessments, overall evaluation, and the final ranking. The method applied for the bid evaluation emphasizes the importance of the technical proposal, by reducing the competitively offered prices through the scaling technique for technically good proposals.</w:t>
            </w:r>
            <w:r w:rsidRPr="007A59E0">
              <w:rPr>
                <w:rFonts w:cs="Arial"/>
                <w:lang w:val="en-GB"/>
              </w:rPr>
              <w:t xml:space="preserve"> </w:t>
            </w:r>
            <w:r w:rsidRPr="007A59E0">
              <w:rPr>
                <w:rFonts w:cs="Arial"/>
              </w:rPr>
              <w:t xml:space="preserve">Importantly, the government is interested in the dialog with civil society and supports the civic forums. </w:t>
            </w:r>
          </w:p>
          <w:p w14:paraId="0F97B2C5" w14:textId="77777777" w:rsidR="00CB1A0B" w:rsidRPr="007A59E0" w:rsidRDefault="00CB1A0B" w:rsidP="00EC5AA0">
            <w:pPr>
              <w:autoSpaceDE w:val="0"/>
              <w:autoSpaceDN w:val="0"/>
              <w:adjustRightInd w:val="0"/>
              <w:spacing w:after="0" w:line="240" w:lineRule="auto"/>
              <w:jc w:val="both"/>
              <w:rPr>
                <w:rFonts w:cs="Arial"/>
                <w:lang w:val="en-GB"/>
              </w:rPr>
            </w:pPr>
          </w:p>
          <w:p w14:paraId="00DD04C6" w14:textId="6A356080" w:rsidR="009F69F1" w:rsidRPr="007A59E0" w:rsidRDefault="009F69F1" w:rsidP="00EC5AA0">
            <w:pPr>
              <w:spacing w:after="0" w:line="240" w:lineRule="auto"/>
              <w:jc w:val="both"/>
              <w:rPr>
                <w:rFonts w:cs="Arial"/>
                <w:lang w:val="en-GB"/>
              </w:rPr>
            </w:pPr>
            <w:r w:rsidRPr="007A59E0">
              <w:rPr>
                <w:rFonts w:cs="Arial"/>
                <w:lang w:val="en-GB"/>
              </w:rPr>
              <w:t>A wide range of services can be contracted</w:t>
            </w:r>
            <w:r w:rsidRPr="007A59E0">
              <w:rPr>
                <w:rStyle w:val="af"/>
                <w:rFonts w:cs="Arial"/>
                <w:lang w:val="en-GB"/>
              </w:rPr>
              <w:footnoteReference w:id="29"/>
            </w:r>
            <w:r w:rsidRPr="007A59E0">
              <w:rPr>
                <w:rFonts w:cs="Arial"/>
                <w:lang w:val="en-GB"/>
              </w:rPr>
              <w:t>, which are classified under the relevant budget programs with the inclusion of the project summary. In 2019, approximately KZT24.8 million were spent through the social contracting for the TB projects</w:t>
            </w:r>
            <w:r w:rsidR="00C34136">
              <w:rPr>
                <w:rFonts w:cs="Arial"/>
                <w:lang w:val="en-GB"/>
              </w:rPr>
              <w:t xml:space="preserve"> listed below</w:t>
            </w:r>
            <w:r w:rsidRPr="007A59E0">
              <w:rPr>
                <w:rFonts w:cs="Arial"/>
                <w:lang w:val="en-GB"/>
              </w:rPr>
              <w:t>:</w:t>
            </w:r>
          </w:p>
          <w:p w14:paraId="3A0CC937" w14:textId="77777777" w:rsidR="009F69F1" w:rsidRPr="007A59E0" w:rsidRDefault="009F69F1" w:rsidP="006A0E08">
            <w:pPr>
              <w:pStyle w:val="affff3"/>
              <w:numPr>
                <w:ilvl w:val="0"/>
                <w:numId w:val="48"/>
              </w:numPr>
              <w:spacing w:before="120" w:after="0" w:line="240" w:lineRule="auto"/>
              <w:jc w:val="both"/>
              <w:rPr>
                <w:rFonts w:cs="Arial"/>
                <w:lang w:val="en-GB"/>
              </w:rPr>
            </w:pPr>
            <w:r w:rsidRPr="007A59E0">
              <w:rPr>
                <w:rFonts w:cs="Arial"/>
                <w:lang w:val="en-GB"/>
              </w:rPr>
              <w:t>Social support to patients on ambulatory care in c. Balkhash (NGO “DAUA 2050, Karaganda region</w:t>
            </w:r>
            <w:proofErr w:type="gramStart"/>
            <w:r w:rsidRPr="007A59E0">
              <w:rPr>
                <w:rFonts w:cs="Arial"/>
                <w:lang w:val="en-GB"/>
              </w:rPr>
              <w:t>);</w:t>
            </w:r>
            <w:proofErr w:type="gramEnd"/>
          </w:p>
          <w:p w14:paraId="1790200C" w14:textId="77777777" w:rsidR="009F69F1" w:rsidRPr="007A59E0" w:rsidRDefault="009F69F1" w:rsidP="006A0E08">
            <w:pPr>
              <w:pStyle w:val="affff3"/>
              <w:numPr>
                <w:ilvl w:val="0"/>
                <w:numId w:val="48"/>
              </w:numPr>
              <w:spacing w:after="0" w:line="240" w:lineRule="auto"/>
              <w:jc w:val="both"/>
              <w:rPr>
                <w:rFonts w:cs="Arial"/>
                <w:lang w:val="en-GB"/>
              </w:rPr>
            </w:pPr>
            <w:r w:rsidRPr="007A59E0">
              <w:rPr>
                <w:rFonts w:cs="Arial"/>
                <w:lang w:val="en-GB"/>
              </w:rPr>
              <w:t>TB prevention and detection among the key and vulnerable population: drug users (NGO “White Chamomile”, Kyzylorda region</w:t>
            </w:r>
            <w:proofErr w:type="gramStart"/>
            <w:r w:rsidRPr="007A59E0">
              <w:rPr>
                <w:rFonts w:cs="Arial"/>
                <w:lang w:val="en-GB"/>
              </w:rPr>
              <w:t>);</w:t>
            </w:r>
            <w:proofErr w:type="gramEnd"/>
          </w:p>
          <w:p w14:paraId="0F2A1BDE" w14:textId="77777777" w:rsidR="009F69F1" w:rsidRPr="007A59E0" w:rsidRDefault="009F69F1" w:rsidP="006A0E08">
            <w:pPr>
              <w:pStyle w:val="affff3"/>
              <w:numPr>
                <w:ilvl w:val="0"/>
                <w:numId w:val="48"/>
              </w:numPr>
              <w:spacing w:after="0" w:line="240" w:lineRule="auto"/>
              <w:jc w:val="both"/>
              <w:rPr>
                <w:rFonts w:cs="Arial"/>
                <w:lang w:val="en-GB"/>
              </w:rPr>
            </w:pPr>
            <w:r w:rsidRPr="007A59E0">
              <w:rPr>
                <w:rFonts w:cs="Arial"/>
                <w:lang w:val="en-GB"/>
              </w:rPr>
              <w:t xml:space="preserve">Providing hot meals to TB patients (PO Center for </w:t>
            </w:r>
            <w:proofErr w:type="gramStart"/>
            <w:r w:rsidRPr="007A59E0">
              <w:rPr>
                <w:rFonts w:cs="Arial"/>
                <w:lang w:val="en-GB"/>
              </w:rPr>
              <w:t>mothers</w:t>
            </w:r>
            <w:proofErr w:type="gramEnd"/>
            <w:r w:rsidRPr="007A59E0">
              <w:rPr>
                <w:rFonts w:cs="Arial"/>
                <w:lang w:val="en-GB"/>
              </w:rPr>
              <w:t xml:space="preserve"> support, Pavlodar region);</w:t>
            </w:r>
          </w:p>
          <w:p w14:paraId="5D7BCD44" w14:textId="77777777" w:rsidR="009F69F1" w:rsidRPr="007A59E0" w:rsidRDefault="009F69F1" w:rsidP="006A0E08">
            <w:pPr>
              <w:pStyle w:val="affff3"/>
              <w:numPr>
                <w:ilvl w:val="0"/>
                <w:numId w:val="48"/>
              </w:numPr>
              <w:spacing w:after="0" w:line="240" w:lineRule="auto"/>
              <w:jc w:val="both"/>
              <w:rPr>
                <w:rFonts w:cs="Arial"/>
                <w:lang w:val="en-GB"/>
              </w:rPr>
            </w:pPr>
            <w:r w:rsidRPr="007A59E0">
              <w:rPr>
                <w:rFonts w:cs="Arial"/>
                <w:lang w:val="en-GB"/>
              </w:rPr>
              <w:t>Social support to students from key groups, with active TB (Almaty, regional TB Center</w:t>
            </w:r>
            <w:proofErr w:type="gramStart"/>
            <w:r w:rsidRPr="007A59E0">
              <w:rPr>
                <w:rFonts w:cs="Arial"/>
                <w:lang w:val="en-GB"/>
              </w:rPr>
              <w:t>);</w:t>
            </w:r>
            <w:proofErr w:type="gramEnd"/>
          </w:p>
          <w:p w14:paraId="717E9DB0" w14:textId="77777777" w:rsidR="009F69F1" w:rsidRPr="007A59E0" w:rsidRDefault="009F69F1" w:rsidP="006A0E08">
            <w:pPr>
              <w:pStyle w:val="affff3"/>
              <w:numPr>
                <w:ilvl w:val="0"/>
                <w:numId w:val="48"/>
              </w:numPr>
              <w:spacing w:after="0" w:line="240" w:lineRule="auto"/>
              <w:jc w:val="both"/>
              <w:rPr>
                <w:rFonts w:cs="Arial"/>
                <w:lang w:val="en-GB"/>
              </w:rPr>
            </w:pPr>
            <w:r w:rsidRPr="007A59E0">
              <w:rPr>
                <w:rFonts w:cs="Arial"/>
                <w:lang w:val="en-GB"/>
              </w:rPr>
              <w:t xml:space="preserve">TB mass information </w:t>
            </w:r>
            <w:proofErr w:type="gramStart"/>
            <w:r w:rsidRPr="007A59E0">
              <w:rPr>
                <w:rFonts w:cs="Arial"/>
                <w:lang w:val="en-GB"/>
              </w:rPr>
              <w:t>campaign  (</w:t>
            </w:r>
            <w:proofErr w:type="gramEnd"/>
            <w:r w:rsidRPr="007A59E0">
              <w:rPr>
                <w:rFonts w:cs="Arial"/>
                <w:lang w:val="en-GB"/>
              </w:rPr>
              <w:t>PF “Igilik”, Akmola region);</w:t>
            </w:r>
          </w:p>
          <w:p w14:paraId="21747009" w14:textId="77777777" w:rsidR="009F69F1" w:rsidRPr="007A59E0" w:rsidRDefault="009F69F1" w:rsidP="006A0E08">
            <w:pPr>
              <w:pStyle w:val="affff3"/>
              <w:numPr>
                <w:ilvl w:val="0"/>
                <w:numId w:val="48"/>
              </w:numPr>
              <w:spacing w:after="0" w:line="240" w:lineRule="auto"/>
              <w:jc w:val="both"/>
              <w:rPr>
                <w:rFonts w:cs="Arial"/>
                <w:lang w:val="en-GB"/>
              </w:rPr>
            </w:pPr>
            <w:r w:rsidRPr="007A59E0">
              <w:rPr>
                <w:rFonts w:cs="Arial"/>
                <w:lang w:val="en-GB"/>
              </w:rPr>
              <w:t>Intervention on timely detection of TB among migrants (Association of Legal Entities "Kazakhstan Tuberculosis Control Network", Nursultan, Almaty and Shimkent cities).</w:t>
            </w:r>
          </w:p>
          <w:p w14:paraId="1FE3037D" w14:textId="77777777" w:rsidR="00CB1A0B" w:rsidRDefault="00CB1A0B" w:rsidP="00EC5AA0">
            <w:pPr>
              <w:spacing w:after="0" w:line="240" w:lineRule="auto"/>
              <w:jc w:val="both"/>
              <w:rPr>
                <w:rFonts w:cs="Arial"/>
              </w:rPr>
            </w:pPr>
          </w:p>
          <w:p w14:paraId="43DF301D" w14:textId="0DA5B41B" w:rsidR="000A1DDD" w:rsidRPr="007E7CEB" w:rsidRDefault="000A1DDD" w:rsidP="00EC5AA0">
            <w:pPr>
              <w:spacing w:after="0" w:line="240" w:lineRule="auto"/>
              <w:jc w:val="both"/>
              <w:rPr>
                <w:rFonts w:cs="Arial"/>
                <w:lang w:val="en-GB"/>
              </w:rPr>
            </w:pPr>
            <w:r>
              <w:rPr>
                <w:rFonts w:cs="Arial"/>
                <w:lang w:val="en-GB"/>
              </w:rPr>
              <w:t>In 2020</w:t>
            </w:r>
            <w:r w:rsidRPr="007A59E0">
              <w:rPr>
                <w:rFonts w:cs="Arial"/>
                <w:lang w:val="en-GB"/>
              </w:rPr>
              <w:t xml:space="preserve">, </w:t>
            </w:r>
            <w:r>
              <w:rPr>
                <w:rFonts w:cs="Arial"/>
                <w:lang w:val="en-GB"/>
              </w:rPr>
              <w:t xml:space="preserve">the funds were directed to </w:t>
            </w:r>
            <w:r w:rsidR="000A1D26">
              <w:rPr>
                <w:rFonts w:cs="Arial"/>
                <w:lang w:val="en-GB"/>
              </w:rPr>
              <w:t>local COVID-19</w:t>
            </w:r>
            <w:r w:rsidR="006A0E08">
              <w:rPr>
                <w:rFonts w:cs="Arial"/>
                <w:lang w:val="en-GB"/>
              </w:rPr>
              <w:t xml:space="preserve"> response measures, and approximately KZT23.5</w:t>
            </w:r>
            <w:r w:rsidRPr="007A59E0">
              <w:rPr>
                <w:rFonts w:cs="Arial"/>
                <w:lang w:val="en-GB"/>
              </w:rPr>
              <w:t xml:space="preserve"> million were spent through the social contracting for the TB projects:</w:t>
            </w:r>
          </w:p>
          <w:p w14:paraId="681121E8" w14:textId="77777777" w:rsidR="006A0E08" w:rsidRPr="007A59E0" w:rsidRDefault="006A0E08" w:rsidP="006A0E08">
            <w:pPr>
              <w:pStyle w:val="affff3"/>
              <w:numPr>
                <w:ilvl w:val="0"/>
                <w:numId w:val="47"/>
              </w:numPr>
              <w:spacing w:before="120" w:after="0" w:line="240" w:lineRule="auto"/>
              <w:jc w:val="both"/>
              <w:rPr>
                <w:rFonts w:cs="Arial"/>
                <w:lang w:val="en-GB"/>
              </w:rPr>
            </w:pPr>
            <w:r w:rsidRPr="007A59E0">
              <w:rPr>
                <w:rFonts w:cs="Arial"/>
                <w:lang w:val="en-GB"/>
              </w:rPr>
              <w:t>Social support to patients on ambulatory care in c. Balkhash (NGO “DAUA 2050, Karaganda region</w:t>
            </w:r>
            <w:proofErr w:type="gramStart"/>
            <w:r w:rsidRPr="007A59E0">
              <w:rPr>
                <w:rFonts w:cs="Arial"/>
                <w:lang w:val="en-GB"/>
              </w:rPr>
              <w:t>);</w:t>
            </w:r>
            <w:proofErr w:type="gramEnd"/>
          </w:p>
          <w:p w14:paraId="65ADC9F5" w14:textId="77777777" w:rsidR="006A0E08" w:rsidRPr="007A59E0" w:rsidRDefault="006A0E08" w:rsidP="006A0E08">
            <w:pPr>
              <w:pStyle w:val="affff3"/>
              <w:numPr>
                <w:ilvl w:val="0"/>
                <w:numId w:val="47"/>
              </w:numPr>
              <w:spacing w:after="0" w:line="240" w:lineRule="auto"/>
              <w:jc w:val="both"/>
              <w:rPr>
                <w:rFonts w:cs="Arial"/>
                <w:lang w:val="en-GB"/>
              </w:rPr>
            </w:pPr>
            <w:r w:rsidRPr="007A59E0">
              <w:rPr>
                <w:rFonts w:cs="Arial"/>
                <w:lang w:val="en-GB"/>
              </w:rPr>
              <w:t xml:space="preserve">Providing hot meals to TB patients (PO Center for </w:t>
            </w:r>
            <w:proofErr w:type="gramStart"/>
            <w:r w:rsidRPr="007A59E0">
              <w:rPr>
                <w:rFonts w:cs="Arial"/>
                <w:lang w:val="en-GB"/>
              </w:rPr>
              <w:t>mothers</w:t>
            </w:r>
            <w:proofErr w:type="gramEnd"/>
            <w:r w:rsidRPr="007A59E0">
              <w:rPr>
                <w:rFonts w:cs="Arial"/>
                <w:lang w:val="en-GB"/>
              </w:rPr>
              <w:t xml:space="preserve"> support, Pavlodar region);</w:t>
            </w:r>
          </w:p>
          <w:p w14:paraId="7654385D" w14:textId="77777777" w:rsidR="006A0E08" w:rsidRPr="007A59E0" w:rsidRDefault="006A0E08" w:rsidP="006A0E08">
            <w:pPr>
              <w:pStyle w:val="affff3"/>
              <w:numPr>
                <w:ilvl w:val="0"/>
                <w:numId w:val="47"/>
              </w:numPr>
              <w:spacing w:after="0" w:line="240" w:lineRule="auto"/>
              <w:jc w:val="both"/>
              <w:rPr>
                <w:rFonts w:cs="Arial"/>
                <w:lang w:val="en-GB"/>
              </w:rPr>
            </w:pPr>
            <w:r w:rsidRPr="007A59E0">
              <w:rPr>
                <w:rFonts w:cs="Arial"/>
                <w:lang w:val="en-GB"/>
              </w:rPr>
              <w:t xml:space="preserve">TB mass information </w:t>
            </w:r>
            <w:proofErr w:type="gramStart"/>
            <w:r w:rsidRPr="007A59E0">
              <w:rPr>
                <w:rFonts w:cs="Arial"/>
                <w:lang w:val="en-GB"/>
              </w:rPr>
              <w:t>campaign  (</w:t>
            </w:r>
            <w:proofErr w:type="gramEnd"/>
            <w:r w:rsidRPr="007A59E0">
              <w:rPr>
                <w:rFonts w:cs="Arial"/>
                <w:lang w:val="en-GB"/>
              </w:rPr>
              <w:t>PF “Igilik”, Akmola region);</w:t>
            </w:r>
          </w:p>
          <w:p w14:paraId="690DFBD2" w14:textId="5FEBF6B7" w:rsidR="001B7785" w:rsidRDefault="006A0E08" w:rsidP="006A0E08">
            <w:pPr>
              <w:pStyle w:val="affff3"/>
              <w:numPr>
                <w:ilvl w:val="0"/>
                <w:numId w:val="47"/>
              </w:numPr>
              <w:spacing w:after="0" w:line="240" w:lineRule="auto"/>
              <w:jc w:val="both"/>
              <w:rPr>
                <w:rFonts w:cs="Arial"/>
              </w:rPr>
            </w:pPr>
            <w:r>
              <w:rPr>
                <w:rFonts w:cs="Arial"/>
              </w:rPr>
              <w:t xml:space="preserve">TB survey among university students, private </w:t>
            </w:r>
            <w:proofErr w:type="gramStart"/>
            <w:r>
              <w:rPr>
                <w:rFonts w:cs="Arial"/>
              </w:rPr>
              <w:t>companies</w:t>
            </w:r>
            <w:proofErr w:type="gramEnd"/>
            <w:r>
              <w:rPr>
                <w:rFonts w:cs="Arial"/>
              </w:rPr>
              <w:t xml:space="preserve"> and organizations (</w:t>
            </w:r>
            <w:r w:rsidRPr="006A0E08">
              <w:rPr>
                <w:rFonts w:cs="Arial"/>
              </w:rPr>
              <w:t>ALE "Kazakhstan Tuberculosis Network"</w:t>
            </w:r>
            <w:r w:rsidR="009E6222">
              <w:rPr>
                <w:rFonts w:cs="Arial"/>
              </w:rPr>
              <w:t xml:space="preserve">, </w:t>
            </w:r>
            <w:r>
              <w:rPr>
                <w:rFonts w:cs="Arial"/>
              </w:rPr>
              <w:t>all regions)</w:t>
            </w:r>
            <w:r w:rsidR="009E6222">
              <w:rPr>
                <w:rFonts w:cs="Arial"/>
              </w:rPr>
              <w:t>.</w:t>
            </w:r>
          </w:p>
          <w:p w14:paraId="7A64AC8F" w14:textId="77777777" w:rsidR="009E6222" w:rsidRDefault="009E6222" w:rsidP="009E6222">
            <w:pPr>
              <w:spacing w:after="0" w:line="240" w:lineRule="auto"/>
              <w:jc w:val="both"/>
              <w:rPr>
                <w:rFonts w:cs="Arial"/>
              </w:rPr>
            </w:pPr>
          </w:p>
          <w:p w14:paraId="6700D287" w14:textId="37791F8F" w:rsidR="009E6222" w:rsidRDefault="009E6222" w:rsidP="009E6222">
            <w:pPr>
              <w:spacing w:after="0" w:line="240" w:lineRule="auto"/>
              <w:jc w:val="both"/>
              <w:rPr>
                <w:rFonts w:cs="Arial"/>
              </w:rPr>
            </w:pPr>
            <w:r>
              <w:rPr>
                <w:rFonts w:cs="Arial"/>
              </w:rPr>
              <w:t xml:space="preserve">In 2021, the announced tender on </w:t>
            </w:r>
            <w:r w:rsidR="004F51BA">
              <w:rPr>
                <w:rFonts w:cs="Arial"/>
              </w:rPr>
              <w:t xml:space="preserve">the </w:t>
            </w:r>
            <w:r>
              <w:rPr>
                <w:rFonts w:cs="Arial"/>
              </w:rPr>
              <w:t xml:space="preserve">amount of </w:t>
            </w:r>
            <w:r w:rsidR="002E5FA9">
              <w:rPr>
                <w:rFonts w:cs="Arial"/>
              </w:rPr>
              <w:t>KZT</w:t>
            </w:r>
            <w:r>
              <w:rPr>
                <w:rFonts w:cs="Arial"/>
              </w:rPr>
              <w:t>20.3 million for services on inf</w:t>
            </w:r>
            <w:r w:rsidR="004F51BA">
              <w:rPr>
                <w:rFonts w:cs="Arial"/>
              </w:rPr>
              <w:t xml:space="preserve">ection diseases prevention and </w:t>
            </w:r>
            <w:r>
              <w:rPr>
                <w:rFonts w:cs="Arial"/>
              </w:rPr>
              <w:t>healthy</w:t>
            </w:r>
            <w:r w:rsidR="004F51BA">
              <w:rPr>
                <w:rFonts w:cs="Arial"/>
              </w:rPr>
              <w:t xml:space="preserve"> lifestyle promotion was cancel</w:t>
            </w:r>
            <w:r w:rsidR="00FA4F84">
              <w:rPr>
                <w:rFonts w:cs="Arial"/>
              </w:rPr>
              <w:t>l</w:t>
            </w:r>
            <w:r>
              <w:rPr>
                <w:rFonts w:cs="Arial"/>
              </w:rPr>
              <w:t xml:space="preserve">ed, and the funds </w:t>
            </w:r>
            <w:r w:rsidR="001C17CB">
              <w:rPr>
                <w:rFonts w:cs="Arial"/>
              </w:rPr>
              <w:t xml:space="preserve">were </w:t>
            </w:r>
            <w:proofErr w:type="gramStart"/>
            <w:r w:rsidR="001C17CB">
              <w:rPr>
                <w:rFonts w:cs="Arial"/>
              </w:rPr>
              <w:t>absorb</w:t>
            </w:r>
            <w:proofErr w:type="gramEnd"/>
            <w:r w:rsidR="001C17CB">
              <w:rPr>
                <w:rFonts w:cs="Arial"/>
              </w:rPr>
              <w:t xml:space="preserve"> for the</w:t>
            </w:r>
            <w:r>
              <w:rPr>
                <w:rFonts w:cs="Arial"/>
              </w:rPr>
              <w:t xml:space="preserve"> COVID-19 recovery measures.</w:t>
            </w:r>
            <w:r w:rsidR="00FA4F84">
              <w:rPr>
                <w:rFonts w:cs="Arial"/>
              </w:rPr>
              <w:t xml:space="preserve"> T</w:t>
            </w:r>
            <w:r w:rsidR="001C17CB">
              <w:rPr>
                <w:rFonts w:cs="Arial"/>
              </w:rPr>
              <w:t>he financing of NGOs for the TB services</w:t>
            </w:r>
            <w:r w:rsidR="004A0E28">
              <w:rPr>
                <w:rFonts w:cs="Arial"/>
              </w:rPr>
              <w:t xml:space="preserve"> services</w:t>
            </w:r>
            <w:r w:rsidR="001C17CB">
              <w:rPr>
                <w:rFonts w:cs="Arial"/>
              </w:rPr>
              <w:t xml:space="preserve"> delivery</w:t>
            </w:r>
            <w:r w:rsidR="004A0E28">
              <w:rPr>
                <w:rFonts w:cs="Arial"/>
              </w:rPr>
              <w:t xml:space="preserve"> made up nearly KZT</w:t>
            </w:r>
            <w:r w:rsidR="004F51BA">
              <w:rPr>
                <w:rFonts w:cs="Arial"/>
              </w:rPr>
              <w:t>21</w:t>
            </w:r>
            <w:r w:rsidR="002E5FA9">
              <w:rPr>
                <w:rFonts w:cs="Arial"/>
              </w:rPr>
              <w:t xml:space="preserve"> </w:t>
            </w:r>
            <w:r w:rsidR="004F51BA">
              <w:rPr>
                <w:rFonts w:cs="Arial"/>
              </w:rPr>
              <w:t>million</w:t>
            </w:r>
            <w:r w:rsidR="00FA4F84">
              <w:rPr>
                <w:rFonts w:cs="Arial"/>
              </w:rPr>
              <w:t xml:space="preserve"> in 2021:</w:t>
            </w:r>
          </w:p>
          <w:p w14:paraId="7FEEA5FD" w14:textId="77777777" w:rsidR="00FA4F84" w:rsidRDefault="00FA4F84" w:rsidP="002E5FA9">
            <w:pPr>
              <w:pStyle w:val="affff3"/>
              <w:numPr>
                <w:ilvl w:val="0"/>
                <w:numId w:val="48"/>
              </w:numPr>
              <w:spacing w:before="120" w:after="0" w:line="240" w:lineRule="auto"/>
              <w:ind w:left="714" w:hanging="357"/>
              <w:jc w:val="both"/>
              <w:rPr>
                <w:rFonts w:cs="Arial"/>
                <w:lang w:val="en-GB"/>
              </w:rPr>
            </w:pPr>
            <w:r w:rsidRPr="007A59E0">
              <w:rPr>
                <w:rFonts w:cs="Arial"/>
                <w:lang w:val="en-GB"/>
              </w:rPr>
              <w:t xml:space="preserve">TB mass information </w:t>
            </w:r>
            <w:proofErr w:type="gramStart"/>
            <w:r w:rsidRPr="007A59E0">
              <w:rPr>
                <w:rFonts w:cs="Arial"/>
                <w:lang w:val="en-GB"/>
              </w:rPr>
              <w:t>campaign  (</w:t>
            </w:r>
            <w:proofErr w:type="gramEnd"/>
            <w:r w:rsidRPr="007A59E0">
              <w:rPr>
                <w:rFonts w:cs="Arial"/>
                <w:lang w:val="en-GB"/>
              </w:rPr>
              <w:t>PF “Igilik”, Akmola region);</w:t>
            </w:r>
          </w:p>
          <w:p w14:paraId="78F2562B" w14:textId="77777777" w:rsidR="00FA4F84" w:rsidRPr="007A59E0" w:rsidRDefault="00FA4F84" w:rsidP="00FA4F84">
            <w:pPr>
              <w:pStyle w:val="affff3"/>
              <w:numPr>
                <w:ilvl w:val="0"/>
                <w:numId w:val="48"/>
              </w:numPr>
              <w:spacing w:after="0" w:line="240" w:lineRule="auto"/>
              <w:jc w:val="both"/>
              <w:rPr>
                <w:rFonts w:cs="Arial"/>
                <w:lang w:val="en-GB"/>
              </w:rPr>
            </w:pPr>
            <w:r w:rsidRPr="007A59E0">
              <w:rPr>
                <w:rFonts w:cs="Arial"/>
                <w:lang w:val="en-GB"/>
              </w:rPr>
              <w:t xml:space="preserve">Providing hot meals to TB patients (PO Center for </w:t>
            </w:r>
            <w:proofErr w:type="gramStart"/>
            <w:r w:rsidRPr="007A59E0">
              <w:rPr>
                <w:rFonts w:cs="Arial"/>
                <w:lang w:val="en-GB"/>
              </w:rPr>
              <w:t>mothers</w:t>
            </w:r>
            <w:proofErr w:type="gramEnd"/>
            <w:r w:rsidRPr="007A59E0">
              <w:rPr>
                <w:rFonts w:cs="Arial"/>
                <w:lang w:val="en-GB"/>
              </w:rPr>
              <w:t xml:space="preserve"> support, Pavlodar region);</w:t>
            </w:r>
          </w:p>
          <w:p w14:paraId="0C0165ED" w14:textId="473F6CB3" w:rsidR="009E6222" w:rsidRPr="00FA4F84" w:rsidRDefault="00FA4F84" w:rsidP="00FA4F84">
            <w:pPr>
              <w:pStyle w:val="affff3"/>
              <w:numPr>
                <w:ilvl w:val="0"/>
                <w:numId w:val="48"/>
              </w:numPr>
              <w:spacing w:after="0" w:line="240" w:lineRule="auto"/>
              <w:jc w:val="both"/>
              <w:rPr>
                <w:rFonts w:cs="Arial"/>
              </w:rPr>
            </w:pPr>
            <w:r w:rsidRPr="00FA4F84">
              <w:rPr>
                <w:rFonts w:cs="Arial"/>
                <w:lang w:val="en-GB"/>
              </w:rPr>
              <w:t>Organization and implementation of activities aimed at preventing tuberculosis and detecting diseases at early stages among adolescents and youth (general population and vulnerable groups)</w:t>
            </w:r>
            <w:r>
              <w:rPr>
                <w:rFonts w:cs="Arial"/>
                <w:lang w:val="en-GB"/>
              </w:rPr>
              <w:t xml:space="preserve"> (</w:t>
            </w:r>
            <w:r w:rsidRPr="00FA4F84">
              <w:rPr>
                <w:rFonts w:cs="Arial"/>
                <w:lang w:val="en-GB"/>
              </w:rPr>
              <w:t>PO "Kos Kanat Zhetisu"</w:t>
            </w:r>
            <w:r>
              <w:rPr>
                <w:rFonts w:cs="Arial"/>
                <w:lang w:val="en-GB"/>
              </w:rPr>
              <w:t xml:space="preserve">, Almaty region). </w:t>
            </w:r>
          </w:p>
          <w:p w14:paraId="546929EE" w14:textId="77777777" w:rsidR="00FA4F84" w:rsidRPr="00FA4F84" w:rsidRDefault="00FA4F84" w:rsidP="00FA4F84">
            <w:pPr>
              <w:spacing w:after="0" w:line="240" w:lineRule="auto"/>
              <w:jc w:val="both"/>
              <w:rPr>
                <w:rFonts w:cs="Arial"/>
              </w:rPr>
            </w:pPr>
          </w:p>
          <w:p w14:paraId="46E2F692" w14:textId="15304522" w:rsidR="00D41CB3" w:rsidRDefault="00242F74" w:rsidP="00EC5AA0">
            <w:pPr>
              <w:spacing w:after="0" w:line="240" w:lineRule="auto"/>
              <w:jc w:val="both"/>
              <w:rPr>
                <w:rFonts w:cs="Arial"/>
              </w:rPr>
            </w:pPr>
            <w:r w:rsidRPr="00242F74">
              <w:rPr>
                <w:rFonts w:cs="Arial"/>
              </w:rPr>
              <w:t xml:space="preserve">Recovering from the pandemic-induced downturn, the NTP expects </w:t>
            </w:r>
            <w:r>
              <w:rPr>
                <w:rFonts w:cs="Arial"/>
              </w:rPr>
              <w:t>that the local governments will increase the</w:t>
            </w:r>
            <w:r w:rsidRPr="00242F74">
              <w:rPr>
                <w:rFonts w:cs="Arial"/>
              </w:rPr>
              <w:t xml:space="preserve"> funds for </w:t>
            </w:r>
            <w:r>
              <w:rPr>
                <w:rFonts w:cs="Arial"/>
              </w:rPr>
              <w:t xml:space="preserve">the NGOs-led </w:t>
            </w:r>
            <w:r w:rsidRPr="00242F74">
              <w:rPr>
                <w:rFonts w:cs="Arial"/>
              </w:rPr>
              <w:t>TB</w:t>
            </w:r>
            <w:r>
              <w:rPr>
                <w:rFonts w:cs="Arial"/>
              </w:rPr>
              <w:t xml:space="preserve"> services in the mid-ter</w:t>
            </w:r>
            <w:r w:rsidR="00D41CB3">
              <w:rPr>
                <w:rFonts w:cs="Arial"/>
              </w:rPr>
              <w:t>m under the social contracting mechanism.</w:t>
            </w:r>
          </w:p>
          <w:p w14:paraId="2BB78219" w14:textId="77777777" w:rsidR="00242F74" w:rsidRDefault="00242F74" w:rsidP="00EC5AA0">
            <w:pPr>
              <w:spacing w:after="0" w:line="240" w:lineRule="auto"/>
              <w:jc w:val="both"/>
              <w:rPr>
                <w:rFonts w:cs="Arial"/>
              </w:rPr>
            </w:pPr>
          </w:p>
          <w:p w14:paraId="19963FFA" w14:textId="77777777" w:rsidR="003D4722" w:rsidRDefault="009F69F1" w:rsidP="00CB1A0B">
            <w:pPr>
              <w:spacing w:after="0" w:line="240" w:lineRule="auto"/>
              <w:jc w:val="both"/>
              <w:rPr>
                <w:rFonts w:cs="Arial"/>
              </w:rPr>
            </w:pPr>
            <w:r w:rsidRPr="007A59E0">
              <w:rPr>
                <w:rFonts w:cs="Arial"/>
              </w:rPr>
              <w:t xml:space="preserve">Based on feedback obtained from the local NGOs evolved in social contracting, the </w:t>
            </w:r>
            <w:r w:rsidR="00CB1A0B">
              <w:rPr>
                <w:rFonts w:cs="Arial"/>
              </w:rPr>
              <w:t>main challenges and lessons are</w:t>
            </w:r>
            <w:r w:rsidRPr="007A59E0">
              <w:rPr>
                <w:rFonts w:cs="Arial"/>
              </w:rPr>
              <w:t xml:space="preserve">: </w:t>
            </w:r>
          </w:p>
          <w:p w14:paraId="769A0527" w14:textId="4BA57EA4" w:rsidR="003D4722" w:rsidRPr="003D4722" w:rsidRDefault="009F69F1" w:rsidP="003D4722">
            <w:pPr>
              <w:pStyle w:val="affff3"/>
              <w:numPr>
                <w:ilvl w:val="0"/>
                <w:numId w:val="50"/>
              </w:numPr>
              <w:spacing w:after="0" w:line="240" w:lineRule="auto"/>
              <w:jc w:val="both"/>
              <w:rPr>
                <w:rFonts w:cs="Arial"/>
              </w:rPr>
            </w:pPr>
            <w:r w:rsidRPr="003D4722">
              <w:rPr>
                <w:rFonts w:cs="Arial"/>
              </w:rPr>
              <w:t xml:space="preserve">the need in having own funds to implement the social order as payroll should be no more than 40% of the contractual </w:t>
            </w:r>
            <w:proofErr w:type="gramStart"/>
            <w:r w:rsidRPr="003D4722">
              <w:rPr>
                <w:rFonts w:cs="Arial"/>
              </w:rPr>
              <w:t>amount;</w:t>
            </w:r>
            <w:proofErr w:type="gramEnd"/>
            <w:r w:rsidRPr="003D4722">
              <w:rPr>
                <w:rFonts w:cs="Arial"/>
              </w:rPr>
              <w:t xml:space="preserve"> </w:t>
            </w:r>
          </w:p>
          <w:p w14:paraId="3B9E4068" w14:textId="77777777" w:rsidR="003D4722" w:rsidRDefault="003D4722" w:rsidP="003D4722">
            <w:pPr>
              <w:pStyle w:val="affff3"/>
              <w:numPr>
                <w:ilvl w:val="0"/>
                <w:numId w:val="50"/>
              </w:numPr>
              <w:spacing w:after="0" w:line="240" w:lineRule="auto"/>
              <w:jc w:val="both"/>
              <w:rPr>
                <w:rFonts w:cs="Arial"/>
              </w:rPr>
            </w:pPr>
            <w:r>
              <w:rPr>
                <w:rFonts w:cs="Arial"/>
              </w:rPr>
              <w:t>(</w:t>
            </w:r>
            <w:proofErr w:type="gramStart"/>
            <w:r w:rsidR="009F69F1" w:rsidRPr="003D4722">
              <w:rPr>
                <w:rFonts w:cs="Arial"/>
              </w:rPr>
              <w:t>need</w:t>
            </w:r>
            <w:proofErr w:type="gramEnd"/>
            <w:r w:rsidR="009F69F1" w:rsidRPr="003D4722">
              <w:rPr>
                <w:rFonts w:cs="Arial"/>
              </w:rPr>
              <w:t xml:space="preserve"> in constant collaboration with the regional government and tracking the announcements regularly; </w:t>
            </w:r>
          </w:p>
          <w:p w14:paraId="52F23053" w14:textId="77777777" w:rsidR="003D4722" w:rsidRDefault="009F69F1" w:rsidP="003D4722">
            <w:pPr>
              <w:pStyle w:val="affff3"/>
              <w:numPr>
                <w:ilvl w:val="0"/>
                <w:numId w:val="50"/>
              </w:numPr>
              <w:spacing w:after="0" w:line="240" w:lineRule="auto"/>
              <w:jc w:val="both"/>
              <w:rPr>
                <w:rFonts w:cs="Arial"/>
              </w:rPr>
            </w:pPr>
            <w:r w:rsidRPr="003D4722">
              <w:rPr>
                <w:rFonts w:cs="Arial"/>
              </w:rPr>
              <w:t>be able to understand the specific terminology and capable of using an electronic system</w:t>
            </w:r>
            <w:r w:rsidR="003D4722">
              <w:rPr>
                <w:rFonts w:cs="Arial"/>
              </w:rPr>
              <w:t>; and</w:t>
            </w:r>
          </w:p>
          <w:p w14:paraId="068273D8" w14:textId="0B9BDE31" w:rsidR="00CB1A0B" w:rsidRPr="003D4722" w:rsidRDefault="003D4722" w:rsidP="003D4722">
            <w:pPr>
              <w:pStyle w:val="affff3"/>
              <w:numPr>
                <w:ilvl w:val="0"/>
                <w:numId w:val="50"/>
              </w:numPr>
              <w:spacing w:after="0" w:line="240" w:lineRule="auto"/>
              <w:jc w:val="both"/>
              <w:rPr>
                <w:rFonts w:cs="Arial"/>
              </w:rPr>
            </w:pPr>
            <w:r>
              <w:rPr>
                <w:rFonts w:cs="Arial"/>
              </w:rPr>
              <w:t>afford the nominal fees</w:t>
            </w:r>
            <w:r w:rsidR="009F69F1" w:rsidRPr="003D4722">
              <w:rPr>
                <w:rFonts w:cs="Arial"/>
              </w:rPr>
              <w:t xml:space="preserve"> introduced</w:t>
            </w:r>
            <w:r>
              <w:rPr>
                <w:rFonts w:cs="Arial"/>
              </w:rPr>
              <w:t xml:space="preserve"> recently</w:t>
            </w:r>
            <w:r w:rsidR="009F69F1" w:rsidRPr="003D4722">
              <w:rPr>
                <w:rFonts w:cs="Arial"/>
              </w:rPr>
              <w:t xml:space="preserve"> for the services of the electronic portal on “Public Procurement.” </w:t>
            </w:r>
          </w:p>
          <w:p w14:paraId="57544EE6" w14:textId="77777777" w:rsidR="00D41CB3" w:rsidRDefault="00D41CB3" w:rsidP="00CB1A0B">
            <w:pPr>
              <w:spacing w:after="0" w:line="240" w:lineRule="auto"/>
              <w:jc w:val="both"/>
              <w:rPr>
                <w:rFonts w:cs="Arial"/>
              </w:rPr>
            </w:pPr>
          </w:p>
          <w:p w14:paraId="5863BCAC" w14:textId="3924ADB5" w:rsidR="00D41CB3" w:rsidRDefault="00D41CB3" w:rsidP="00CB1A0B">
            <w:pPr>
              <w:spacing w:after="0" w:line="240" w:lineRule="auto"/>
              <w:jc w:val="both"/>
              <w:rPr>
                <w:rFonts w:cs="Arial"/>
              </w:rPr>
            </w:pPr>
            <w:r>
              <w:rPr>
                <w:rFonts w:cs="Arial"/>
              </w:rPr>
              <w:t xml:space="preserve">It is worth mentioning that the local government allocation for TB patients’ social support scheme was increased from KZT1,494 million in 2019 to estimated KZT1,761 million in </w:t>
            </w:r>
            <w:r w:rsidRPr="002E5FA9">
              <w:rPr>
                <w:rFonts w:cs="Arial"/>
              </w:rPr>
              <w:t>2021</w:t>
            </w:r>
            <w:r w:rsidR="00691319">
              <w:rPr>
                <w:rFonts w:cs="Arial"/>
              </w:rPr>
              <w:t xml:space="preserve"> (KZT1,321 million was spent in nine-months of 2021).</w:t>
            </w:r>
          </w:p>
          <w:p w14:paraId="7A5C1554" w14:textId="77777777" w:rsidR="004B3B81" w:rsidRDefault="004B3B81" w:rsidP="00CB1A0B">
            <w:pPr>
              <w:spacing w:after="0" w:line="240" w:lineRule="auto"/>
              <w:jc w:val="both"/>
              <w:rPr>
                <w:rFonts w:cs="Arial"/>
              </w:rPr>
            </w:pPr>
          </w:p>
          <w:p w14:paraId="090728D4" w14:textId="40FB5F43" w:rsidR="005E3103" w:rsidRPr="002A6C05" w:rsidRDefault="005E3103" w:rsidP="002A6C05">
            <w:pPr>
              <w:spacing w:before="360" w:after="240" w:line="240" w:lineRule="auto"/>
              <w:jc w:val="both"/>
              <w:rPr>
                <w:rFonts w:cs="Arial"/>
                <w:bCs/>
                <w:smallCaps/>
              </w:rPr>
            </w:pPr>
            <w:r w:rsidRPr="002A6C05">
              <w:rPr>
                <w:rFonts w:cs="Arial"/>
                <w:b/>
                <w:bCs/>
                <w:smallCaps/>
              </w:rPr>
              <w:t>Human Resources for Health (HRH)</w:t>
            </w:r>
          </w:p>
          <w:p w14:paraId="4A26DFFD" w14:textId="3CCAE272" w:rsidR="005E3103" w:rsidRDefault="005E3103" w:rsidP="00BC2E3A">
            <w:pPr>
              <w:spacing w:after="0" w:line="240" w:lineRule="auto"/>
              <w:jc w:val="both"/>
              <w:rPr>
                <w:rFonts w:cs="Arial"/>
              </w:rPr>
            </w:pPr>
            <w:r w:rsidRPr="00504F64">
              <w:rPr>
                <w:rFonts w:cs="Arial"/>
              </w:rPr>
              <w:t>A well-functioning healthcare system requires an adequate number of qualified and motivated health workers. Though the health workers have been in the spotlight of the policy dialogue for years in the country, the HRH planning has attracted increasing attention from the health policymakers in recent years. The country is refining the HRH policy to address workforce supply, education, training, management of performance, working conditions, and remuneration approaches. To guarantee the equitable distribution of the medical workforce, differ</w:t>
            </w:r>
            <w:r w:rsidR="00CC03CB">
              <w:rPr>
                <w:rFonts w:cs="Arial"/>
              </w:rPr>
              <w:t>ent policy options are discussing</w:t>
            </w:r>
            <w:r w:rsidRPr="00504F64">
              <w:rPr>
                <w:rFonts w:cs="Arial"/>
              </w:rPr>
              <w:t>, including training opportunities, rotation programs, and financial incentives for staff deployment to rural areas. Enhancing the system of professional certification and licensing of doctors and nurses, improving quality of training and continuous professional development of health workers, and developing biomedical research are among the implementation objectives of the health strategy</w:t>
            </w:r>
            <w:r w:rsidR="00CC03CB" w:rsidRPr="00504F64">
              <w:rPr>
                <w:rFonts w:cs="Arial"/>
              </w:rPr>
              <w:t xml:space="preserve"> </w:t>
            </w:r>
            <w:r w:rsidR="00CC03CB">
              <w:rPr>
                <w:rFonts w:cs="Arial"/>
              </w:rPr>
              <w:t xml:space="preserve">in </w:t>
            </w:r>
            <w:r w:rsidR="00CC03CB" w:rsidRPr="00504F64">
              <w:rPr>
                <w:rFonts w:cs="Arial"/>
              </w:rPr>
              <w:t>mid-term</w:t>
            </w:r>
            <w:r w:rsidRPr="00504F64">
              <w:rPr>
                <w:rFonts w:cs="Arial"/>
              </w:rPr>
              <w:t xml:space="preserve">. </w:t>
            </w:r>
          </w:p>
          <w:p w14:paraId="0285E5A3" w14:textId="77777777" w:rsidR="00BC2E3A" w:rsidRPr="00504F64" w:rsidRDefault="00BC2E3A" w:rsidP="00BC2E3A">
            <w:pPr>
              <w:spacing w:after="0" w:line="240" w:lineRule="auto"/>
              <w:jc w:val="both"/>
              <w:rPr>
                <w:rFonts w:cs="Arial"/>
              </w:rPr>
            </w:pPr>
          </w:p>
          <w:p w14:paraId="54102A43" w14:textId="327B6C43" w:rsidR="005E3103" w:rsidRDefault="005E3103" w:rsidP="00BC2E3A">
            <w:pPr>
              <w:spacing w:after="0" w:line="240" w:lineRule="auto"/>
              <w:jc w:val="both"/>
              <w:rPr>
                <w:rFonts w:cs="Arial"/>
              </w:rPr>
            </w:pPr>
            <w:r w:rsidRPr="00504F64">
              <w:rPr>
                <w:rFonts w:cs="Arial"/>
              </w:rPr>
              <w:t>In line with the Code</w:t>
            </w:r>
            <w:r w:rsidR="00C06EEC">
              <w:rPr>
                <w:rFonts w:cs="Arial"/>
              </w:rPr>
              <w:t xml:space="preserve"> on</w:t>
            </w:r>
            <w:r w:rsidR="00C06EEC" w:rsidRPr="007A59E0">
              <w:rPr>
                <w:rFonts w:cs="Arial"/>
              </w:rPr>
              <w:t xml:space="preserve"> health and the health care sy</w:t>
            </w:r>
            <w:r w:rsidR="00C06EEC">
              <w:rPr>
                <w:rFonts w:cs="Arial"/>
              </w:rPr>
              <w:t>stem</w:t>
            </w:r>
            <w:r w:rsidRPr="00504F64">
              <w:rPr>
                <w:rFonts w:cs="Arial"/>
              </w:rPr>
              <w:t>, Kazakhstan is developing a national HRH registry that supplies data on certified healthcare professionals for monitoring and forecasting, human capital planning, a</w:t>
            </w:r>
            <w:r w:rsidR="00CC03CB">
              <w:rPr>
                <w:rFonts w:cs="Arial"/>
              </w:rPr>
              <w:t xml:space="preserve">nd development. </w:t>
            </w:r>
            <w:r w:rsidRPr="00504F64">
              <w:rPr>
                <w:rFonts w:cs="Arial"/>
              </w:rPr>
              <w:t>The National Coordinator</w:t>
            </w:r>
            <w:r w:rsidRPr="00504F64">
              <w:rPr>
                <w:rStyle w:val="af"/>
                <w:rFonts w:cs="Arial"/>
              </w:rPr>
              <w:footnoteReference w:id="30"/>
            </w:r>
            <w:r w:rsidRPr="00504F64">
              <w:rPr>
                <w:rFonts w:cs="Arial"/>
              </w:rPr>
              <w:t xml:space="preserve"> carries out human resources accounting and analysis for HRH. Healthcare workers are certified following their participation in the training and/or additional comp</w:t>
            </w:r>
            <w:r w:rsidR="00CC03CB">
              <w:rPr>
                <w:rFonts w:cs="Arial"/>
              </w:rPr>
              <w:t>etencies every five years. The Personnel M</w:t>
            </w:r>
            <w:r w:rsidRPr="00504F64">
              <w:rPr>
                <w:rFonts w:cs="Arial"/>
              </w:rPr>
              <w:t xml:space="preserve">anagement </w:t>
            </w:r>
            <w:r w:rsidR="00CC03CB">
              <w:rPr>
                <w:rFonts w:cs="Arial"/>
              </w:rPr>
              <w:t>Service and the Head of the Medical O</w:t>
            </w:r>
            <w:r w:rsidRPr="00504F64">
              <w:rPr>
                <w:rFonts w:cs="Arial"/>
              </w:rPr>
              <w:t>rganization confirm the results of continuous professional development of the staff as per centrally adopted procedures and criteria</w:t>
            </w:r>
            <w:r w:rsidRPr="00504F64">
              <w:rPr>
                <w:rStyle w:val="af"/>
                <w:rFonts w:cs="Arial"/>
              </w:rPr>
              <w:footnoteReference w:id="31"/>
            </w:r>
            <w:r w:rsidRPr="00504F64">
              <w:rPr>
                <w:rFonts w:cs="Arial"/>
              </w:rPr>
              <w:t>. Also, the MoH defines the rules for additional and informal education, such as seminars or workshops, online sessions, and training of health professionals, qualification requirements of institutions</w:t>
            </w:r>
            <w:r w:rsidR="00246261">
              <w:rPr>
                <w:rFonts w:cs="Arial"/>
              </w:rPr>
              <w:t xml:space="preserve">, including </w:t>
            </w:r>
            <w:r w:rsidR="00246261" w:rsidRPr="00A12359">
              <w:rPr>
                <w:rFonts w:cs="Arial"/>
              </w:rPr>
              <w:t xml:space="preserve">National Scientific Center of Phthisiopulmonology </w:t>
            </w:r>
            <w:r w:rsidR="00246261">
              <w:rPr>
                <w:rFonts w:cs="Arial"/>
              </w:rPr>
              <w:t xml:space="preserve">(NSCP), </w:t>
            </w:r>
            <w:proofErr w:type="gramStart"/>
            <w:r w:rsidRPr="00504F64">
              <w:rPr>
                <w:rFonts w:cs="Arial"/>
              </w:rPr>
              <w:t>organizing</w:t>
            </w:r>
            <w:proofErr w:type="gramEnd"/>
            <w:r w:rsidRPr="00504F64">
              <w:rPr>
                <w:rFonts w:cs="Arial"/>
              </w:rPr>
              <w:t xml:space="preserve"> and implementing such training</w:t>
            </w:r>
            <w:r>
              <w:rPr>
                <w:rFonts w:cs="Arial"/>
              </w:rPr>
              <w:t xml:space="preserve"> sessions</w:t>
            </w:r>
            <w:r w:rsidRPr="00504F64">
              <w:rPr>
                <w:rFonts w:cs="Arial"/>
              </w:rPr>
              <w:t xml:space="preserve">, along with the results’ recognition system. </w:t>
            </w:r>
          </w:p>
          <w:p w14:paraId="65C75390" w14:textId="77777777" w:rsidR="00BC2E3A" w:rsidRPr="00504F64" w:rsidRDefault="00BC2E3A" w:rsidP="00BC2E3A">
            <w:pPr>
              <w:spacing w:after="0" w:line="240" w:lineRule="auto"/>
              <w:jc w:val="both"/>
              <w:rPr>
                <w:rFonts w:cs="Arial"/>
              </w:rPr>
            </w:pPr>
          </w:p>
          <w:p w14:paraId="2067E7EF" w14:textId="2D78DB0A" w:rsidR="005E3103" w:rsidRDefault="005E3103" w:rsidP="00BC2E3A">
            <w:pPr>
              <w:spacing w:after="0" w:line="240" w:lineRule="auto"/>
              <w:jc w:val="both"/>
              <w:rPr>
                <w:rFonts w:cs="Arial"/>
              </w:rPr>
            </w:pPr>
            <w:r w:rsidRPr="00504F64">
              <w:rPr>
                <w:rFonts w:cs="Arial"/>
              </w:rPr>
              <w:t>Overall, Kazakhstan has more than 248,000 certified health professionals, broken down into 72,877 for doctors and 175,705 nurses/paramedical workers. According to the most recent MoH data, the country has 3.96 physicians per 1,000 of its population, compared to the 3.3 OECD average. The density of paramedical workers, including nurses, made up 9.55 per 1,000 population compared to 9.1 OECD data. The nurse-to-doctor ratio forms 2.4:1. Despite the increase in health workers production, there is a marked difference in health workforce distribution between urban and rural areas: 5.68 physicians per 1,000 population are in cities compared with 1.61 in rural health care facilities. Nearly 83% of all doctors are concentrated in the city’s clinics.  T</w:t>
            </w:r>
            <w:r>
              <w:rPr>
                <w:rFonts w:cs="Arial"/>
              </w:rPr>
              <w:t xml:space="preserve">o address </w:t>
            </w:r>
            <w:proofErr w:type="gramStart"/>
            <w:r>
              <w:rPr>
                <w:rFonts w:cs="Arial"/>
              </w:rPr>
              <w:t>physicians</w:t>
            </w:r>
            <w:proofErr w:type="gramEnd"/>
            <w:r>
              <w:rPr>
                <w:rFonts w:cs="Arial"/>
              </w:rPr>
              <w:t xml:space="preserve"> gap, th</w:t>
            </w:r>
            <w:r w:rsidRPr="00504F64">
              <w:rPr>
                <w:rFonts w:cs="Arial"/>
              </w:rPr>
              <w:t xml:space="preserve">e country has introduced a compulsory three-year service in public healthcare facilities through funds allocated from the republican and local budgets. In parallel, the government implements the measures to strengthen the value placed on healthcare services by a set of interventions including an annual increase in wages, enhancing social support, and incentive schemes to attract young specialists to deploy in rural areas. In 2018, the ratio of the average physician earnings to the average salary in the economy made up 0.93:1 compared to 3:1 value of the same indicator </w:t>
            </w:r>
            <w:r w:rsidR="00CC03CB">
              <w:rPr>
                <w:rFonts w:cs="Arial"/>
              </w:rPr>
              <w:t xml:space="preserve">in </w:t>
            </w:r>
            <w:r w:rsidRPr="00504F64">
              <w:rPr>
                <w:rFonts w:cs="Arial"/>
              </w:rPr>
              <w:t xml:space="preserve">the OECD countries. </w:t>
            </w:r>
          </w:p>
          <w:p w14:paraId="563A6026" w14:textId="77777777" w:rsidR="00A91FE5" w:rsidRPr="00504F64" w:rsidRDefault="00A91FE5" w:rsidP="00BC2E3A">
            <w:pPr>
              <w:spacing w:after="0" w:line="240" w:lineRule="auto"/>
              <w:jc w:val="both"/>
              <w:rPr>
                <w:rFonts w:cs="Arial"/>
              </w:rPr>
            </w:pPr>
          </w:p>
          <w:p w14:paraId="4D397CF0" w14:textId="3987CCF8" w:rsidR="005E3103" w:rsidRPr="00504F64" w:rsidRDefault="005E3103" w:rsidP="006A2084">
            <w:pPr>
              <w:spacing w:after="0" w:line="240" w:lineRule="auto"/>
              <w:jc w:val="both"/>
              <w:rPr>
                <w:rFonts w:cs="Arial"/>
              </w:rPr>
            </w:pPr>
            <w:r w:rsidRPr="00504F64">
              <w:rPr>
                <w:rFonts w:cs="Arial"/>
              </w:rPr>
              <w:t xml:space="preserve">The greatest deficit </w:t>
            </w:r>
            <w:r>
              <w:rPr>
                <w:rFonts w:cs="Arial"/>
              </w:rPr>
              <w:t xml:space="preserve">in regions </w:t>
            </w:r>
            <w:r w:rsidRPr="00504F64">
              <w:rPr>
                <w:rFonts w:cs="Arial"/>
              </w:rPr>
              <w:t>is observed in the specialties, including general medical practice (family medicine). The GP population ratio (normative) was revisited, and more than 1,629 additional GP practices were opened in 2019, serving up to 1,800 enrolled populations</w:t>
            </w:r>
            <w:r w:rsidR="00CC03CB">
              <w:rPr>
                <w:rFonts w:cs="Arial"/>
              </w:rPr>
              <w:t xml:space="preserve"> per practice</w:t>
            </w:r>
            <w:r w:rsidRPr="00504F64">
              <w:rPr>
                <w:rFonts w:cs="Arial"/>
              </w:rPr>
              <w:t>. The average growth of GPs is estimated at 6%</w:t>
            </w:r>
            <w:r w:rsidRPr="00504F64">
              <w:rPr>
                <w:rStyle w:val="af"/>
                <w:rFonts w:cs="Arial"/>
              </w:rPr>
              <w:footnoteReference w:id="32"/>
            </w:r>
            <w:r w:rsidR="00A91FE5">
              <w:rPr>
                <w:rFonts w:cs="Arial"/>
              </w:rPr>
              <w:t xml:space="preserve"> </w:t>
            </w:r>
            <w:r>
              <w:rPr>
                <w:rFonts w:cs="Arial"/>
              </w:rPr>
              <w:t>aligned to</w:t>
            </w:r>
            <w:r w:rsidRPr="00504F64">
              <w:rPr>
                <w:rFonts w:cs="Arial"/>
              </w:rPr>
              <w:t xml:space="preserve"> demographic changes and </w:t>
            </w:r>
            <w:r>
              <w:rPr>
                <w:rFonts w:cs="Arial"/>
              </w:rPr>
              <w:t xml:space="preserve">need to </w:t>
            </w:r>
            <w:r w:rsidRPr="00504F64">
              <w:rPr>
                <w:rFonts w:cs="Arial"/>
              </w:rPr>
              <w:t>balance the number of assigned population</w:t>
            </w:r>
            <w:r w:rsidR="00CC03CB">
              <w:rPr>
                <w:rFonts w:cs="Arial"/>
              </w:rPr>
              <w:t>.</w:t>
            </w:r>
            <w:r w:rsidRPr="00504F64">
              <w:rPr>
                <w:rFonts w:cs="Arial"/>
              </w:rPr>
              <w:t xml:space="preserve"> There are norms established for multidisciplinary doctors’ teams at the PHC level: </w:t>
            </w:r>
          </w:p>
          <w:p w14:paraId="317AD71C" w14:textId="77777777" w:rsidR="005E3103" w:rsidRPr="001A7C62" w:rsidRDefault="005E3103" w:rsidP="006A0E08">
            <w:pPr>
              <w:pStyle w:val="affff3"/>
              <w:numPr>
                <w:ilvl w:val="0"/>
                <w:numId w:val="47"/>
              </w:numPr>
              <w:spacing w:after="0" w:line="240" w:lineRule="auto"/>
              <w:jc w:val="both"/>
              <w:rPr>
                <w:rFonts w:cs="Arial"/>
              </w:rPr>
            </w:pPr>
            <w:r w:rsidRPr="001A7C62">
              <w:rPr>
                <w:rFonts w:cs="Arial"/>
              </w:rPr>
              <w:t>1,700 population per a GP (nurse to GP ratio: 3:1</w:t>
            </w:r>
            <w:proofErr w:type="gramStart"/>
            <w:r w:rsidRPr="001A7C62">
              <w:rPr>
                <w:rFonts w:cs="Arial"/>
              </w:rPr>
              <w:t>);</w:t>
            </w:r>
            <w:proofErr w:type="gramEnd"/>
            <w:r w:rsidRPr="001A7C62">
              <w:rPr>
                <w:rFonts w:cs="Arial"/>
              </w:rPr>
              <w:t xml:space="preserve"> </w:t>
            </w:r>
          </w:p>
          <w:p w14:paraId="509B116E" w14:textId="77777777" w:rsidR="005E3103" w:rsidRPr="001A7C62" w:rsidRDefault="005E3103" w:rsidP="006A0E08">
            <w:pPr>
              <w:pStyle w:val="affff3"/>
              <w:numPr>
                <w:ilvl w:val="0"/>
                <w:numId w:val="47"/>
              </w:numPr>
              <w:spacing w:after="0" w:line="240" w:lineRule="auto"/>
              <w:jc w:val="both"/>
              <w:rPr>
                <w:rFonts w:cs="Arial"/>
              </w:rPr>
            </w:pPr>
            <w:r w:rsidRPr="001A7C62">
              <w:rPr>
                <w:rFonts w:cs="Arial"/>
              </w:rPr>
              <w:t xml:space="preserve">10,000 population per social </w:t>
            </w:r>
            <w:proofErr w:type="gramStart"/>
            <w:r w:rsidRPr="001A7C62">
              <w:rPr>
                <w:rFonts w:cs="Arial"/>
              </w:rPr>
              <w:t>worker;</w:t>
            </w:r>
            <w:proofErr w:type="gramEnd"/>
            <w:r w:rsidRPr="001A7C62">
              <w:rPr>
                <w:rFonts w:cs="Arial"/>
              </w:rPr>
              <w:t xml:space="preserve"> </w:t>
            </w:r>
          </w:p>
          <w:p w14:paraId="67F89501" w14:textId="77777777" w:rsidR="005E3103" w:rsidRPr="001A7C62" w:rsidRDefault="005E3103" w:rsidP="006A0E08">
            <w:pPr>
              <w:pStyle w:val="affff3"/>
              <w:numPr>
                <w:ilvl w:val="0"/>
                <w:numId w:val="47"/>
              </w:numPr>
              <w:spacing w:after="0" w:line="240" w:lineRule="auto"/>
              <w:jc w:val="both"/>
              <w:rPr>
                <w:rFonts w:cs="Arial"/>
              </w:rPr>
            </w:pPr>
            <w:r w:rsidRPr="001A7C62">
              <w:rPr>
                <w:rFonts w:cs="Arial"/>
              </w:rPr>
              <w:t>10,000 population per a psychologist</w:t>
            </w:r>
          </w:p>
          <w:p w14:paraId="467944B8" w14:textId="77777777" w:rsidR="005E3103" w:rsidRPr="001A7C62" w:rsidRDefault="005E3103" w:rsidP="006A0E08">
            <w:pPr>
              <w:pStyle w:val="affff3"/>
              <w:numPr>
                <w:ilvl w:val="0"/>
                <w:numId w:val="47"/>
              </w:numPr>
              <w:spacing w:after="0" w:line="240" w:lineRule="auto"/>
              <w:jc w:val="both"/>
              <w:rPr>
                <w:rFonts w:cs="Arial"/>
              </w:rPr>
            </w:pPr>
            <w:r w:rsidRPr="001A7C62">
              <w:rPr>
                <w:rFonts w:cs="Arial"/>
              </w:rPr>
              <w:t>10,000 per 0.4 FTE of the territorial phthisiatrician</w:t>
            </w:r>
          </w:p>
          <w:p w14:paraId="354E1C43" w14:textId="77777777" w:rsidR="005E3103" w:rsidRPr="00504F64" w:rsidRDefault="005E3103" w:rsidP="006A2084">
            <w:pPr>
              <w:spacing w:after="0" w:line="240" w:lineRule="auto"/>
              <w:jc w:val="both"/>
              <w:rPr>
                <w:rFonts w:cs="Arial"/>
              </w:rPr>
            </w:pPr>
          </w:p>
          <w:p w14:paraId="109F12E1" w14:textId="77777777" w:rsidR="005E3103" w:rsidRDefault="005E3103" w:rsidP="006A2084">
            <w:pPr>
              <w:spacing w:after="0" w:line="240" w:lineRule="auto"/>
              <w:jc w:val="both"/>
              <w:rPr>
                <w:rFonts w:cs="Arial"/>
              </w:rPr>
            </w:pPr>
            <w:r w:rsidRPr="00504F64">
              <w:rPr>
                <w:rFonts w:cs="Arial"/>
              </w:rPr>
              <w:t>However, these norms are not strictly adhered to, particularly in regions with a shortage of PHC physicians.</w:t>
            </w:r>
          </w:p>
          <w:p w14:paraId="5DFAA6FC" w14:textId="77777777" w:rsidR="00A91FE5" w:rsidRDefault="00A91FE5" w:rsidP="006A2084">
            <w:pPr>
              <w:spacing w:after="0" w:line="240" w:lineRule="auto"/>
              <w:jc w:val="both"/>
              <w:rPr>
                <w:rFonts w:cs="Arial"/>
              </w:rPr>
            </w:pPr>
          </w:p>
          <w:p w14:paraId="03691EAE" w14:textId="3B4E9126" w:rsidR="00457134" w:rsidRDefault="004A5EDE" w:rsidP="006A2084">
            <w:pPr>
              <w:spacing w:after="0" w:line="240" w:lineRule="auto"/>
              <w:jc w:val="both"/>
              <w:rPr>
                <w:rFonts w:cs="Arial"/>
              </w:rPr>
            </w:pPr>
            <w:r w:rsidRPr="004A5EDE">
              <w:rPr>
                <w:rFonts w:asciiTheme="majorHAnsi" w:eastAsia="Times New Roman" w:hAnsiTheme="majorHAnsi" w:cstheme="majorHAnsi"/>
              </w:rPr>
              <w:t xml:space="preserve">More than 23% of TB specialists are close to retirement, while the inflow of young physicians/graduates into the phthisiology field has drastically decreased. Strengthening of human resources for TB control is among the priorities of the </w:t>
            </w:r>
            <w:r w:rsidR="00A91FE5">
              <w:rPr>
                <w:rFonts w:asciiTheme="majorHAnsi" w:eastAsia="Times New Roman" w:hAnsiTheme="majorHAnsi" w:cstheme="majorHAnsi"/>
              </w:rPr>
              <w:t xml:space="preserve">draft </w:t>
            </w:r>
            <w:r w:rsidR="00A91FE5">
              <w:rPr>
                <w:rFonts w:cs="Arial"/>
              </w:rPr>
              <w:t>2022-2026 Comprehensive Plan on Respiratory H</w:t>
            </w:r>
            <w:r w:rsidR="00A91FE5" w:rsidRPr="00FF157C">
              <w:rPr>
                <w:rFonts w:cs="Arial"/>
              </w:rPr>
              <w:t>ealth</w:t>
            </w:r>
            <w:r w:rsidRPr="004A5EDE">
              <w:rPr>
                <w:rFonts w:asciiTheme="majorHAnsi" w:eastAsia="Times New Roman" w:hAnsiTheme="majorHAnsi" w:cstheme="majorHAnsi"/>
              </w:rPr>
              <w:t xml:space="preserve">, which envisages different policy options including education opportunities, integration of phthisiology into broader medical </w:t>
            </w:r>
            <w:r w:rsidR="00A91FE5">
              <w:rPr>
                <w:rFonts w:asciiTheme="majorHAnsi" w:eastAsia="Times New Roman" w:hAnsiTheme="majorHAnsi" w:cstheme="majorHAnsi"/>
              </w:rPr>
              <w:t>disciplines such as pulmonology,</w:t>
            </w:r>
            <w:r w:rsidRPr="004A5EDE">
              <w:rPr>
                <w:rFonts w:asciiTheme="majorHAnsi" w:eastAsia="Times New Roman" w:hAnsiTheme="majorHAnsi" w:cstheme="majorHAnsi"/>
              </w:rPr>
              <w:t xml:space="preserve"> retraining of PHC staff to get extra skills in TB control, the introduction of </w:t>
            </w:r>
            <w:r>
              <w:rPr>
                <w:rFonts w:asciiTheme="majorHAnsi" w:eastAsia="Times New Roman" w:hAnsiTheme="majorHAnsi" w:cstheme="majorHAnsi"/>
              </w:rPr>
              <w:t xml:space="preserve">the </w:t>
            </w:r>
            <w:r w:rsidRPr="004A5EDE">
              <w:rPr>
                <w:rFonts w:asciiTheme="majorHAnsi" w:eastAsia="Times New Roman" w:hAnsiTheme="majorHAnsi" w:cstheme="majorHAnsi"/>
              </w:rPr>
              <w:t>M&amp;E</w:t>
            </w:r>
            <w:r>
              <w:rPr>
                <w:rFonts w:asciiTheme="majorHAnsi" w:eastAsia="Times New Roman" w:hAnsiTheme="majorHAnsi" w:cstheme="majorHAnsi"/>
              </w:rPr>
              <w:t xml:space="preserve"> Specialist’</w:t>
            </w:r>
            <w:r w:rsidRPr="004A5EDE">
              <w:rPr>
                <w:rFonts w:asciiTheme="majorHAnsi" w:eastAsia="Times New Roman" w:hAnsiTheme="majorHAnsi" w:cstheme="majorHAnsi"/>
              </w:rPr>
              <w:t xml:space="preserve"> position in</w:t>
            </w:r>
            <w:r>
              <w:rPr>
                <w:rFonts w:asciiTheme="majorHAnsi" w:eastAsia="Times New Roman" w:hAnsiTheme="majorHAnsi" w:cstheme="majorHAnsi"/>
              </w:rPr>
              <w:t>to</w:t>
            </w:r>
            <w:r w:rsidRPr="004A5EDE">
              <w:rPr>
                <w:rFonts w:asciiTheme="majorHAnsi" w:eastAsia="Times New Roman" w:hAnsiTheme="majorHAnsi" w:cstheme="majorHAnsi"/>
              </w:rPr>
              <w:t xml:space="preserve"> the staffing schedule, and financial incentives</w:t>
            </w:r>
            <w:r w:rsidR="00087E10">
              <w:rPr>
                <w:rFonts w:asciiTheme="majorHAnsi" w:eastAsia="Times New Roman" w:hAnsiTheme="majorHAnsi" w:cstheme="majorHAnsi"/>
              </w:rPr>
              <w:t xml:space="preserve"> to retain young specialists</w:t>
            </w:r>
            <w:r w:rsidR="00A91FE5">
              <w:rPr>
                <w:rFonts w:asciiTheme="majorHAnsi" w:eastAsia="Times New Roman" w:hAnsiTheme="majorHAnsi" w:cstheme="majorHAnsi"/>
              </w:rPr>
              <w:t xml:space="preserve"> in the TB Service</w:t>
            </w:r>
            <w:r w:rsidR="00087E10">
              <w:rPr>
                <w:rFonts w:asciiTheme="majorHAnsi" w:eastAsia="Times New Roman" w:hAnsiTheme="majorHAnsi" w:cstheme="majorHAnsi"/>
              </w:rPr>
              <w:t xml:space="preserve">. </w:t>
            </w:r>
          </w:p>
          <w:p w14:paraId="7CA2BDE1" w14:textId="1C40F7A4" w:rsidR="00007BFF" w:rsidRDefault="00A3327B" w:rsidP="006833AB">
            <w:pPr>
              <w:spacing w:before="360" w:after="240" w:line="240" w:lineRule="auto"/>
              <w:jc w:val="both"/>
              <w:rPr>
                <w:rFonts w:cs="Arial"/>
                <w:b/>
                <w:bCs/>
                <w:smallCaps/>
              </w:rPr>
            </w:pPr>
            <w:r w:rsidRPr="006833AB">
              <w:rPr>
                <w:rFonts w:cs="Arial"/>
                <w:b/>
                <w:bCs/>
                <w:smallCaps/>
              </w:rPr>
              <w:t>Tuberculosis</w:t>
            </w:r>
            <w:r w:rsidR="00007BFF" w:rsidRPr="006833AB">
              <w:rPr>
                <w:rFonts w:cs="Arial"/>
                <w:b/>
                <w:bCs/>
                <w:smallCaps/>
              </w:rPr>
              <w:t xml:space="preserve"> context</w:t>
            </w:r>
          </w:p>
          <w:p w14:paraId="6293E3A5" w14:textId="5E9120BC" w:rsidR="00B1605A" w:rsidRPr="00B1605A" w:rsidRDefault="00B1605A" w:rsidP="006833AB">
            <w:pPr>
              <w:spacing w:before="360" w:after="240" w:line="240" w:lineRule="auto"/>
              <w:jc w:val="both"/>
              <w:rPr>
                <w:rFonts w:cs="Arial"/>
                <w:b/>
                <w:bCs/>
                <w:smallCaps/>
              </w:rPr>
            </w:pPr>
            <w:r w:rsidRPr="00B1605A">
              <w:rPr>
                <w:rFonts w:asciiTheme="majorHAnsi" w:hAnsiTheme="majorHAnsi" w:cstheme="majorHAnsi"/>
                <w:b/>
              </w:rPr>
              <w:t>TB epidemic</w:t>
            </w:r>
          </w:p>
          <w:p w14:paraId="4A78E829" w14:textId="2351CC98" w:rsidR="00D522EB" w:rsidRDefault="004E51D8" w:rsidP="0079175F">
            <w:pPr>
              <w:pStyle w:val="affff9"/>
              <w:spacing w:after="0" w:line="240" w:lineRule="auto"/>
              <w:jc w:val="both"/>
              <w:rPr>
                <w:rFonts w:asciiTheme="majorHAnsi" w:eastAsia="SourceSerifPro-Regular" w:hAnsiTheme="majorHAnsi"/>
                <w:sz w:val="22"/>
                <w:szCs w:val="22"/>
              </w:rPr>
            </w:pPr>
            <w:r w:rsidRPr="00E934B7">
              <w:rPr>
                <w:rFonts w:asciiTheme="majorHAnsi" w:eastAsia="SourceSerifPro-Regular" w:hAnsiTheme="majorHAnsi"/>
                <w:sz w:val="22"/>
                <w:szCs w:val="22"/>
              </w:rPr>
              <w:t>Kazakhstan has classified by the WHO as a country with the highest TB notification</w:t>
            </w:r>
            <w:r w:rsidR="0045066A">
              <w:rPr>
                <w:rFonts w:asciiTheme="majorHAnsi" w:eastAsia="SourceSerifPro-Regular" w:hAnsiTheme="majorHAnsi"/>
                <w:sz w:val="22"/>
                <w:szCs w:val="22"/>
              </w:rPr>
              <w:t xml:space="preserve"> of new and relapse</w:t>
            </w:r>
            <w:r w:rsidR="004E708C">
              <w:rPr>
                <w:rFonts w:asciiTheme="majorHAnsi" w:eastAsia="SourceSerifPro-Regular" w:hAnsiTheme="majorHAnsi"/>
                <w:sz w:val="22"/>
                <w:szCs w:val="22"/>
              </w:rPr>
              <w:t xml:space="preserve"> cases</w:t>
            </w:r>
            <w:r w:rsidRPr="00E934B7">
              <w:rPr>
                <w:rFonts w:asciiTheme="majorHAnsi" w:eastAsia="SourceSerifPro-Regular" w:hAnsiTheme="majorHAnsi"/>
                <w:sz w:val="22"/>
                <w:szCs w:val="22"/>
              </w:rPr>
              <w:t xml:space="preserve"> in the European Region</w:t>
            </w:r>
            <w:r w:rsidR="004E708C">
              <w:rPr>
                <w:rStyle w:val="af"/>
                <w:rFonts w:asciiTheme="majorHAnsi" w:eastAsia="SourceSerifPro-Regular" w:hAnsiTheme="majorHAnsi"/>
                <w:sz w:val="22"/>
                <w:szCs w:val="22"/>
              </w:rPr>
              <w:footnoteReference w:id="33"/>
            </w:r>
            <w:r>
              <w:rPr>
                <w:rFonts w:asciiTheme="majorHAnsi" w:eastAsia="SourceSerifPro-Regular" w:hAnsiTheme="majorHAnsi"/>
                <w:sz w:val="22"/>
                <w:szCs w:val="22"/>
              </w:rPr>
              <w:t xml:space="preserve"> </w:t>
            </w:r>
            <w:r w:rsidRPr="00E934B7">
              <w:rPr>
                <w:rFonts w:asciiTheme="majorHAnsi" w:eastAsia="SourceSerifPro-Regular" w:hAnsiTheme="majorHAnsi"/>
                <w:sz w:val="22"/>
                <w:szCs w:val="22"/>
              </w:rPr>
              <w:t xml:space="preserve">and as one </w:t>
            </w:r>
            <w:r w:rsidRPr="00273537">
              <w:rPr>
                <w:rFonts w:asciiTheme="majorHAnsi" w:eastAsia="SourceSerifPro-Regular" w:hAnsiTheme="majorHAnsi"/>
                <w:sz w:val="22"/>
                <w:szCs w:val="22"/>
              </w:rPr>
              <w:t>of 30 high MDR-TB burden countries in the world with estimated 2</w:t>
            </w:r>
            <w:r w:rsidR="00B64869" w:rsidRPr="00273537">
              <w:rPr>
                <w:rFonts w:asciiTheme="majorHAnsi" w:eastAsia="SourceSerifPro-Regular" w:hAnsiTheme="majorHAnsi"/>
                <w:sz w:val="22"/>
                <w:szCs w:val="22"/>
              </w:rPr>
              <w:t>2</w:t>
            </w:r>
            <w:r w:rsidRPr="00273537">
              <w:rPr>
                <w:rFonts w:asciiTheme="majorHAnsi" w:eastAsia="SourceSerifPro-Regular" w:hAnsiTheme="majorHAnsi"/>
                <w:sz w:val="22"/>
                <w:szCs w:val="22"/>
              </w:rPr>
              <w:t xml:space="preserve"> new </w:t>
            </w:r>
            <w:r w:rsidR="00930029">
              <w:rPr>
                <w:rFonts w:asciiTheme="majorHAnsi" w:eastAsia="SourceSerifPro-Regular" w:hAnsiTheme="majorHAnsi"/>
                <w:sz w:val="22"/>
                <w:szCs w:val="22"/>
              </w:rPr>
              <w:t>RR/MDR</w:t>
            </w:r>
            <w:r w:rsidRPr="00273537">
              <w:rPr>
                <w:rFonts w:asciiTheme="majorHAnsi" w:eastAsia="SourceSerifPro-Regular" w:hAnsiTheme="majorHAnsi"/>
                <w:sz w:val="22"/>
                <w:szCs w:val="22"/>
              </w:rPr>
              <w:t>-TB cases per 1</w:t>
            </w:r>
            <w:r w:rsidR="00B64869" w:rsidRPr="00273537">
              <w:rPr>
                <w:rFonts w:asciiTheme="majorHAnsi" w:eastAsia="SourceSerifPro-Regular" w:hAnsiTheme="majorHAnsi"/>
                <w:sz w:val="22"/>
                <w:szCs w:val="22"/>
              </w:rPr>
              <w:t>00,000 population in 2019</w:t>
            </w:r>
            <w:r w:rsidR="00971AA9">
              <w:rPr>
                <w:rStyle w:val="af"/>
                <w:rFonts w:asciiTheme="majorHAnsi" w:eastAsia="SourceSerifPro-Regular" w:hAnsiTheme="majorHAnsi"/>
                <w:sz w:val="22"/>
                <w:szCs w:val="22"/>
              </w:rPr>
              <w:footnoteReference w:id="34"/>
            </w:r>
            <w:r w:rsidRPr="00273537">
              <w:rPr>
                <w:rFonts w:asciiTheme="majorHAnsi" w:eastAsia="SourceSerifPro-Regular" w:hAnsiTheme="majorHAnsi"/>
                <w:sz w:val="22"/>
                <w:szCs w:val="22"/>
              </w:rPr>
              <w:t>.</w:t>
            </w:r>
            <w:r w:rsidRPr="00E934B7">
              <w:rPr>
                <w:rFonts w:asciiTheme="majorHAnsi" w:eastAsia="SourceSerifPro-Regular" w:hAnsiTheme="majorHAnsi"/>
                <w:sz w:val="22"/>
                <w:szCs w:val="22"/>
              </w:rPr>
              <w:t xml:space="preserve"> </w:t>
            </w:r>
          </w:p>
          <w:p w14:paraId="3A944122" w14:textId="77777777" w:rsidR="00204EB0" w:rsidRDefault="00204EB0" w:rsidP="0079175F">
            <w:pPr>
              <w:pStyle w:val="affff9"/>
              <w:spacing w:after="0" w:line="240" w:lineRule="auto"/>
              <w:jc w:val="both"/>
              <w:rPr>
                <w:rFonts w:asciiTheme="majorHAnsi" w:eastAsia="SourceSerifPro-Regular" w:hAnsiTheme="majorHAnsi"/>
                <w:sz w:val="22"/>
                <w:szCs w:val="22"/>
              </w:rPr>
            </w:pPr>
          </w:p>
          <w:p w14:paraId="12967182" w14:textId="4CED6BC6" w:rsidR="006D22C0" w:rsidRDefault="006E0F4A" w:rsidP="00E8054B">
            <w:pPr>
              <w:spacing w:after="0" w:line="240" w:lineRule="auto"/>
              <w:jc w:val="both"/>
              <w:rPr>
                <w:rFonts w:asciiTheme="majorHAnsi" w:hAnsiTheme="majorHAnsi" w:cstheme="majorHAnsi"/>
              </w:rPr>
            </w:pPr>
            <w:r w:rsidRPr="001400B3">
              <w:rPr>
                <w:rFonts w:asciiTheme="majorHAnsi" w:eastAsia="SourceSerifPro-Regular" w:hAnsiTheme="majorHAnsi" w:cstheme="majorHAnsi"/>
              </w:rPr>
              <w:t>The country efforts in TB control are directed at achi</w:t>
            </w:r>
            <w:r w:rsidR="00D16C7C">
              <w:rPr>
                <w:rFonts w:asciiTheme="majorHAnsi" w:eastAsia="SourceSerifPro-Regular" w:hAnsiTheme="majorHAnsi" w:cstheme="majorHAnsi"/>
              </w:rPr>
              <w:t>eving the commitments</w:t>
            </w:r>
            <w:r w:rsidRPr="001400B3">
              <w:rPr>
                <w:rFonts w:asciiTheme="majorHAnsi" w:eastAsia="SourceSerifPro-Regular" w:hAnsiTheme="majorHAnsi" w:cstheme="majorHAnsi"/>
              </w:rPr>
              <w:t xml:space="preserve"> made within the </w:t>
            </w:r>
            <w:r w:rsidR="001400B3" w:rsidRPr="001400B3">
              <w:rPr>
                <w:rFonts w:asciiTheme="majorHAnsi" w:eastAsia="SourceSerifPro-Regular" w:hAnsiTheme="majorHAnsi" w:cstheme="majorHAnsi"/>
              </w:rPr>
              <w:t>framework</w:t>
            </w:r>
            <w:r w:rsidR="00B85DAF">
              <w:rPr>
                <w:rFonts w:asciiTheme="majorHAnsi" w:eastAsia="SourceSerifPro-Regular" w:hAnsiTheme="majorHAnsi" w:cstheme="majorHAnsi"/>
              </w:rPr>
              <w:t>s</w:t>
            </w:r>
            <w:r w:rsidR="0045066A">
              <w:rPr>
                <w:rFonts w:asciiTheme="majorHAnsi" w:eastAsia="SourceSerifPro-Regular" w:hAnsiTheme="majorHAnsi" w:cstheme="majorHAnsi"/>
              </w:rPr>
              <w:t xml:space="preserve"> of the S</w:t>
            </w:r>
            <w:r w:rsidRPr="001400B3">
              <w:rPr>
                <w:rFonts w:asciiTheme="majorHAnsi" w:eastAsia="SourceSerifPro-Regular" w:hAnsiTheme="majorHAnsi" w:cstheme="majorHAnsi"/>
              </w:rPr>
              <w:t>us</w:t>
            </w:r>
            <w:r w:rsidR="00D74091" w:rsidRPr="001400B3">
              <w:rPr>
                <w:rFonts w:asciiTheme="majorHAnsi" w:eastAsia="SourceSerifPro-Regular" w:hAnsiTheme="majorHAnsi" w:cstheme="majorHAnsi"/>
              </w:rPr>
              <w:t xml:space="preserve">tainable </w:t>
            </w:r>
            <w:r w:rsidR="0045066A">
              <w:rPr>
                <w:rFonts w:asciiTheme="majorHAnsi" w:hAnsiTheme="majorHAnsi" w:cstheme="majorHAnsi"/>
              </w:rPr>
              <w:t>Development G</w:t>
            </w:r>
            <w:r w:rsidR="00D74091" w:rsidRPr="00D16C7C">
              <w:rPr>
                <w:rFonts w:asciiTheme="majorHAnsi" w:hAnsiTheme="majorHAnsi" w:cstheme="majorHAnsi"/>
              </w:rPr>
              <w:t>oals (SDG</w:t>
            </w:r>
            <w:r w:rsidR="001400B3" w:rsidRPr="00D16C7C">
              <w:rPr>
                <w:rFonts w:asciiTheme="majorHAnsi" w:hAnsiTheme="majorHAnsi" w:cstheme="majorHAnsi"/>
              </w:rPr>
              <w:t>)</w:t>
            </w:r>
            <w:r w:rsidR="00B85DAF" w:rsidRPr="00D16C7C">
              <w:rPr>
                <w:rFonts w:asciiTheme="majorHAnsi" w:hAnsiTheme="majorHAnsi" w:cstheme="majorHAnsi"/>
              </w:rPr>
              <w:t xml:space="preserve"> and </w:t>
            </w:r>
            <w:r w:rsidR="00B85DAF" w:rsidRPr="001400B3">
              <w:rPr>
                <w:rFonts w:asciiTheme="majorHAnsi" w:hAnsiTheme="majorHAnsi" w:cstheme="majorHAnsi"/>
              </w:rPr>
              <w:t xml:space="preserve">High-Level </w:t>
            </w:r>
            <w:proofErr w:type="gramStart"/>
            <w:r w:rsidR="00B85DAF" w:rsidRPr="001400B3">
              <w:rPr>
                <w:rFonts w:asciiTheme="majorHAnsi" w:hAnsiTheme="majorHAnsi" w:cstheme="majorHAnsi"/>
              </w:rPr>
              <w:t>Meeting</w:t>
            </w:r>
            <w:proofErr w:type="gramEnd"/>
            <w:r w:rsidR="00B85DAF" w:rsidRPr="001400B3">
              <w:rPr>
                <w:rFonts w:asciiTheme="majorHAnsi" w:hAnsiTheme="majorHAnsi" w:cstheme="majorHAnsi"/>
              </w:rPr>
              <w:t xml:space="preserve"> on Tuberculosis of the 73rd Session of the United Nations General Assembly</w:t>
            </w:r>
            <w:r w:rsidR="00B85DAF" w:rsidRPr="00D16C7C">
              <w:rPr>
                <w:rFonts w:asciiTheme="majorHAnsi" w:hAnsiTheme="majorHAnsi" w:cstheme="majorHAnsi"/>
              </w:rPr>
              <w:t xml:space="preserve"> </w:t>
            </w:r>
            <w:r w:rsidR="008831A3">
              <w:rPr>
                <w:rFonts w:asciiTheme="majorHAnsi" w:hAnsiTheme="majorHAnsi" w:cstheme="majorHAnsi"/>
              </w:rPr>
              <w:t>(</w:t>
            </w:r>
            <w:r w:rsidR="008831A3">
              <w:rPr>
                <w:rFonts w:eastAsia="Times New Roman" w:cs="Arial"/>
                <w:color w:val="202124"/>
                <w:shd w:val="clear" w:color="auto" w:fill="FFFFFF"/>
              </w:rPr>
              <w:t>UNGA</w:t>
            </w:r>
            <w:r w:rsidR="008831A3">
              <w:rPr>
                <w:rFonts w:ascii="Times" w:eastAsia="Times New Roman" w:hAnsi="Times" w:cs="Times New Roman"/>
                <w:sz w:val="20"/>
                <w:szCs w:val="20"/>
              </w:rPr>
              <w:t xml:space="preserve">) </w:t>
            </w:r>
            <w:r w:rsidR="001400B3" w:rsidRPr="00D16C7C">
              <w:rPr>
                <w:rFonts w:asciiTheme="majorHAnsi" w:hAnsiTheme="majorHAnsi" w:cstheme="majorHAnsi"/>
              </w:rPr>
              <w:t xml:space="preserve">in </w:t>
            </w:r>
            <w:r w:rsidR="00B85DAF" w:rsidRPr="00D16C7C">
              <w:rPr>
                <w:rFonts w:asciiTheme="majorHAnsi" w:hAnsiTheme="majorHAnsi" w:cstheme="majorHAnsi"/>
              </w:rPr>
              <w:t xml:space="preserve">accelerating progress towards </w:t>
            </w:r>
            <w:r w:rsidR="00D74091" w:rsidRPr="00D16C7C">
              <w:rPr>
                <w:rFonts w:asciiTheme="majorHAnsi" w:hAnsiTheme="majorHAnsi" w:cstheme="majorHAnsi"/>
              </w:rPr>
              <w:t xml:space="preserve">attaining the targets of </w:t>
            </w:r>
            <w:r w:rsidRPr="00D16C7C">
              <w:rPr>
                <w:rFonts w:asciiTheme="majorHAnsi" w:hAnsiTheme="majorHAnsi" w:cstheme="majorHAnsi"/>
              </w:rPr>
              <w:t>the WHO strategy for the elimination</w:t>
            </w:r>
            <w:r w:rsidR="00D74091" w:rsidRPr="00D16C7C">
              <w:rPr>
                <w:rFonts w:asciiTheme="majorHAnsi" w:hAnsiTheme="majorHAnsi" w:cstheme="majorHAnsi"/>
              </w:rPr>
              <w:t xml:space="preserve"> of tuberculosis</w:t>
            </w:r>
            <w:r w:rsidR="001400B3" w:rsidRPr="00D16C7C">
              <w:rPr>
                <w:rFonts w:asciiTheme="majorHAnsi" w:hAnsiTheme="majorHAnsi" w:cstheme="majorHAnsi"/>
              </w:rPr>
              <w:t xml:space="preserve">. </w:t>
            </w:r>
            <w:r w:rsidR="00D16C7C" w:rsidRPr="00D16C7C">
              <w:rPr>
                <w:rFonts w:asciiTheme="majorHAnsi" w:hAnsiTheme="majorHAnsi" w:cstheme="majorHAnsi"/>
              </w:rPr>
              <w:t>Kazakhstan is among the countries, which already achieved the 2020 WHO End TB strategy milestone</w:t>
            </w:r>
            <w:r w:rsidR="0045066A">
              <w:rPr>
                <w:rFonts w:asciiTheme="majorHAnsi" w:hAnsiTheme="majorHAnsi" w:cstheme="majorHAnsi"/>
              </w:rPr>
              <w:t>s</w:t>
            </w:r>
            <w:r w:rsidR="00D16C7C" w:rsidRPr="00D16C7C">
              <w:rPr>
                <w:rFonts w:asciiTheme="majorHAnsi" w:hAnsiTheme="majorHAnsi" w:cstheme="majorHAnsi"/>
              </w:rPr>
              <w:t xml:space="preserve">. </w:t>
            </w:r>
            <w:r w:rsidR="007A1F44">
              <w:rPr>
                <w:rFonts w:asciiTheme="majorHAnsi" w:hAnsiTheme="majorHAnsi" w:cstheme="majorHAnsi"/>
              </w:rPr>
              <w:t xml:space="preserve">Thus, </w:t>
            </w:r>
            <w:r w:rsidR="005D30BA">
              <w:rPr>
                <w:rFonts w:asciiTheme="majorHAnsi" w:hAnsiTheme="majorHAnsi"/>
              </w:rPr>
              <w:t>in 2020, there was</w:t>
            </w:r>
            <w:r w:rsidR="007A1F44">
              <w:rPr>
                <w:rFonts w:asciiTheme="majorHAnsi" w:hAnsiTheme="majorHAnsi"/>
              </w:rPr>
              <w:t xml:space="preserve"> </w:t>
            </w:r>
            <w:r w:rsidR="00432294">
              <w:rPr>
                <w:rFonts w:asciiTheme="majorHAnsi" w:hAnsiTheme="majorHAnsi"/>
              </w:rPr>
              <w:t xml:space="preserve">registered </w:t>
            </w:r>
            <w:r w:rsidR="007A1F44">
              <w:rPr>
                <w:rFonts w:asciiTheme="majorHAnsi" w:hAnsiTheme="majorHAnsi"/>
              </w:rPr>
              <w:t>a</w:t>
            </w:r>
            <w:r w:rsidR="00964D55">
              <w:rPr>
                <w:rFonts w:asciiTheme="majorHAnsi" w:hAnsiTheme="majorHAnsi"/>
              </w:rPr>
              <w:t xml:space="preserve"> </w:t>
            </w:r>
            <w:r w:rsidR="005D30BA">
              <w:rPr>
                <w:rFonts w:asciiTheme="majorHAnsi" w:hAnsiTheme="majorHAnsi"/>
              </w:rPr>
              <w:t>decline</w:t>
            </w:r>
            <w:r w:rsidR="00432294">
              <w:rPr>
                <w:rFonts w:asciiTheme="majorHAnsi" w:hAnsiTheme="majorHAnsi"/>
              </w:rPr>
              <w:t xml:space="preserve"> of </w:t>
            </w:r>
            <w:r w:rsidR="008831A3">
              <w:rPr>
                <w:rFonts w:asciiTheme="majorHAnsi" w:hAnsiTheme="majorHAnsi"/>
              </w:rPr>
              <w:t xml:space="preserve">the </w:t>
            </w:r>
            <w:r w:rsidR="00432294">
              <w:rPr>
                <w:rFonts w:asciiTheme="majorHAnsi" w:hAnsiTheme="majorHAnsi"/>
              </w:rPr>
              <w:t xml:space="preserve">incidence </w:t>
            </w:r>
            <w:r w:rsidR="008831A3">
              <w:rPr>
                <w:rFonts w:asciiTheme="majorHAnsi" w:hAnsiTheme="majorHAnsi"/>
              </w:rPr>
              <w:t xml:space="preserve">rate </w:t>
            </w:r>
            <w:r w:rsidR="00432294">
              <w:rPr>
                <w:rFonts w:asciiTheme="majorHAnsi" w:hAnsiTheme="majorHAnsi"/>
              </w:rPr>
              <w:t xml:space="preserve">(new and relapsed) by </w:t>
            </w:r>
            <w:r w:rsidR="007A1F44">
              <w:rPr>
                <w:rFonts w:asciiTheme="majorHAnsi" w:hAnsiTheme="majorHAnsi"/>
              </w:rPr>
              <w:t>36.3%</w:t>
            </w:r>
            <w:r w:rsidR="007A1F44" w:rsidRPr="00C50B6B">
              <w:rPr>
                <w:rFonts w:asciiTheme="majorHAnsi" w:hAnsiTheme="majorHAnsi"/>
              </w:rPr>
              <w:t xml:space="preserve"> </w:t>
            </w:r>
            <w:r w:rsidR="00964D55">
              <w:rPr>
                <w:rFonts w:asciiTheme="majorHAnsi" w:hAnsiTheme="majorHAnsi"/>
              </w:rPr>
              <w:t>compared with 2015 statistics</w:t>
            </w:r>
            <w:r w:rsidR="005D30BA">
              <w:rPr>
                <w:rFonts w:asciiTheme="majorHAnsi" w:hAnsiTheme="majorHAnsi"/>
              </w:rPr>
              <w:t xml:space="preserve">. </w:t>
            </w:r>
            <w:r w:rsidR="005D30BA" w:rsidRPr="00E934B7">
              <w:rPr>
                <w:rFonts w:asciiTheme="majorHAnsi" w:hAnsiTheme="majorHAnsi"/>
              </w:rPr>
              <w:t xml:space="preserve">The country has reached </w:t>
            </w:r>
            <w:r w:rsidR="005D30BA">
              <w:rPr>
                <w:rFonts w:asciiTheme="majorHAnsi" w:hAnsiTheme="majorHAnsi" w:cs="Arial"/>
                <w:lang w:val="en-GB"/>
              </w:rPr>
              <w:t>a</w:t>
            </w:r>
            <w:r w:rsidR="005D30BA" w:rsidRPr="00E934B7">
              <w:rPr>
                <w:rFonts w:asciiTheme="majorHAnsi" w:hAnsiTheme="majorHAnsi" w:cs="Arial"/>
                <w:lang w:val="en-GB"/>
              </w:rPr>
              <w:t xml:space="preserve"> steady </w:t>
            </w:r>
            <w:r w:rsidR="0045066A">
              <w:rPr>
                <w:rFonts w:asciiTheme="majorHAnsi" w:hAnsiTheme="majorHAnsi" w:cs="Arial"/>
                <w:lang w:val="en-GB"/>
              </w:rPr>
              <w:t xml:space="preserve">and sharp </w:t>
            </w:r>
            <w:r w:rsidR="005D30BA" w:rsidRPr="00E934B7">
              <w:rPr>
                <w:rFonts w:asciiTheme="majorHAnsi" w:hAnsiTheme="majorHAnsi" w:cs="Arial"/>
                <w:lang w:val="en-GB"/>
              </w:rPr>
              <w:t xml:space="preserve">decrease in </w:t>
            </w:r>
            <w:r w:rsidR="008831A3">
              <w:rPr>
                <w:rFonts w:asciiTheme="majorHAnsi" w:hAnsiTheme="majorHAnsi" w:cs="Arial"/>
                <w:lang w:val="en-GB"/>
              </w:rPr>
              <w:t xml:space="preserve">the </w:t>
            </w:r>
            <w:r w:rsidR="005D30BA" w:rsidRPr="00E934B7">
              <w:rPr>
                <w:rFonts w:asciiTheme="majorHAnsi" w:hAnsiTheme="majorHAnsi" w:cs="Arial"/>
                <w:lang w:val="en-GB"/>
              </w:rPr>
              <w:t xml:space="preserve">death rate: </w:t>
            </w:r>
            <w:r w:rsidR="005D30BA">
              <w:rPr>
                <w:rFonts w:asciiTheme="majorHAnsi" w:hAnsiTheme="majorHAnsi" w:cs="Arial"/>
                <w:lang w:val="en-GB"/>
              </w:rPr>
              <w:t xml:space="preserve">over the same period </w:t>
            </w:r>
            <w:r w:rsidR="005D30BA" w:rsidRPr="00E934B7">
              <w:rPr>
                <w:rFonts w:asciiTheme="majorHAnsi" w:hAnsiTheme="majorHAnsi" w:cs="Arial"/>
                <w:lang w:val="en-GB"/>
              </w:rPr>
              <w:t>t</w:t>
            </w:r>
            <w:r w:rsidR="005D30BA">
              <w:rPr>
                <w:rFonts w:asciiTheme="majorHAnsi" w:hAnsiTheme="majorHAnsi" w:cs="Arial"/>
                <w:lang w:val="en-GB"/>
              </w:rPr>
              <w:t xml:space="preserve">he </w:t>
            </w:r>
            <w:r w:rsidR="005D30BA" w:rsidRPr="00E934B7">
              <w:rPr>
                <w:rFonts w:asciiTheme="majorHAnsi" w:hAnsiTheme="majorHAnsi" w:cs="Arial"/>
                <w:lang w:val="en-GB"/>
              </w:rPr>
              <w:t>decline in mortality was</w:t>
            </w:r>
            <w:r w:rsidR="005D30BA">
              <w:rPr>
                <w:rFonts w:asciiTheme="majorHAnsi" w:hAnsiTheme="majorHAnsi" w:cs="Arial"/>
                <w:lang w:val="en-GB"/>
              </w:rPr>
              <w:t xml:space="preserve"> 53.7</w:t>
            </w:r>
            <w:r w:rsidR="005D30BA" w:rsidRPr="00E934B7">
              <w:rPr>
                <w:rFonts w:asciiTheme="majorHAnsi" w:hAnsiTheme="majorHAnsi" w:cs="Arial"/>
                <w:lang w:val="en-GB"/>
              </w:rPr>
              <w:t>%</w:t>
            </w:r>
            <w:r w:rsidR="00964D55">
              <w:rPr>
                <w:rFonts w:asciiTheme="majorHAnsi" w:hAnsiTheme="majorHAnsi"/>
              </w:rPr>
              <w:t xml:space="preserve"> </w:t>
            </w:r>
            <w:r w:rsidR="00964D55" w:rsidRPr="00611C01">
              <w:rPr>
                <w:rFonts w:asciiTheme="majorHAnsi" w:hAnsiTheme="majorHAnsi"/>
              </w:rPr>
              <w:t>(</w:t>
            </w:r>
            <w:r w:rsidR="00611C01">
              <w:rPr>
                <w:rFonts w:asciiTheme="majorHAnsi" w:hAnsiTheme="majorHAnsi"/>
              </w:rPr>
              <w:t>Figure 1</w:t>
            </w:r>
            <w:r w:rsidR="00964D55" w:rsidRPr="00611C01">
              <w:rPr>
                <w:rFonts w:asciiTheme="majorHAnsi" w:hAnsiTheme="majorHAnsi"/>
              </w:rPr>
              <w:t>).</w:t>
            </w:r>
            <w:r w:rsidR="00964D55">
              <w:rPr>
                <w:rFonts w:asciiTheme="majorHAnsi" w:hAnsiTheme="majorHAnsi"/>
              </w:rPr>
              <w:t xml:space="preserve"> </w:t>
            </w:r>
            <w:r w:rsidR="00E23710" w:rsidRPr="00E23710">
              <w:rPr>
                <w:rFonts w:asciiTheme="majorHAnsi" w:hAnsiTheme="majorHAnsi"/>
              </w:rPr>
              <w:t>Whereas for 2020, the End TB Strategy mil</w:t>
            </w:r>
            <w:r w:rsidR="00E23710">
              <w:rPr>
                <w:rFonts w:asciiTheme="majorHAnsi" w:hAnsiTheme="majorHAnsi"/>
              </w:rPr>
              <w:t xml:space="preserve">estones have been set at a 35% </w:t>
            </w:r>
            <w:r w:rsidR="00E23710" w:rsidRPr="00E23710">
              <w:rPr>
                <w:rFonts w:asciiTheme="majorHAnsi" w:hAnsiTheme="majorHAnsi"/>
              </w:rPr>
              <w:t xml:space="preserve">reduction </w:t>
            </w:r>
            <w:r w:rsidR="00E23710">
              <w:rPr>
                <w:rFonts w:asciiTheme="majorHAnsi" w:hAnsiTheme="majorHAnsi"/>
              </w:rPr>
              <w:t>in TB deaths and a 20% decrease</w:t>
            </w:r>
            <w:r w:rsidR="00E23710" w:rsidRPr="00E23710">
              <w:rPr>
                <w:rFonts w:asciiTheme="majorHAnsi" w:hAnsiTheme="majorHAnsi"/>
              </w:rPr>
              <w:t xml:space="preserve"> in incidence rate. </w:t>
            </w:r>
            <w:r w:rsidR="005D30BA" w:rsidRPr="00E934B7">
              <w:rPr>
                <w:rFonts w:asciiTheme="majorHAnsi" w:hAnsiTheme="majorHAnsi"/>
              </w:rPr>
              <w:t>The case fatality</w:t>
            </w:r>
            <w:r w:rsidR="00DF6993">
              <w:rPr>
                <w:rFonts w:asciiTheme="majorHAnsi" w:hAnsiTheme="majorHAnsi"/>
              </w:rPr>
              <w:t xml:space="preserve"> decline</w:t>
            </w:r>
            <w:r w:rsidR="005D30BA" w:rsidRPr="00E934B7">
              <w:rPr>
                <w:rFonts w:asciiTheme="majorHAnsi" w:hAnsiTheme="majorHAnsi"/>
              </w:rPr>
              <w:t xml:space="preserve"> was caused by disease transmission reduction and treatment success</w:t>
            </w:r>
            <w:r w:rsidR="002C0129">
              <w:rPr>
                <w:rFonts w:asciiTheme="majorHAnsi" w:hAnsiTheme="majorHAnsi"/>
              </w:rPr>
              <w:t>es</w:t>
            </w:r>
            <w:r w:rsidR="008831A3">
              <w:rPr>
                <w:rFonts w:asciiTheme="majorHAnsi" w:hAnsiTheme="majorHAnsi"/>
              </w:rPr>
              <w:t xml:space="preserve">, </w:t>
            </w:r>
            <w:r w:rsidR="005D30BA">
              <w:rPr>
                <w:rFonts w:asciiTheme="majorHAnsi" w:hAnsiTheme="majorHAnsi"/>
              </w:rPr>
              <w:t xml:space="preserve">showing </w:t>
            </w:r>
            <w:r w:rsidR="005A5FC1">
              <w:rPr>
                <w:rFonts w:asciiTheme="majorHAnsi" w:hAnsiTheme="majorHAnsi" w:cstheme="majorHAnsi"/>
              </w:rPr>
              <w:t>good progress towards</w:t>
            </w:r>
            <w:r w:rsidR="005A5FC1" w:rsidRPr="005A5FC1">
              <w:rPr>
                <w:rFonts w:asciiTheme="majorHAnsi" w:hAnsiTheme="majorHAnsi" w:cstheme="majorHAnsi"/>
              </w:rPr>
              <w:t xml:space="preserve"> </w:t>
            </w:r>
            <w:r w:rsidR="005A5FC1">
              <w:rPr>
                <w:rFonts w:asciiTheme="majorHAnsi" w:hAnsiTheme="majorHAnsi" w:cstheme="majorHAnsi"/>
              </w:rPr>
              <w:t xml:space="preserve">TB key targets </w:t>
            </w:r>
            <w:r w:rsidR="005D30BA">
              <w:rPr>
                <w:rFonts w:asciiTheme="majorHAnsi" w:hAnsiTheme="majorHAnsi" w:cstheme="majorHAnsi"/>
              </w:rPr>
              <w:t>set</w:t>
            </w:r>
            <w:r w:rsidR="005A5FC1" w:rsidRPr="005A5FC1">
              <w:rPr>
                <w:rFonts w:asciiTheme="majorHAnsi" w:hAnsiTheme="majorHAnsi" w:cstheme="majorHAnsi"/>
              </w:rPr>
              <w:t xml:space="preserve"> </w:t>
            </w:r>
            <w:r w:rsidR="005D30BA">
              <w:rPr>
                <w:rFonts w:asciiTheme="majorHAnsi" w:hAnsiTheme="majorHAnsi" w:cstheme="majorHAnsi"/>
              </w:rPr>
              <w:t>at</w:t>
            </w:r>
            <w:r w:rsidR="005A5FC1" w:rsidRPr="005A5FC1">
              <w:rPr>
                <w:rFonts w:asciiTheme="majorHAnsi" w:hAnsiTheme="majorHAnsi" w:cstheme="majorHAnsi"/>
              </w:rPr>
              <w:t xml:space="preserve"> the </w:t>
            </w:r>
            <w:r w:rsidR="006965D0">
              <w:rPr>
                <w:rFonts w:asciiTheme="majorHAnsi" w:hAnsiTheme="majorHAnsi" w:cstheme="majorHAnsi"/>
              </w:rPr>
              <w:t>TB session of UNGA, by achieving</w:t>
            </w:r>
            <w:r w:rsidR="002C0129">
              <w:rPr>
                <w:rFonts w:asciiTheme="majorHAnsi" w:hAnsiTheme="majorHAnsi" w:cstheme="majorHAnsi"/>
              </w:rPr>
              <w:t xml:space="preserve"> 54.2% of </w:t>
            </w:r>
            <w:r w:rsidR="008831A3">
              <w:rPr>
                <w:rFonts w:asciiTheme="majorHAnsi" w:hAnsiTheme="majorHAnsi" w:cstheme="majorHAnsi"/>
              </w:rPr>
              <w:t xml:space="preserve">5-year nationalized </w:t>
            </w:r>
            <w:r w:rsidR="009E330A">
              <w:rPr>
                <w:rFonts w:asciiTheme="majorHAnsi" w:hAnsiTheme="majorHAnsi" w:cstheme="majorHAnsi"/>
              </w:rPr>
              <w:t xml:space="preserve">treatment </w:t>
            </w:r>
            <w:r w:rsidR="008831A3">
              <w:rPr>
                <w:rFonts w:asciiTheme="majorHAnsi" w:hAnsiTheme="majorHAnsi" w:cstheme="majorHAnsi"/>
              </w:rPr>
              <w:t>target level</w:t>
            </w:r>
            <w:r w:rsidR="006965D0">
              <w:rPr>
                <w:rFonts w:asciiTheme="majorHAnsi" w:hAnsiTheme="majorHAnsi" w:cstheme="majorHAnsi"/>
              </w:rPr>
              <w:t xml:space="preserve"> in 2020</w:t>
            </w:r>
            <w:r w:rsidR="002C0129">
              <w:rPr>
                <w:rFonts w:asciiTheme="majorHAnsi" w:hAnsiTheme="majorHAnsi" w:cstheme="majorHAnsi"/>
              </w:rPr>
              <w:t xml:space="preserve"> (Figure </w:t>
            </w:r>
            <w:r w:rsidR="00611C01" w:rsidRPr="00611C01">
              <w:rPr>
                <w:rFonts w:asciiTheme="majorHAnsi" w:hAnsiTheme="majorHAnsi" w:cstheme="majorHAnsi"/>
              </w:rPr>
              <w:t>2</w:t>
            </w:r>
            <w:r w:rsidR="002C0129" w:rsidRPr="00611C01">
              <w:rPr>
                <w:rFonts w:asciiTheme="majorHAnsi" w:hAnsiTheme="majorHAnsi" w:cstheme="majorHAnsi"/>
              </w:rPr>
              <w:t>).</w:t>
            </w:r>
            <w:r w:rsidR="002C0129">
              <w:rPr>
                <w:rFonts w:asciiTheme="majorHAnsi" w:hAnsiTheme="majorHAnsi" w:cstheme="majorHAnsi"/>
              </w:rPr>
              <w:t xml:space="preserve"> The coverage of </w:t>
            </w:r>
            <w:r w:rsidR="00564CFA">
              <w:rPr>
                <w:rFonts w:asciiTheme="majorHAnsi" w:hAnsiTheme="majorHAnsi" w:cstheme="majorHAnsi"/>
              </w:rPr>
              <w:t>RR/</w:t>
            </w:r>
            <w:r w:rsidR="005D30BA" w:rsidRPr="00E934B7">
              <w:rPr>
                <w:rFonts w:asciiTheme="majorHAnsi" w:hAnsiTheme="majorHAnsi"/>
              </w:rPr>
              <w:t>MDR</w:t>
            </w:r>
            <w:r w:rsidR="00D6698F">
              <w:rPr>
                <w:rFonts w:asciiTheme="majorHAnsi" w:hAnsiTheme="majorHAnsi"/>
              </w:rPr>
              <w:t>-TB and children with treatment were 58.9% and 56.7% correspondingly (</w:t>
            </w:r>
            <w:r w:rsidR="00D6698F" w:rsidRPr="00BE1E57">
              <w:rPr>
                <w:rFonts w:asciiTheme="majorHAnsi" w:hAnsiTheme="majorHAnsi"/>
              </w:rPr>
              <w:t xml:space="preserve">Figure </w:t>
            </w:r>
            <w:r w:rsidR="00BE1E57" w:rsidRPr="00BE1E57">
              <w:rPr>
                <w:rFonts w:asciiTheme="majorHAnsi" w:hAnsiTheme="majorHAnsi"/>
              </w:rPr>
              <w:t>3</w:t>
            </w:r>
            <w:r w:rsidR="00D6698F">
              <w:rPr>
                <w:rFonts w:asciiTheme="majorHAnsi" w:hAnsiTheme="majorHAnsi"/>
              </w:rPr>
              <w:t xml:space="preserve">). </w:t>
            </w:r>
            <w:r w:rsidR="006965D0">
              <w:rPr>
                <w:rFonts w:asciiTheme="majorHAnsi" w:hAnsiTheme="majorHAnsi" w:cstheme="majorHAnsi"/>
              </w:rPr>
              <w:t>The country indicators</w:t>
            </w:r>
            <w:r w:rsidR="00D6698F">
              <w:rPr>
                <w:rFonts w:asciiTheme="majorHAnsi" w:hAnsiTheme="majorHAnsi" w:cstheme="majorHAnsi"/>
              </w:rPr>
              <w:t xml:space="preserve"> exceed the</w:t>
            </w:r>
            <w:r w:rsidR="005A5FC1" w:rsidRPr="005A5FC1">
              <w:rPr>
                <w:rFonts w:asciiTheme="majorHAnsi" w:hAnsiTheme="majorHAnsi" w:cstheme="majorHAnsi"/>
              </w:rPr>
              <w:t xml:space="preserve"> global results achieved</w:t>
            </w:r>
            <w:r w:rsidR="00D6698F" w:rsidRPr="0005333B">
              <w:rPr>
                <w:rFonts w:eastAsia="Arial" w:cs="Arial"/>
                <w:vertAlign w:val="superscript"/>
              </w:rPr>
              <w:footnoteReference w:id="35"/>
            </w:r>
            <w:r w:rsidR="006D22C0">
              <w:rPr>
                <w:rFonts w:asciiTheme="majorHAnsi" w:hAnsiTheme="majorHAnsi" w:cstheme="majorHAnsi"/>
              </w:rPr>
              <w:t xml:space="preserve"> in 2018-2020, </w:t>
            </w:r>
            <w:r w:rsidR="00DF6993">
              <w:rPr>
                <w:rFonts w:asciiTheme="majorHAnsi" w:hAnsiTheme="majorHAnsi" w:cstheme="majorHAnsi"/>
              </w:rPr>
              <w:t>particularly</w:t>
            </w:r>
            <w:r w:rsidR="005A5FC1" w:rsidRPr="005A5FC1">
              <w:rPr>
                <w:rFonts w:asciiTheme="majorHAnsi" w:hAnsiTheme="majorHAnsi" w:cstheme="majorHAnsi"/>
              </w:rPr>
              <w:t xml:space="preserve"> </w:t>
            </w:r>
            <w:r w:rsidR="006965D0">
              <w:rPr>
                <w:rFonts w:asciiTheme="majorHAnsi" w:hAnsiTheme="majorHAnsi" w:cstheme="majorHAnsi"/>
              </w:rPr>
              <w:t>regarding</w:t>
            </w:r>
            <w:r w:rsidR="005A5FC1" w:rsidRPr="005A5FC1">
              <w:rPr>
                <w:rFonts w:asciiTheme="majorHAnsi" w:hAnsiTheme="majorHAnsi" w:cstheme="majorHAnsi"/>
              </w:rPr>
              <w:t xml:space="preserve"> </w:t>
            </w:r>
            <w:r w:rsidR="00D6698F">
              <w:rPr>
                <w:rFonts w:asciiTheme="majorHAnsi" w:hAnsiTheme="majorHAnsi" w:cstheme="majorHAnsi"/>
              </w:rPr>
              <w:t xml:space="preserve">the number of children and </w:t>
            </w:r>
            <w:r w:rsidR="00336E74">
              <w:rPr>
                <w:rFonts w:asciiTheme="majorHAnsi" w:hAnsiTheme="majorHAnsi" w:cstheme="majorHAnsi"/>
              </w:rPr>
              <w:t>RR/</w:t>
            </w:r>
            <w:r w:rsidR="005A5FC1" w:rsidRPr="005A5FC1">
              <w:rPr>
                <w:rFonts w:asciiTheme="majorHAnsi" w:hAnsiTheme="majorHAnsi" w:cstheme="majorHAnsi"/>
              </w:rPr>
              <w:t>MDR-TB cases covered by treatment</w:t>
            </w:r>
            <w:r w:rsidR="00D6698F">
              <w:rPr>
                <w:rFonts w:asciiTheme="majorHAnsi" w:hAnsiTheme="majorHAnsi" w:cstheme="majorHAnsi"/>
              </w:rPr>
              <w:t xml:space="preserve"> schemes</w:t>
            </w:r>
            <w:r w:rsidR="00C42BAF">
              <w:rPr>
                <w:rFonts w:asciiTheme="majorHAnsi" w:hAnsiTheme="majorHAnsi" w:cstheme="majorHAnsi"/>
              </w:rPr>
              <w:t xml:space="preserve"> (Figure 4)</w:t>
            </w:r>
            <w:r w:rsidR="005A5FC1" w:rsidRPr="005A5FC1">
              <w:rPr>
                <w:rFonts w:asciiTheme="majorHAnsi" w:hAnsiTheme="majorHAnsi" w:cstheme="majorHAnsi"/>
              </w:rPr>
              <w:t>.</w:t>
            </w:r>
            <w:r w:rsidR="006965D0">
              <w:rPr>
                <w:rFonts w:asciiTheme="majorHAnsi" w:hAnsiTheme="majorHAnsi" w:cstheme="majorHAnsi"/>
              </w:rPr>
              <w:t xml:space="preserve"> </w:t>
            </w:r>
            <w:r w:rsidR="006965D0" w:rsidRPr="00D16C7C">
              <w:rPr>
                <w:rFonts w:asciiTheme="majorHAnsi" w:hAnsiTheme="majorHAnsi" w:cstheme="majorHAnsi"/>
              </w:rPr>
              <w:t>The accomplishment</w:t>
            </w:r>
            <w:r w:rsidR="006965D0">
              <w:rPr>
                <w:rFonts w:asciiTheme="majorHAnsi" w:hAnsiTheme="majorHAnsi" w:cstheme="majorHAnsi"/>
              </w:rPr>
              <w:t xml:space="preserve">s </w:t>
            </w:r>
            <w:r w:rsidR="006965D0" w:rsidRPr="00D16C7C">
              <w:rPr>
                <w:rFonts w:asciiTheme="majorHAnsi" w:hAnsiTheme="majorHAnsi" w:cstheme="majorHAnsi"/>
              </w:rPr>
              <w:t xml:space="preserve">so far </w:t>
            </w:r>
            <w:r w:rsidR="006965D0">
              <w:rPr>
                <w:rFonts w:asciiTheme="majorHAnsi" w:hAnsiTheme="majorHAnsi" w:cstheme="majorHAnsi"/>
              </w:rPr>
              <w:t>will be taken</w:t>
            </w:r>
            <w:r w:rsidR="006965D0" w:rsidRPr="00D16C7C">
              <w:rPr>
                <w:rFonts w:asciiTheme="majorHAnsi" w:hAnsiTheme="majorHAnsi" w:cstheme="majorHAnsi"/>
              </w:rPr>
              <w:t xml:space="preserve"> as foundation to exert concerted effort in achieving more demanding milestones.</w:t>
            </w:r>
          </w:p>
          <w:p w14:paraId="4EAA60AC" w14:textId="77777777" w:rsidR="00A850B3" w:rsidRPr="00974FD7" w:rsidRDefault="00A850B3" w:rsidP="0079175F">
            <w:pPr>
              <w:spacing w:after="0" w:line="240" w:lineRule="auto"/>
              <w:jc w:val="both"/>
              <w:rPr>
                <w:rFonts w:cs="Arial"/>
              </w:rPr>
            </w:pPr>
          </w:p>
          <w:tbl>
            <w:tblPr>
              <w:tblStyle w:val="aa"/>
              <w:tblW w:w="0" w:type="auto"/>
              <w:tblLayout w:type="fixed"/>
              <w:tblLook w:val="04A0" w:firstRow="1" w:lastRow="0" w:firstColumn="1" w:lastColumn="0" w:noHBand="0" w:noVBand="1"/>
            </w:tblPr>
            <w:tblGrid>
              <w:gridCol w:w="5115"/>
              <w:gridCol w:w="5115"/>
            </w:tblGrid>
            <w:tr w:rsidR="006D22C0" w:rsidRPr="0005333B" w14:paraId="272EB1BA" w14:textId="77777777" w:rsidTr="00064DD6">
              <w:trPr>
                <w:trHeight w:val="575"/>
              </w:trPr>
              <w:tc>
                <w:tcPr>
                  <w:tcW w:w="5115" w:type="dxa"/>
                </w:tcPr>
                <w:p w14:paraId="308D4D29" w14:textId="77777777" w:rsidR="006D22C0" w:rsidRPr="00DF6993" w:rsidRDefault="006D22C0" w:rsidP="008831A3">
                  <w:pPr>
                    <w:jc w:val="both"/>
                    <w:rPr>
                      <w:rFonts w:eastAsia="Arial" w:cs="Arial"/>
                      <w:b/>
                      <w:sz w:val="18"/>
                      <w:szCs w:val="18"/>
                    </w:rPr>
                  </w:pPr>
                  <w:r w:rsidRPr="00611C01">
                    <w:rPr>
                      <w:rFonts w:eastAsia="Arial" w:cs="Arial"/>
                      <w:b/>
                      <w:sz w:val="18"/>
                      <w:szCs w:val="18"/>
                      <w:lang w:val="en-GB"/>
                    </w:rPr>
                    <w:t>Figure</w:t>
                  </w:r>
                  <w:r w:rsidRPr="00611C01">
                    <w:rPr>
                      <w:rFonts w:eastAsia="Arial" w:cs="Arial"/>
                      <w:b/>
                      <w:sz w:val="18"/>
                      <w:szCs w:val="18"/>
                    </w:rPr>
                    <w:t xml:space="preserve"> </w:t>
                  </w:r>
                  <w:r w:rsidR="00611C01">
                    <w:rPr>
                      <w:rFonts w:eastAsia="Arial" w:cs="Arial"/>
                      <w:b/>
                      <w:sz w:val="18"/>
                      <w:szCs w:val="18"/>
                      <w:lang w:val="en-GB"/>
                    </w:rPr>
                    <w:t>1</w:t>
                  </w:r>
                  <w:r w:rsidRPr="00DF6993">
                    <w:rPr>
                      <w:rFonts w:eastAsia="Arial" w:cs="Arial"/>
                      <w:b/>
                      <w:sz w:val="18"/>
                      <w:szCs w:val="18"/>
                    </w:rPr>
                    <w:t xml:space="preserve">. </w:t>
                  </w:r>
                  <w:r w:rsidRPr="00DF6993">
                    <w:rPr>
                      <w:rFonts w:eastAsia="Arial" w:cs="Arial"/>
                      <w:b/>
                      <w:bCs/>
                      <w:sz w:val="18"/>
                      <w:szCs w:val="18"/>
                      <w:lang w:val="en-GB"/>
                    </w:rPr>
                    <w:t>WHO End TB Strategy: Kazakhstan 2020 milestones</w:t>
                  </w:r>
                </w:p>
              </w:tc>
              <w:tc>
                <w:tcPr>
                  <w:tcW w:w="5115" w:type="dxa"/>
                </w:tcPr>
                <w:p w14:paraId="37D5FBEE" w14:textId="2EB6B2C3" w:rsidR="006D22C0" w:rsidRPr="00DF6993" w:rsidRDefault="006D22C0" w:rsidP="008831A3">
                  <w:pPr>
                    <w:rPr>
                      <w:rFonts w:eastAsia="Arial" w:cs="Arial"/>
                      <w:b/>
                      <w:sz w:val="18"/>
                      <w:szCs w:val="18"/>
                      <w:lang w:val="en-GB"/>
                    </w:rPr>
                  </w:pPr>
                  <w:r w:rsidRPr="00611C01">
                    <w:rPr>
                      <w:rFonts w:eastAsia="Arial" w:cs="Arial"/>
                      <w:b/>
                      <w:sz w:val="18"/>
                      <w:szCs w:val="18"/>
                      <w:lang w:val="en-GB"/>
                    </w:rPr>
                    <w:t>Fi</w:t>
                  </w:r>
                  <w:r w:rsidR="00611C01">
                    <w:rPr>
                      <w:rFonts w:eastAsia="Arial" w:cs="Arial"/>
                      <w:b/>
                      <w:sz w:val="18"/>
                      <w:szCs w:val="18"/>
                      <w:lang w:val="en-GB"/>
                    </w:rPr>
                    <w:t>gure 2</w:t>
                  </w:r>
                  <w:r w:rsidRPr="00DF6993">
                    <w:rPr>
                      <w:rFonts w:eastAsia="Arial" w:cs="Arial"/>
                      <w:b/>
                      <w:sz w:val="18"/>
                      <w:szCs w:val="18"/>
                      <w:lang w:val="en-GB"/>
                    </w:rPr>
                    <w:t>. UN high-level meeting on TB: Treatment targets (all ages)</w:t>
                  </w:r>
                </w:p>
              </w:tc>
            </w:tr>
            <w:tr w:rsidR="006D22C0" w:rsidRPr="0005333B" w14:paraId="6A370241" w14:textId="77777777" w:rsidTr="00CB5575">
              <w:trPr>
                <w:trHeight w:val="2920"/>
              </w:trPr>
              <w:tc>
                <w:tcPr>
                  <w:tcW w:w="5115" w:type="dxa"/>
                </w:tcPr>
                <w:p w14:paraId="4565055C" w14:textId="77777777" w:rsidR="006D22C0" w:rsidRPr="0005333B" w:rsidRDefault="006D22C0" w:rsidP="008831A3">
                  <w:pPr>
                    <w:rPr>
                      <w:rFonts w:eastAsia="Arial" w:cs="Arial"/>
                      <w:sz w:val="20"/>
                      <w:lang w:val="en-GB"/>
                    </w:rPr>
                  </w:pPr>
                </w:p>
                <w:p w14:paraId="4F8B7DA0" w14:textId="6446C35F" w:rsidR="006D22C0" w:rsidRPr="0005333B" w:rsidRDefault="00D21E85" w:rsidP="008831A3">
                  <w:pPr>
                    <w:rPr>
                      <w:rFonts w:eastAsia="Arial" w:cs="Arial"/>
                      <w:sz w:val="20"/>
                      <w:lang w:val="ru-RU"/>
                    </w:rPr>
                  </w:pPr>
                  <w:r w:rsidRPr="0005333B">
                    <w:rPr>
                      <w:rFonts w:eastAsia="Arial" w:cs="Arial"/>
                      <w:noProof/>
                    </w:rPr>
                    <w:drawing>
                      <wp:inline distT="0" distB="0" distL="0" distR="0" wp14:anchorId="09C1F6CC" wp14:editId="5240EEE0">
                        <wp:extent cx="3063240" cy="1625600"/>
                        <wp:effectExtent l="0" t="0" r="35560" b="254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115" w:type="dxa"/>
                </w:tcPr>
                <w:p w14:paraId="355F4FD9" w14:textId="77777777" w:rsidR="006D22C0" w:rsidRPr="0005333B" w:rsidRDefault="006D22C0" w:rsidP="008831A3">
                  <w:pPr>
                    <w:rPr>
                      <w:rFonts w:eastAsia="Arial" w:cs="Arial"/>
                      <w:sz w:val="20"/>
                      <w:lang w:val="ru-RU"/>
                    </w:rPr>
                  </w:pPr>
                </w:p>
                <w:p w14:paraId="248700D0" w14:textId="77777777" w:rsidR="006D22C0" w:rsidRPr="0005333B" w:rsidRDefault="006D22C0" w:rsidP="008831A3">
                  <w:pPr>
                    <w:rPr>
                      <w:rFonts w:eastAsia="Arial" w:cs="Arial"/>
                      <w:sz w:val="20"/>
                      <w:lang w:val="ru-RU"/>
                    </w:rPr>
                  </w:pPr>
                  <w:r w:rsidRPr="0005333B">
                    <w:rPr>
                      <w:rFonts w:eastAsia="Arial" w:cs="Arial"/>
                      <w:noProof/>
                    </w:rPr>
                    <w:drawing>
                      <wp:inline distT="0" distB="0" distL="0" distR="0" wp14:anchorId="24BE2987" wp14:editId="6AA22838">
                        <wp:extent cx="3112770" cy="1625600"/>
                        <wp:effectExtent l="0" t="0" r="36830" b="254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6D22C0" w:rsidRPr="0005333B" w14:paraId="22D8A619" w14:textId="77777777" w:rsidTr="00064DD6">
              <w:tc>
                <w:tcPr>
                  <w:tcW w:w="5115" w:type="dxa"/>
                </w:tcPr>
                <w:p w14:paraId="5B5E5785" w14:textId="58D0AB2B" w:rsidR="006D22C0" w:rsidRPr="00DF6993" w:rsidRDefault="00BE1E57" w:rsidP="008831A3">
                  <w:pPr>
                    <w:rPr>
                      <w:rFonts w:eastAsia="Arial" w:cs="Arial"/>
                      <w:b/>
                      <w:sz w:val="18"/>
                      <w:szCs w:val="18"/>
                      <w:lang w:val="en-GB"/>
                    </w:rPr>
                  </w:pPr>
                  <w:r>
                    <w:rPr>
                      <w:rFonts w:eastAsia="Arial" w:cs="Arial"/>
                      <w:b/>
                      <w:sz w:val="18"/>
                      <w:szCs w:val="18"/>
                      <w:lang w:val="en-GB"/>
                    </w:rPr>
                    <w:t>Figure 3</w:t>
                  </w:r>
                  <w:r w:rsidR="006D22C0" w:rsidRPr="00BE1E57">
                    <w:rPr>
                      <w:rFonts w:eastAsia="Arial" w:cs="Arial"/>
                      <w:b/>
                      <w:sz w:val="18"/>
                      <w:szCs w:val="18"/>
                      <w:lang w:val="en-GB"/>
                    </w:rPr>
                    <w:t>.</w:t>
                  </w:r>
                  <w:r w:rsidR="006D22C0" w:rsidRPr="00DF6993">
                    <w:rPr>
                      <w:rFonts w:eastAsia="Arial" w:cs="Arial"/>
                      <w:b/>
                      <w:sz w:val="18"/>
                      <w:szCs w:val="18"/>
                      <w:lang w:val="en-GB"/>
                    </w:rPr>
                    <w:t xml:space="preserve"> UN high-level meeting on TB: Treatment targets (children 0-14 years)</w:t>
                  </w:r>
                </w:p>
              </w:tc>
              <w:tc>
                <w:tcPr>
                  <w:tcW w:w="5115" w:type="dxa"/>
                </w:tcPr>
                <w:p w14:paraId="4D507656" w14:textId="2FE117A6" w:rsidR="006D22C0" w:rsidRPr="00DF6993" w:rsidRDefault="00BE1E57" w:rsidP="008831A3">
                  <w:pPr>
                    <w:rPr>
                      <w:rFonts w:eastAsia="Arial" w:cs="Arial"/>
                      <w:b/>
                      <w:sz w:val="18"/>
                      <w:szCs w:val="18"/>
                      <w:lang w:val="en-GB"/>
                    </w:rPr>
                  </w:pPr>
                  <w:r>
                    <w:rPr>
                      <w:rFonts w:eastAsia="Arial" w:cs="Arial"/>
                      <w:b/>
                      <w:sz w:val="18"/>
                      <w:szCs w:val="18"/>
                      <w:lang w:val="en-GB"/>
                    </w:rPr>
                    <w:t xml:space="preserve">Figure </w:t>
                  </w:r>
                  <w:r w:rsidR="00C42BAF">
                    <w:rPr>
                      <w:rFonts w:eastAsia="Arial" w:cs="Arial"/>
                      <w:b/>
                      <w:sz w:val="18"/>
                      <w:szCs w:val="18"/>
                      <w:lang w:val="en-GB"/>
                    </w:rPr>
                    <w:t>4</w:t>
                  </w:r>
                  <w:r w:rsidR="006D22C0" w:rsidRPr="00DF6993">
                    <w:rPr>
                      <w:rFonts w:eastAsia="Arial" w:cs="Arial"/>
                      <w:b/>
                      <w:sz w:val="18"/>
                      <w:szCs w:val="18"/>
                      <w:lang w:val="en-GB"/>
                    </w:rPr>
                    <w:t xml:space="preserve">. </w:t>
                  </w:r>
                  <w:r w:rsidR="008010EE">
                    <w:rPr>
                      <w:rFonts w:eastAsia="Arial" w:cs="Arial"/>
                      <w:b/>
                      <w:sz w:val="18"/>
                      <w:szCs w:val="18"/>
                      <w:lang w:val="en-GB"/>
                    </w:rPr>
                    <w:t xml:space="preserve">UN high-level meeting on TB: </w:t>
                  </w:r>
                  <w:r w:rsidR="00336E74">
                    <w:rPr>
                      <w:rFonts w:eastAsia="Arial" w:cs="Arial"/>
                      <w:b/>
                      <w:sz w:val="18"/>
                      <w:szCs w:val="18"/>
                      <w:lang w:val="en-GB"/>
                    </w:rPr>
                    <w:t>RR/</w:t>
                  </w:r>
                  <w:r w:rsidR="006D22C0" w:rsidRPr="00DF6993">
                    <w:rPr>
                      <w:rFonts w:eastAsia="Arial" w:cs="Arial"/>
                      <w:b/>
                      <w:sz w:val="18"/>
                      <w:szCs w:val="18"/>
                      <w:lang w:val="en-GB"/>
                    </w:rPr>
                    <w:t>MDR-TB (all ages)</w:t>
                  </w:r>
                </w:p>
              </w:tc>
            </w:tr>
            <w:tr w:rsidR="006D22C0" w:rsidRPr="0005333B" w14:paraId="01C55ED9" w14:textId="77777777" w:rsidTr="00DF6993">
              <w:trPr>
                <w:trHeight w:val="2454"/>
              </w:trPr>
              <w:tc>
                <w:tcPr>
                  <w:tcW w:w="5115" w:type="dxa"/>
                </w:tcPr>
                <w:p w14:paraId="6C68D34A" w14:textId="77777777" w:rsidR="006D22C0" w:rsidRPr="006965D0" w:rsidRDefault="006D22C0" w:rsidP="008831A3">
                  <w:pPr>
                    <w:rPr>
                      <w:rFonts w:eastAsia="Arial" w:cs="Arial"/>
                      <w:sz w:val="18"/>
                      <w:szCs w:val="18"/>
                      <w:lang w:val="en-GB"/>
                    </w:rPr>
                  </w:pPr>
                </w:p>
                <w:p w14:paraId="0C7E9F4B" w14:textId="77777777" w:rsidR="006D22C0" w:rsidRPr="006965D0" w:rsidRDefault="006D22C0" w:rsidP="008831A3">
                  <w:pPr>
                    <w:rPr>
                      <w:rFonts w:eastAsia="Arial" w:cs="Arial"/>
                      <w:sz w:val="18"/>
                      <w:szCs w:val="18"/>
                      <w:lang w:val="en-GB"/>
                    </w:rPr>
                  </w:pPr>
                  <w:r w:rsidRPr="006965D0">
                    <w:rPr>
                      <w:rFonts w:eastAsia="Arial" w:cs="Arial"/>
                      <w:noProof/>
                      <w:sz w:val="18"/>
                      <w:szCs w:val="18"/>
                    </w:rPr>
                    <w:drawing>
                      <wp:inline distT="0" distB="0" distL="0" distR="0" wp14:anchorId="2EBEFE53" wp14:editId="6611BB0F">
                        <wp:extent cx="3067050" cy="1244600"/>
                        <wp:effectExtent l="0" t="0" r="0"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115" w:type="dxa"/>
                </w:tcPr>
                <w:p w14:paraId="70B1B8D0" w14:textId="77777777" w:rsidR="006D22C0" w:rsidRPr="006965D0" w:rsidRDefault="006D22C0" w:rsidP="008831A3">
                  <w:pPr>
                    <w:jc w:val="center"/>
                    <w:rPr>
                      <w:rFonts w:eastAsia="Arial" w:cs="Arial"/>
                      <w:sz w:val="18"/>
                      <w:szCs w:val="18"/>
                      <w:lang w:val="en-GB"/>
                    </w:rPr>
                  </w:pPr>
                </w:p>
                <w:p w14:paraId="6D0C0915" w14:textId="77777777" w:rsidR="006D22C0" w:rsidRPr="006965D0" w:rsidRDefault="006D22C0" w:rsidP="008831A3">
                  <w:pPr>
                    <w:jc w:val="center"/>
                    <w:rPr>
                      <w:rFonts w:eastAsia="Arial" w:cs="Arial"/>
                      <w:sz w:val="18"/>
                      <w:szCs w:val="18"/>
                      <w:lang w:val="en-GB"/>
                    </w:rPr>
                  </w:pPr>
                  <w:r w:rsidRPr="006965D0">
                    <w:rPr>
                      <w:rFonts w:eastAsia="Arial" w:cs="Arial"/>
                      <w:noProof/>
                      <w:sz w:val="18"/>
                      <w:szCs w:val="18"/>
                    </w:rPr>
                    <w:drawing>
                      <wp:inline distT="0" distB="0" distL="0" distR="0" wp14:anchorId="6A8042C8" wp14:editId="2FBD98EC">
                        <wp:extent cx="3086100" cy="1358900"/>
                        <wp:effectExtent l="0" t="0" r="0"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55F9277F" w14:textId="22C6CB98" w:rsidR="007A1F44" w:rsidRDefault="006D22C0" w:rsidP="00DF6993">
            <w:pPr>
              <w:spacing w:after="0" w:line="240" w:lineRule="auto"/>
              <w:rPr>
                <w:rFonts w:eastAsia="Arial" w:cs="Arial"/>
                <w:sz w:val="16"/>
              </w:rPr>
            </w:pPr>
            <w:r w:rsidRPr="00DF6993">
              <w:rPr>
                <w:rFonts w:eastAsia="Arial" w:cs="Arial"/>
                <w:i/>
                <w:sz w:val="16"/>
              </w:rPr>
              <w:t>Source</w:t>
            </w:r>
            <w:r w:rsidRPr="00974FD7">
              <w:rPr>
                <w:rFonts w:eastAsia="Arial" w:cs="Arial"/>
                <w:sz w:val="16"/>
              </w:rPr>
              <w:t xml:space="preserve">: </w:t>
            </w:r>
            <w:r w:rsidRPr="00DF6993">
              <w:rPr>
                <w:rFonts w:eastAsia="Arial" w:cs="Arial"/>
                <w:sz w:val="16"/>
              </w:rPr>
              <w:t>N</w:t>
            </w:r>
            <w:r w:rsidR="00DF6993">
              <w:rPr>
                <w:rFonts w:eastAsia="Arial" w:cs="Arial"/>
                <w:sz w:val="16"/>
              </w:rPr>
              <w:t xml:space="preserve">ational </w:t>
            </w:r>
            <w:r w:rsidRPr="00DF6993">
              <w:rPr>
                <w:rFonts w:eastAsia="Arial" w:cs="Arial"/>
                <w:sz w:val="16"/>
              </w:rPr>
              <w:t>T</w:t>
            </w:r>
            <w:r w:rsidR="00DF6993">
              <w:rPr>
                <w:rFonts w:eastAsia="Arial" w:cs="Arial"/>
                <w:sz w:val="16"/>
              </w:rPr>
              <w:t xml:space="preserve">B </w:t>
            </w:r>
            <w:r w:rsidRPr="00DF6993">
              <w:rPr>
                <w:rFonts w:eastAsia="Arial" w:cs="Arial"/>
                <w:sz w:val="16"/>
              </w:rPr>
              <w:t>P</w:t>
            </w:r>
            <w:r w:rsidR="00DF6993">
              <w:rPr>
                <w:rFonts w:eastAsia="Arial" w:cs="Arial"/>
                <w:sz w:val="16"/>
              </w:rPr>
              <w:t>rogram</w:t>
            </w:r>
          </w:p>
          <w:p w14:paraId="3F7D44B6" w14:textId="77777777" w:rsidR="00DF6993" w:rsidRPr="00974FD7" w:rsidRDefault="00DF6993" w:rsidP="00DF6993">
            <w:pPr>
              <w:spacing w:after="0" w:line="240" w:lineRule="auto"/>
              <w:rPr>
                <w:rFonts w:eastAsia="Arial" w:cs="Arial"/>
                <w:sz w:val="16"/>
              </w:rPr>
            </w:pPr>
          </w:p>
          <w:p w14:paraId="351108C9" w14:textId="5375DB4F" w:rsidR="0007088B" w:rsidRDefault="00D719E7" w:rsidP="00262993">
            <w:pPr>
              <w:spacing w:after="0" w:line="240" w:lineRule="auto"/>
              <w:jc w:val="both"/>
              <w:rPr>
                <w:rFonts w:cs="Arial"/>
              </w:rPr>
            </w:pPr>
            <w:r w:rsidRPr="00DF6993">
              <w:rPr>
                <w:rFonts w:cs="Arial"/>
              </w:rPr>
              <w:t xml:space="preserve">The </w:t>
            </w:r>
            <w:r w:rsidR="00D61991" w:rsidRPr="00DF6993">
              <w:rPr>
                <w:rFonts w:cs="Arial"/>
              </w:rPr>
              <w:t>achievement</w:t>
            </w:r>
            <w:r w:rsidRPr="00DF6993">
              <w:rPr>
                <w:rFonts w:cs="Arial"/>
              </w:rPr>
              <w:t xml:space="preserve"> of</w:t>
            </w:r>
            <w:r w:rsidR="00C47C14" w:rsidRPr="00DF6993">
              <w:rPr>
                <w:rFonts w:cs="Arial"/>
              </w:rPr>
              <w:t xml:space="preserve"> </w:t>
            </w:r>
            <w:r w:rsidR="00DF6993" w:rsidRPr="00DF6993">
              <w:rPr>
                <w:rFonts w:cs="Arial"/>
              </w:rPr>
              <w:t xml:space="preserve">the </w:t>
            </w:r>
            <w:r w:rsidR="0026364C" w:rsidRPr="00DF6993">
              <w:rPr>
                <w:rFonts w:cs="Arial"/>
              </w:rPr>
              <w:t>goals</w:t>
            </w:r>
            <w:r w:rsidR="00C47C14" w:rsidRPr="00DF6993">
              <w:rPr>
                <w:rFonts w:cs="Arial"/>
              </w:rPr>
              <w:t xml:space="preserve"> in TB preventive treatment, though being in line with </w:t>
            </w:r>
            <w:r w:rsidR="0026364C" w:rsidRPr="00DF6993">
              <w:rPr>
                <w:rFonts w:cs="Arial"/>
              </w:rPr>
              <w:t xml:space="preserve">the </w:t>
            </w:r>
            <w:r w:rsidR="00C47C14" w:rsidRPr="00DF6993">
              <w:rPr>
                <w:rFonts w:cs="Arial"/>
              </w:rPr>
              <w:t>global</w:t>
            </w:r>
            <w:r w:rsidR="0026364C" w:rsidRPr="00DF6993">
              <w:rPr>
                <w:rFonts w:cs="Arial"/>
              </w:rPr>
              <w:t>ly reached</w:t>
            </w:r>
            <w:r w:rsidR="00D61991" w:rsidRPr="00DF6993">
              <w:rPr>
                <w:rFonts w:cs="Arial"/>
              </w:rPr>
              <w:t xml:space="preserve"> results</w:t>
            </w:r>
            <w:r w:rsidR="00C47C14" w:rsidRPr="00DF6993">
              <w:rPr>
                <w:rFonts w:cs="Arial"/>
              </w:rPr>
              <w:t xml:space="preserve">, </w:t>
            </w:r>
            <w:r w:rsidR="0026364C" w:rsidRPr="00DF6993">
              <w:rPr>
                <w:rFonts w:cs="Arial"/>
              </w:rPr>
              <w:t xml:space="preserve">yet </w:t>
            </w:r>
            <w:r w:rsidR="00C47C14" w:rsidRPr="00DF6993">
              <w:rPr>
                <w:rFonts w:cs="Arial"/>
              </w:rPr>
              <w:t>remains</w:t>
            </w:r>
            <w:r w:rsidRPr="00DF6993">
              <w:rPr>
                <w:rFonts w:cs="Arial"/>
              </w:rPr>
              <w:t xml:space="preserve"> low. </w:t>
            </w:r>
            <w:r w:rsidR="00157306" w:rsidRPr="00DF6993">
              <w:rPr>
                <w:rFonts w:cs="Arial"/>
              </w:rPr>
              <w:t>In 2018-2022, t</w:t>
            </w:r>
            <w:r w:rsidRPr="00DF6993">
              <w:rPr>
                <w:rFonts w:cs="Arial"/>
              </w:rPr>
              <w:t xml:space="preserve">he </w:t>
            </w:r>
            <w:r w:rsidR="0026364C" w:rsidRPr="00DF6993">
              <w:rPr>
                <w:rFonts w:cs="Arial"/>
              </w:rPr>
              <w:t>TB preventive therapy coverage of all cases and ages</w:t>
            </w:r>
            <w:r w:rsidRPr="00DF6993">
              <w:rPr>
                <w:rFonts w:cs="Arial"/>
              </w:rPr>
              <w:t xml:space="preserve"> </w:t>
            </w:r>
            <w:r w:rsidR="0026364C" w:rsidRPr="00DF6993">
              <w:rPr>
                <w:rFonts w:cs="Arial"/>
              </w:rPr>
              <w:t>made up 29.7% of the target level set for the country</w:t>
            </w:r>
            <w:r w:rsidRPr="00DF6993">
              <w:rPr>
                <w:rFonts w:cs="Arial"/>
              </w:rPr>
              <w:t xml:space="preserve">, </w:t>
            </w:r>
            <w:r w:rsidR="00157306" w:rsidRPr="00DF6993">
              <w:rPr>
                <w:rFonts w:cs="Arial"/>
              </w:rPr>
              <w:t>comparing with</w:t>
            </w:r>
            <w:r w:rsidR="000B064F" w:rsidRPr="00DF6993">
              <w:rPr>
                <w:rFonts w:cs="Arial"/>
              </w:rPr>
              <w:t xml:space="preserve"> 29% of the global result achieved</w:t>
            </w:r>
            <w:r w:rsidRPr="00DF6993">
              <w:rPr>
                <w:rFonts w:cs="Arial"/>
              </w:rPr>
              <w:t xml:space="preserve"> </w:t>
            </w:r>
            <w:r w:rsidR="00157306" w:rsidRPr="00DF6993">
              <w:rPr>
                <w:rFonts w:cs="Arial"/>
              </w:rPr>
              <w:t>in</w:t>
            </w:r>
            <w:r w:rsidR="000B064F" w:rsidRPr="00DF6993">
              <w:rPr>
                <w:rFonts w:cs="Arial"/>
              </w:rPr>
              <w:t xml:space="preserve"> the same</w:t>
            </w:r>
            <w:r w:rsidRPr="00DF6993">
              <w:rPr>
                <w:rFonts w:cs="Arial"/>
              </w:rPr>
              <w:t xml:space="preserve"> period</w:t>
            </w:r>
            <w:r w:rsidR="00C42BAF">
              <w:rPr>
                <w:rFonts w:cs="Arial"/>
              </w:rPr>
              <w:t xml:space="preserve"> (Figure 5)</w:t>
            </w:r>
            <w:r w:rsidRPr="00DF6993">
              <w:rPr>
                <w:rFonts w:cs="Arial"/>
              </w:rPr>
              <w:t>.</w:t>
            </w:r>
            <w:r w:rsidRPr="00DF6993">
              <w:rPr>
                <w:rFonts w:cs="Arial"/>
                <w:b/>
              </w:rPr>
              <w:t xml:space="preserve"> </w:t>
            </w:r>
            <w:r w:rsidRPr="00DF6993">
              <w:rPr>
                <w:rFonts w:cs="Arial"/>
              </w:rPr>
              <w:t>Preventive treatment rates</w:t>
            </w:r>
            <w:r w:rsidRPr="00157306">
              <w:rPr>
                <w:rFonts w:cs="Arial"/>
              </w:rPr>
              <w:t xml:space="preserve"> for children under 5 and for those over 5</w:t>
            </w:r>
            <w:r w:rsidR="00157306" w:rsidRPr="00157306">
              <w:rPr>
                <w:rFonts w:cs="Arial"/>
              </w:rPr>
              <w:t xml:space="preserve"> years old</w:t>
            </w:r>
            <w:r w:rsidR="00157306">
              <w:rPr>
                <w:rFonts w:cs="Arial"/>
              </w:rPr>
              <w:t xml:space="preserve"> formed</w:t>
            </w:r>
            <w:r w:rsidR="00157306" w:rsidRPr="00157306">
              <w:rPr>
                <w:rFonts w:cs="Arial"/>
              </w:rPr>
              <w:t xml:space="preserve"> 24.2% and 24.9%, correspondingly</w:t>
            </w:r>
            <w:r w:rsidRPr="00157306">
              <w:rPr>
                <w:rFonts w:cs="Arial"/>
              </w:rPr>
              <w:t xml:space="preserve">, </w:t>
            </w:r>
            <w:r w:rsidR="00157306">
              <w:rPr>
                <w:rFonts w:cs="Arial"/>
              </w:rPr>
              <w:t>from</w:t>
            </w:r>
            <w:r w:rsidRPr="00157306">
              <w:rPr>
                <w:rFonts w:cs="Arial"/>
              </w:rPr>
              <w:t xml:space="preserve"> the five-year </w:t>
            </w:r>
            <w:r w:rsidR="00157306">
              <w:rPr>
                <w:rFonts w:cs="Arial"/>
              </w:rPr>
              <w:t xml:space="preserve">nationalized </w:t>
            </w:r>
            <w:r w:rsidRPr="00157306">
              <w:rPr>
                <w:rFonts w:cs="Arial"/>
              </w:rPr>
              <w:t>target</w:t>
            </w:r>
            <w:r w:rsidR="00157306">
              <w:rPr>
                <w:rFonts w:cs="Arial"/>
              </w:rPr>
              <w:t xml:space="preserve"> level</w:t>
            </w:r>
            <w:r w:rsidR="00A62464">
              <w:rPr>
                <w:rFonts w:cs="Arial"/>
              </w:rPr>
              <w:t xml:space="preserve"> (Figure</w:t>
            </w:r>
            <w:r w:rsidR="00253480">
              <w:rPr>
                <w:rFonts w:cs="Arial"/>
              </w:rPr>
              <w:t>s</w:t>
            </w:r>
            <w:r w:rsidR="00A62464">
              <w:rPr>
                <w:rFonts w:cs="Arial"/>
              </w:rPr>
              <w:t xml:space="preserve"> 6&amp;7)</w:t>
            </w:r>
            <w:r w:rsidRPr="00157306">
              <w:rPr>
                <w:rFonts w:cs="Arial"/>
              </w:rPr>
              <w:t>.</w:t>
            </w:r>
            <w:r w:rsidRPr="00D719E7">
              <w:rPr>
                <w:rFonts w:cs="Arial"/>
                <w:b/>
              </w:rPr>
              <w:t xml:space="preserve"> </w:t>
            </w:r>
            <w:r w:rsidR="00D61991">
              <w:rPr>
                <w:rFonts w:cs="Arial"/>
              </w:rPr>
              <w:t>Though</w:t>
            </w:r>
            <w:r w:rsidR="00157306" w:rsidRPr="00157306">
              <w:rPr>
                <w:rFonts w:cs="Arial"/>
              </w:rPr>
              <w:t>, t</w:t>
            </w:r>
            <w:r w:rsidRPr="00157306">
              <w:rPr>
                <w:rFonts w:cs="Arial"/>
              </w:rPr>
              <w:t xml:space="preserve">he </w:t>
            </w:r>
            <w:r w:rsidR="00157306" w:rsidRPr="00157306">
              <w:rPr>
                <w:rFonts w:cs="Arial"/>
              </w:rPr>
              <w:t xml:space="preserve">attainment of the PLHIV </w:t>
            </w:r>
            <w:r w:rsidRPr="00157306">
              <w:rPr>
                <w:rFonts w:cs="Arial"/>
              </w:rPr>
              <w:t xml:space="preserve">preventive treatment </w:t>
            </w:r>
            <w:r w:rsidR="00D55972">
              <w:rPr>
                <w:rFonts w:cs="Arial"/>
              </w:rPr>
              <w:t xml:space="preserve">target </w:t>
            </w:r>
            <w:r w:rsidR="00D61991">
              <w:rPr>
                <w:rFonts w:cs="Arial"/>
              </w:rPr>
              <w:t>was somewhat higher (</w:t>
            </w:r>
            <w:r w:rsidRPr="00157306">
              <w:rPr>
                <w:rFonts w:cs="Arial"/>
              </w:rPr>
              <w:t>54.6%</w:t>
            </w:r>
            <w:r w:rsidR="00D61991">
              <w:rPr>
                <w:rFonts w:cs="Arial"/>
              </w:rPr>
              <w:t>)</w:t>
            </w:r>
            <w:r w:rsidRPr="00157306">
              <w:rPr>
                <w:rFonts w:cs="Arial"/>
              </w:rPr>
              <w:t xml:space="preserve"> </w:t>
            </w:r>
            <w:r w:rsidR="008F3240">
              <w:rPr>
                <w:rFonts w:cs="Arial"/>
              </w:rPr>
              <w:t>as shown in Figure 8</w:t>
            </w:r>
            <w:r w:rsidR="00D61991">
              <w:rPr>
                <w:rFonts w:cs="Arial"/>
                <w:b/>
              </w:rPr>
              <w:t xml:space="preserve">. </w:t>
            </w:r>
            <w:r w:rsidR="00DF6993" w:rsidRPr="00DF6993">
              <w:rPr>
                <w:rFonts w:cs="Arial"/>
              </w:rPr>
              <w:t>Consequently</w:t>
            </w:r>
            <w:r w:rsidR="00FA2C81" w:rsidRPr="00FA2C81">
              <w:rPr>
                <w:rFonts w:cs="Arial"/>
              </w:rPr>
              <w:t>, in the mid-term</w:t>
            </w:r>
            <w:r w:rsidR="00FA2C81">
              <w:rPr>
                <w:rFonts w:cs="Arial"/>
              </w:rPr>
              <w:t>,</w:t>
            </w:r>
            <w:r w:rsidR="00FA2C81" w:rsidRPr="00FA2C81">
              <w:rPr>
                <w:rFonts w:cs="Arial"/>
              </w:rPr>
              <w:t xml:space="preserve"> implementing measures for TB preventive treatment in high-risk groups and the co</w:t>
            </w:r>
            <w:r w:rsidR="00FA2C81">
              <w:rPr>
                <w:rFonts w:cs="Arial"/>
              </w:rPr>
              <w:t xml:space="preserve">ntrol of cases with </w:t>
            </w:r>
            <w:r w:rsidR="00913111">
              <w:rPr>
                <w:rFonts w:cs="Arial"/>
              </w:rPr>
              <w:t>RR/MDR</w:t>
            </w:r>
            <w:r w:rsidR="00FA2C81">
              <w:rPr>
                <w:rFonts w:cs="Arial"/>
              </w:rPr>
              <w:t>-TB are</w:t>
            </w:r>
            <w:r w:rsidR="00FA2C81" w:rsidRPr="00FA2C81">
              <w:rPr>
                <w:rFonts w:cs="Arial"/>
              </w:rPr>
              <w:t xml:space="preserve"> among the main dire</w:t>
            </w:r>
            <w:r w:rsidR="00DF6993">
              <w:rPr>
                <w:rFonts w:cs="Arial"/>
              </w:rPr>
              <w:t>ctions the NTP efforts should focus</w:t>
            </w:r>
            <w:r w:rsidR="00FA2C81" w:rsidRPr="00FA2C81">
              <w:rPr>
                <w:rFonts w:cs="Arial"/>
              </w:rPr>
              <w:t xml:space="preserve"> on.</w:t>
            </w:r>
          </w:p>
          <w:p w14:paraId="4F47105C" w14:textId="77777777" w:rsidR="00204EB0" w:rsidRPr="00DF6993" w:rsidRDefault="00204EB0" w:rsidP="00204EB0">
            <w:pPr>
              <w:spacing w:after="0" w:line="240" w:lineRule="auto"/>
              <w:jc w:val="both"/>
              <w:rPr>
                <w:rFonts w:cs="Arial"/>
              </w:rPr>
            </w:pPr>
          </w:p>
          <w:tbl>
            <w:tblPr>
              <w:tblStyle w:val="aa"/>
              <w:tblW w:w="0" w:type="auto"/>
              <w:tblLayout w:type="fixed"/>
              <w:tblLook w:val="04A0" w:firstRow="1" w:lastRow="0" w:firstColumn="1" w:lastColumn="0" w:noHBand="0" w:noVBand="1"/>
            </w:tblPr>
            <w:tblGrid>
              <w:gridCol w:w="5115"/>
              <w:gridCol w:w="5115"/>
            </w:tblGrid>
            <w:tr w:rsidR="0007088B" w:rsidRPr="0005333B" w14:paraId="1D290102" w14:textId="77777777" w:rsidTr="00064DD6">
              <w:trPr>
                <w:trHeight w:val="386"/>
              </w:trPr>
              <w:tc>
                <w:tcPr>
                  <w:tcW w:w="5115" w:type="dxa"/>
                </w:tcPr>
                <w:p w14:paraId="698AD0D2" w14:textId="36E8E5A9" w:rsidR="0007088B" w:rsidRPr="00DF6993" w:rsidRDefault="00C42BAF" w:rsidP="00D80ED2">
                  <w:pPr>
                    <w:jc w:val="both"/>
                    <w:rPr>
                      <w:rFonts w:eastAsia="Arial" w:cs="Arial"/>
                      <w:b/>
                      <w:sz w:val="18"/>
                      <w:szCs w:val="18"/>
                      <w:lang w:val="en-GB"/>
                    </w:rPr>
                  </w:pPr>
                  <w:r>
                    <w:rPr>
                      <w:rFonts w:eastAsia="Arial" w:cs="Arial"/>
                      <w:b/>
                      <w:sz w:val="18"/>
                      <w:szCs w:val="18"/>
                      <w:lang w:val="en-GB"/>
                    </w:rPr>
                    <w:t>Figure 5</w:t>
                  </w:r>
                  <w:r w:rsidR="0007088B" w:rsidRPr="00DF6993">
                    <w:rPr>
                      <w:rFonts w:eastAsia="Arial" w:cs="Arial"/>
                      <w:b/>
                      <w:sz w:val="18"/>
                      <w:szCs w:val="18"/>
                      <w:lang w:val="en-GB"/>
                    </w:rPr>
                    <w:t>. TB Preventive Therapy (TPT), all cases</w:t>
                  </w:r>
                  <w:r w:rsidR="00A62464">
                    <w:rPr>
                      <w:rFonts w:eastAsia="Arial" w:cs="Arial"/>
                      <w:b/>
                      <w:sz w:val="18"/>
                      <w:szCs w:val="18"/>
                      <w:lang w:val="en-GB"/>
                    </w:rPr>
                    <w:t>.</w:t>
                  </w:r>
                </w:p>
              </w:tc>
              <w:tc>
                <w:tcPr>
                  <w:tcW w:w="5115" w:type="dxa"/>
                </w:tcPr>
                <w:p w14:paraId="0D7A0546" w14:textId="03E277EF" w:rsidR="0007088B" w:rsidRPr="00DF6993" w:rsidRDefault="00A62464" w:rsidP="00D80ED2">
                  <w:pPr>
                    <w:rPr>
                      <w:rFonts w:eastAsia="Arial" w:cs="Arial"/>
                      <w:b/>
                      <w:sz w:val="18"/>
                      <w:szCs w:val="18"/>
                      <w:lang w:val="en-GB"/>
                    </w:rPr>
                  </w:pPr>
                  <w:r>
                    <w:rPr>
                      <w:rFonts w:eastAsia="Arial" w:cs="Arial"/>
                      <w:b/>
                      <w:sz w:val="18"/>
                      <w:szCs w:val="18"/>
                      <w:lang w:val="en-GB"/>
                    </w:rPr>
                    <w:t>Figure 6</w:t>
                  </w:r>
                  <w:r w:rsidR="0007088B" w:rsidRPr="00DF6993">
                    <w:rPr>
                      <w:rFonts w:eastAsia="Arial" w:cs="Arial"/>
                      <w:b/>
                      <w:sz w:val="18"/>
                      <w:szCs w:val="18"/>
                      <w:lang w:val="en-GB"/>
                    </w:rPr>
                    <w:t>. TP</w:t>
                  </w:r>
                  <w:r>
                    <w:rPr>
                      <w:rFonts w:eastAsia="Arial" w:cs="Arial"/>
                      <w:b/>
                      <w:sz w:val="18"/>
                      <w:szCs w:val="18"/>
                      <w:lang w:val="en-GB"/>
                    </w:rPr>
                    <w:t>T results for under-five Child c</w:t>
                  </w:r>
                  <w:r w:rsidR="0007088B" w:rsidRPr="00DF6993">
                    <w:rPr>
                      <w:rFonts w:eastAsia="Arial" w:cs="Arial"/>
                      <w:b/>
                      <w:sz w:val="18"/>
                      <w:szCs w:val="18"/>
                      <w:lang w:val="en-GB"/>
                    </w:rPr>
                    <w:t>ontacts</w:t>
                  </w:r>
                </w:p>
              </w:tc>
            </w:tr>
            <w:tr w:rsidR="0007088B" w:rsidRPr="0005333B" w14:paraId="489DF5E9" w14:textId="77777777" w:rsidTr="00064DD6">
              <w:tc>
                <w:tcPr>
                  <w:tcW w:w="5115" w:type="dxa"/>
                </w:tcPr>
                <w:p w14:paraId="49187481" w14:textId="77777777" w:rsidR="0007088B" w:rsidRPr="0005333B" w:rsidRDefault="0007088B" w:rsidP="00D80ED2">
                  <w:pPr>
                    <w:rPr>
                      <w:rFonts w:eastAsia="Arial" w:cs="Arial"/>
                      <w:sz w:val="20"/>
                      <w:lang w:val="en-GB"/>
                    </w:rPr>
                  </w:pPr>
                </w:p>
                <w:p w14:paraId="4A3A5D58" w14:textId="77777777" w:rsidR="0007088B" w:rsidRPr="0005333B" w:rsidRDefault="0007088B" w:rsidP="00D80ED2">
                  <w:pPr>
                    <w:rPr>
                      <w:rFonts w:eastAsia="Arial" w:cs="Arial"/>
                      <w:sz w:val="20"/>
                      <w:lang w:val="ru-RU"/>
                    </w:rPr>
                  </w:pPr>
                  <w:r w:rsidRPr="0005333B">
                    <w:rPr>
                      <w:rFonts w:eastAsia="Arial" w:cs="Arial"/>
                      <w:noProof/>
                    </w:rPr>
                    <w:drawing>
                      <wp:inline distT="0" distB="0" distL="0" distR="0" wp14:anchorId="5463DB59" wp14:editId="52928C78">
                        <wp:extent cx="3110865" cy="1264920"/>
                        <wp:effectExtent l="0" t="0" r="13335" b="3048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115" w:type="dxa"/>
                </w:tcPr>
                <w:p w14:paraId="3C1BC2B3" w14:textId="77777777" w:rsidR="0007088B" w:rsidRPr="0005333B" w:rsidRDefault="0007088B" w:rsidP="00D80ED2">
                  <w:pPr>
                    <w:rPr>
                      <w:rFonts w:eastAsia="Arial" w:cs="Arial"/>
                      <w:sz w:val="20"/>
                      <w:lang w:val="ru-RU"/>
                    </w:rPr>
                  </w:pPr>
                </w:p>
                <w:p w14:paraId="10091CAE" w14:textId="77777777" w:rsidR="0007088B" w:rsidRPr="0005333B" w:rsidRDefault="0007088B" w:rsidP="00D80ED2">
                  <w:pPr>
                    <w:rPr>
                      <w:rFonts w:eastAsia="Arial" w:cs="Arial"/>
                      <w:sz w:val="20"/>
                      <w:lang w:val="ru-RU"/>
                    </w:rPr>
                  </w:pPr>
                  <w:r w:rsidRPr="0005333B">
                    <w:rPr>
                      <w:rFonts w:eastAsia="Arial" w:cs="Arial"/>
                      <w:noProof/>
                    </w:rPr>
                    <w:drawing>
                      <wp:inline distT="0" distB="0" distL="0" distR="0" wp14:anchorId="38CC75A3" wp14:editId="34F15126">
                        <wp:extent cx="3110865" cy="1264920"/>
                        <wp:effectExtent l="0" t="0" r="13335" b="3048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07088B" w:rsidRPr="0005333B" w14:paraId="7BBDF1C1" w14:textId="77777777" w:rsidTr="00064DD6">
              <w:tc>
                <w:tcPr>
                  <w:tcW w:w="5115" w:type="dxa"/>
                </w:tcPr>
                <w:p w14:paraId="6EEFB60C" w14:textId="623EAE99" w:rsidR="0007088B" w:rsidRPr="00CC3D8D" w:rsidRDefault="00A62464" w:rsidP="00D80ED2">
                  <w:pPr>
                    <w:rPr>
                      <w:rFonts w:eastAsia="Arial" w:cs="Arial"/>
                      <w:b/>
                      <w:sz w:val="18"/>
                      <w:szCs w:val="18"/>
                      <w:lang w:val="en-GB"/>
                    </w:rPr>
                  </w:pPr>
                  <w:r w:rsidRPr="00CC3D8D">
                    <w:rPr>
                      <w:rFonts w:eastAsia="Arial" w:cs="Arial"/>
                      <w:b/>
                      <w:sz w:val="18"/>
                      <w:szCs w:val="18"/>
                      <w:lang w:val="en-GB"/>
                    </w:rPr>
                    <w:t>Figure 7</w:t>
                  </w:r>
                  <w:r w:rsidR="0007088B" w:rsidRPr="00CC3D8D">
                    <w:rPr>
                      <w:rFonts w:eastAsia="Arial" w:cs="Arial"/>
                      <w:b/>
                      <w:sz w:val="18"/>
                      <w:szCs w:val="18"/>
                      <w:lang w:val="en-GB"/>
                    </w:rPr>
                    <w:t>. TPT resu</w:t>
                  </w:r>
                  <w:r w:rsidR="008576DA" w:rsidRPr="00CC3D8D">
                    <w:rPr>
                      <w:rFonts w:eastAsia="Arial" w:cs="Arial"/>
                      <w:b/>
                      <w:sz w:val="18"/>
                      <w:szCs w:val="18"/>
                      <w:lang w:val="en-GB"/>
                    </w:rPr>
                    <w:t xml:space="preserve">lts in contacts &gt; 5 </w:t>
                  </w:r>
                  <w:r w:rsidR="0007088B" w:rsidRPr="00CC3D8D">
                    <w:rPr>
                      <w:rFonts w:eastAsia="Arial" w:cs="Arial"/>
                      <w:b/>
                      <w:sz w:val="18"/>
                      <w:szCs w:val="18"/>
                      <w:lang w:val="en-GB"/>
                    </w:rPr>
                    <w:t>years</w:t>
                  </w:r>
                </w:p>
              </w:tc>
              <w:tc>
                <w:tcPr>
                  <w:tcW w:w="5115" w:type="dxa"/>
                </w:tcPr>
                <w:p w14:paraId="7D27D25B" w14:textId="19BD07D7" w:rsidR="0007088B" w:rsidRPr="00CC3D8D" w:rsidRDefault="00A62464" w:rsidP="00D80ED2">
                  <w:pPr>
                    <w:rPr>
                      <w:rFonts w:eastAsia="Arial" w:cs="Arial"/>
                      <w:b/>
                      <w:sz w:val="18"/>
                      <w:szCs w:val="18"/>
                      <w:lang w:val="en-GB"/>
                    </w:rPr>
                  </w:pPr>
                  <w:r w:rsidRPr="00CC3D8D">
                    <w:rPr>
                      <w:rFonts w:eastAsia="Arial" w:cs="Arial"/>
                      <w:b/>
                      <w:sz w:val="18"/>
                      <w:szCs w:val="18"/>
                      <w:lang w:val="en-GB"/>
                    </w:rPr>
                    <w:t>Figure 8</w:t>
                  </w:r>
                  <w:r w:rsidR="0007088B" w:rsidRPr="00CC3D8D">
                    <w:rPr>
                      <w:rFonts w:eastAsia="Arial" w:cs="Arial"/>
                      <w:b/>
                      <w:sz w:val="18"/>
                      <w:szCs w:val="18"/>
                      <w:lang w:val="en-GB"/>
                    </w:rPr>
                    <w:t>. TPT results in PLHIV</w:t>
                  </w:r>
                </w:p>
              </w:tc>
            </w:tr>
            <w:tr w:rsidR="0007088B" w:rsidRPr="0005333B" w14:paraId="2EDCA5FE" w14:textId="77777777" w:rsidTr="00D7756E">
              <w:trPr>
                <w:trHeight w:val="2179"/>
              </w:trPr>
              <w:tc>
                <w:tcPr>
                  <w:tcW w:w="5115" w:type="dxa"/>
                </w:tcPr>
                <w:p w14:paraId="40F06D54" w14:textId="77777777" w:rsidR="0007088B" w:rsidRPr="0005333B" w:rsidRDefault="0007088B" w:rsidP="00D80ED2">
                  <w:pPr>
                    <w:rPr>
                      <w:rFonts w:eastAsia="Arial" w:cs="Arial"/>
                      <w:sz w:val="20"/>
                      <w:lang w:val="en-GB"/>
                    </w:rPr>
                  </w:pPr>
                </w:p>
                <w:p w14:paraId="629EFEDD" w14:textId="77777777" w:rsidR="0007088B" w:rsidRPr="0005333B" w:rsidRDefault="0007088B" w:rsidP="00D80ED2">
                  <w:pPr>
                    <w:rPr>
                      <w:rFonts w:eastAsia="Arial" w:cs="Arial"/>
                      <w:sz w:val="20"/>
                      <w:lang w:val="en-GB"/>
                    </w:rPr>
                  </w:pPr>
                  <w:r w:rsidRPr="0005333B">
                    <w:rPr>
                      <w:rFonts w:eastAsia="Arial" w:cs="Arial"/>
                      <w:noProof/>
                    </w:rPr>
                    <w:drawing>
                      <wp:inline distT="0" distB="0" distL="0" distR="0" wp14:anchorId="55491B8D" wp14:editId="5B23A764">
                        <wp:extent cx="3110865" cy="1711960"/>
                        <wp:effectExtent l="0" t="0" r="13335" b="152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115" w:type="dxa"/>
                </w:tcPr>
                <w:p w14:paraId="08A44BD7" w14:textId="77777777" w:rsidR="0007088B" w:rsidRPr="0005333B" w:rsidRDefault="0007088B" w:rsidP="00D80ED2">
                  <w:pPr>
                    <w:jc w:val="center"/>
                    <w:rPr>
                      <w:rFonts w:eastAsia="Arial" w:cs="Arial"/>
                      <w:sz w:val="20"/>
                      <w:lang w:val="en-GB"/>
                    </w:rPr>
                  </w:pPr>
                </w:p>
                <w:p w14:paraId="21FE2BA2" w14:textId="77777777" w:rsidR="0007088B" w:rsidRPr="0005333B" w:rsidRDefault="0007088B" w:rsidP="00D80ED2">
                  <w:pPr>
                    <w:jc w:val="center"/>
                    <w:rPr>
                      <w:rFonts w:eastAsia="Arial" w:cs="Arial"/>
                      <w:sz w:val="20"/>
                      <w:lang w:val="en-GB"/>
                    </w:rPr>
                  </w:pPr>
                  <w:r w:rsidRPr="0005333B">
                    <w:rPr>
                      <w:rFonts w:eastAsia="Arial" w:cs="Arial"/>
                      <w:noProof/>
                    </w:rPr>
                    <w:drawing>
                      <wp:inline distT="0" distB="0" distL="0" distR="0" wp14:anchorId="17ADC617" wp14:editId="300C009B">
                        <wp:extent cx="3110865" cy="1711960"/>
                        <wp:effectExtent l="0" t="0" r="13335" b="152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6FD9C372" w14:textId="73CB812B" w:rsidR="00FA2C81" w:rsidRPr="00B25071" w:rsidRDefault="0007088B" w:rsidP="008576DA">
            <w:pPr>
              <w:spacing w:after="0" w:line="240" w:lineRule="auto"/>
              <w:rPr>
                <w:rFonts w:eastAsia="Arial" w:cs="Arial"/>
                <w:sz w:val="16"/>
              </w:rPr>
            </w:pPr>
            <w:r w:rsidRPr="008576DA">
              <w:rPr>
                <w:rFonts w:eastAsia="Arial" w:cs="Arial"/>
                <w:i/>
                <w:sz w:val="16"/>
              </w:rPr>
              <w:t>Source</w:t>
            </w:r>
            <w:r w:rsidRPr="00B25071">
              <w:rPr>
                <w:rFonts w:eastAsia="Arial" w:cs="Arial"/>
                <w:sz w:val="16"/>
              </w:rPr>
              <w:t xml:space="preserve">: </w:t>
            </w:r>
            <w:r w:rsidRPr="008576DA">
              <w:rPr>
                <w:rFonts w:eastAsia="Arial" w:cs="Arial"/>
                <w:sz w:val="16"/>
              </w:rPr>
              <w:t>N</w:t>
            </w:r>
            <w:r w:rsidR="008576DA">
              <w:rPr>
                <w:rFonts w:eastAsia="Arial" w:cs="Arial"/>
                <w:sz w:val="16"/>
              </w:rPr>
              <w:t xml:space="preserve">ational </w:t>
            </w:r>
            <w:r w:rsidRPr="008576DA">
              <w:rPr>
                <w:rFonts w:eastAsia="Arial" w:cs="Arial"/>
                <w:sz w:val="16"/>
              </w:rPr>
              <w:t>T</w:t>
            </w:r>
            <w:r w:rsidR="008576DA">
              <w:rPr>
                <w:rFonts w:eastAsia="Arial" w:cs="Arial"/>
                <w:sz w:val="16"/>
              </w:rPr>
              <w:t xml:space="preserve">B </w:t>
            </w:r>
            <w:r w:rsidRPr="008576DA">
              <w:rPr>
                <w:rFonts w:eastAsia="Arial" w:cs="Arial"/>
                <w:sz w:val="16"/>
              </w:rPr>
              <w:t>P</w:t>
            </w:r>
            <w:r w:rsidR="008576DA">
              <w:rPr>
                <w:rFonts w:eastAsia="Arial" w:cs="Arial"/>
                <w:sz w:val="16"/>
              </w:rPr>
              <w:t>rogram.</w:t>
            </w:r>
          </w:p>
          <w:p w14:paraId="61275112" w14:textId="77777777" w:rsidR="008576DA" w:rsidRPr="00B25071" w:rsidRDefault="008576DA" w:rsidP="008576DA">
            <w:pPr>
              <w:spacing w:after="0" w:line="240" w:lineRule="auto"/>
              <w:rPr>
                <w:rFonts w:eastAsia="Arial" w:cs="Arial"/>
                <w:sz w:val="16"/>
              </w:rPr>
            </w:pPr>
          </w:p>
          <w:p w14:paraId="1AEA38D2" w14:textId="7ACCD083" w:rsidR="00F72FF7" w:rsidRDefault="0007088B" w:rsidP="00262993">
            <w:pPr>
              <w:spacing w:after="0" w:line="240" w:lineRule="auto"/>
              <w:jc w:val="both"/>
              <w:rPr>
                <w:rFonts w:cs="Arial"/>
                <w:color w:val="00B050"/>
              </w:rPr>
            </w:pPr>
            <w:r w:rsidRPr="00D80ED2">
              <w:rPr>
                <w:rFonts w:cs="Arial"/>
              </w:rPr>
              <w:t>According to the latest WHO estimates for</w:t>
            </w:r>
            <w:r w:rsidR="00D80ED2" w:rsidRPr="00D80ED2">
              <w:rPr>
                <w:rFonts w:cs="Arial"/>
              </w:rPr>
              <w:t xml:space="preserve"> Kazakhstan</w:t>
            </w:r>
            <w:r w:rsidRPr="00D80ED2">
              <w:rPr>
                <w:rFonts w:cs="Arial"/>
              </w:rPr>
              <w:t>, the inciden</w:t>
            </w:r>
            <w:r w:rsidR="00D80ED2" w:rsidRPr="00D80ED2">
              <w:rPr>
                <w:rFonts w:cs="Arial"/>
              </w:rPr>
              <w:t>ce of TB (new and relapse</w:t>
            </w:r>
            <w:r w:rsidR="00C05107">
              <w:rPr>
                <w:rFonts w:cs="Arial"/>
              </w:rPr>
              <w:t>s</w:t>
            </w:r>
            <w:r w:rsidRPr="00D80ED2">
              <w:rPr>
                <w:rFonts w:cs="Arial"/>
              </w:rPr>
              <w:t>) was 69 cases per 100,000 population</w:t>
            </w:r>
            <w:r w:rsidRPr="00D80ED2">
              <w:rPr>
                <w:rStyle w:val="af"/>
                <w:rFonts w:cs="Arial"/>
              </w:rPr>
              <w:footnoteReference w:id="36"/>
            </w:r>
            <w:r w:rsidRPr="00D80ED2">
              <w:rPr>
                <w:rFonts w:cs="Arial"/>
              </w:rPr>
              <w:t>, or in</w:t>
            </w:r>
            <w:r w:rsidR="00D80ED2" w:rsidRPr="00D80ED2">
              <w:rPr>
                <w:rFonts w:cs="Arial"/>
              </w:rPr>
              <w:t xml:space="preserve"> absolute numbers 13,000 (</w:t>
            </w:r>
            <w:r w:rsidRPr="00D80ED2">
              <w:rPr>
                <w:rFonts w:cs="Arial"/>
              </w:rPr>
              <w:t>8,400–19,000) patients</w:t>
            </w:r>
            <w:r w:rsidR="00D80ED2" w:rsidRPr="00D80ED2">
              <w:rPr>
                <w:rFonts w:cs="Arial"/>
              </w:rPr>
              <w:t xml:space="preserve"> in 2020. Over the past decade, the </w:t>
            </w:r>
            <w:r w:rsidRPr="00D80ED2">
              <w:rPr>
                <w:rFonts w:cs="Arial"/>
              </w:rPr>
              <w:t xml:space="preserve">indicator has decreased </w:t>
            </w:r>
            <w:r w:rsidR="00D80ED2" w:rsidRPr="00D80ED2">
              <w:rPr>
                <w:rFonts w:cs="Arial"/>
              </w:rPr>
              <w:t xml:space="preserve">by more than twice </w:t>
            </w:r>
            <w:r w:rsidR="008576DA">
              <w:rPr>
                <w:rFonts w:cs="Arial"/>
              </w:rPr>
              <w:t>from</w:t>
            </w:r>
            <w:r w:rsidR="00D80ED2" w:rsidRPr="00D80ED2">
              <w:rPr>
                <w:rFonts w:cs="Arial"/>
              </w:rPr>
              <w:t xml:space="preserve"> 158 cases per 100,000</w:t>
            </w:r>
            <w:r w:rsidRPr="00D80ED2">
              <w:rPr>
                <w:rFonts w:cs="Arial"/>
              </w:rPr>
              <w:t xml:space="preserve"> in 2008</w:t>
            </w:r>
            <w:r w:rsidR="0079175F">
              <w:rPr>
                <w:rFonts w:cs="Arial"/>
              </w:rPr>
              <w:t xml:space="preserve"> (Figure 9)</w:t>
            </w:r>
            <w:r w:rsidRPr="00D80ED2">
              <w:rPr>
                <w:rFonts w:cs="Arial"/>
              </w:rPr>
              <w:t>.</w:t>
            </w:r>
            <w:r w:rsidR="007F3EC3">
              <w:rPr>
                <w:rFonts w:cs="Arial"/>
                <w:b/>
              </w:rPr>
              <w:t xml:space="preserve"> </w:t>
            </w:r>
            <w:r w:rsidR="007F3EC3" w:rsidRPr="007F3EC3">
              <w:rPr>
                <w:rFonts w:cs="Arial"/>
              </w:rPr>
              <w:t>Referring to the same</w:t>
            </w:r>
            <w:r w:rsidRPr="007F3EC3">
              <w:rPr>
                <w:rFonts w:cs="Arial"/>
              </w:rPr>
              <w:t xml:space="preserve"> estimates</w:t>
            </w:r>
            <w:r w:rsidR="00BB7A76">
              <w:rPr>
                <w:rFonts w:cs="Arial"/>
              </w:rPr>
              <w:t>, TB mortality remains at</w:t>
            </w:r>
            <w:r w:rsidRPr="007F3EC3">
              <w:rPr>
                <w:rFonts w:cs="Arial"/>
              </w:rPr>
              <w:t xml:space="preserve"> </w:t>
            </w:r>
            <w:r w:rsidR="001B5638">
              <w:rPr>
                <w:rFonts w:cs="Arial"/>
              </w:rPr>
              <w:t xml:space="preserve">a </w:t>
            </w:r>
            <w:r w:rsidRPr="007F3EC3">
              <w:rPr>
                <w:rFonts w:cs="Arial"/>
              </w:rPr>
              <w:t>relatively low</w:t>
            </w:r>
            <w:r w:rsidR="00BB7A76">
              <w:rPr>
                <w:rFonts w:cs="Arial"/>
              </w:rPr>
              <w:t xml:space="preserve"> level. </w:t>
            </w:r>
            <w:r w:rsidR="001B5638">
              <w:rPr>
                <w:rFonts w:cs="Arial"/>
              </w:rPr>
              <w:t>The d</w:t>
            </w:r>
            <w:r w:rsidR="00BB7A76">
              <w:rPr>
                <w:rFonts w:cs="Arial"/>
              </w:rPr>
              <w:t>eath</w:t>
            </w:r>
            <w:r w:rsidR="001B5638">
              <w:rPr>
                <w:rFonts w:cs="Arial"/>
              </w:rPr>
              <w:t xml:space="preserve"> rate</w:t>
            </w:r>
            <w:r w:rsidR="00BB7A76">
              <w:rPr>
                <w:rFonts w:cs="Arial"/>
              </w:rPr>
              <w:t xml:space="preserve"> due to tuberculosis </w:t>
            </w:r>
            <w:r w:rsidR="00C05107">
              <w:rPr>
                <w:rFonts w:cs="Arial"/>
              </w:rPr>
              <w:t>was 3.2</w:t>
            </w:r>
            <w:r w:rsidR="00C05107" w:rsidRPr="007F3EC3">
              <w:rPr>
                <w:rFonts w:cs="Arial"/>
              </w:rPr>
              <w:t xml:space="preserve"> </w:t>
            </w:r>
            <w:r w:rsidR="001B5638">
              <w:rPr>
                <w:rFonts w:cs="Arial"/>
              </w:rPr>
              <w:t>among HIV-</w:t>
            </w:r>
            <w:r w:rsidR="00BB7A76">
              <w:rPr>
                <w:rFonts w:cs="Arial"/>
              </w:rPr>
              <w:t xml:space="preserve">negative people </w:t>
            </w:r>
            <w:r w:rsidR="00C05107">
              <w:rPr>
                <w:rFonts w:cs="Arial"/>
              </w:rPr>
              <w:t>and 0.68 in</w:t>
            </w:r>
            <w:r w:rsidR="001B5638">
              <w:rPr>
                <w:rFonts w:cs="Arial"/>
              </w:rPr>
              <w:t xml:space="preserve"> </w:t>
            </w:r>
            <w:r w:rsidR="001B5638" w:rsidRPr="007F3EC3">
              <w:rPr>
                <w:rFonts w:cs="Arial"/>
              </w:rPr>
              <w:t>PLHIV</w:t>
            </w:r>
            <w:r w:rsidR="001B5638">
              <w:rPr>
                <w:rFonts w:cs="Arial"/>
              </w:rPr>
              <w:t xml:space="preserve"> </w:t>
            </w:r>
            <w:r w:rsidRPr="007F3EC3">
              <w:rPr>
                <w:rFonts w:cs="Arial"/>
              </w:rPr>
              <w:t xml:space="preserve">per 100,000 </w:t>
            </w:r>
            <w:r w:rsidR="001B5638">
              <w:rPr>
                <w:rFonts w:cs="Arial"/>
              </w:rPr>
              <w:t>population</w:t>
            </w:r>
            <w:r w:rsidRPr="00245BBA">
              <w:rPr>
                <w:rFonts w:cs="Arial"/>
              </w:rPr>
              <w:t xml:space="preserve"> (Figure </w:t>
            </w:r>
            <w:r w:rsidR="0079175F" w:rsidRPr="0079175F">
              <w:rPr>
                <w:rFonts w:cs="Arial"/>
              </w:rPr>
              <w:t>10</w:t>
            </w:r>
            <w:r w:rsidRPr="00245BBA">
              <w:rPr>
                <w:rFonts w:cs="Arial"/>
              </w:rPr>
              <w:t>)</w:t>
            </w:r>
            <w:r w:rsidR="007F3EC3" w:rsidRPr="00245BBA">
              <w:rPr>
                <w:rStyle w:val="af"/>
                <w:rFonts w:cs="Arial"/>
              </w:rPr>
              <w:footnoteReference w:id="37"/>
            </w:r>
            <w:r w:rsidRPr="00245BBA">
              <w:rPr>
                <w:rFonts w:cs="Arial"/>
              </w:rPr>
              <w:t>.</w:t>
            </w:r>
            <w:r w:rsidRPr="00245BBA">
              <w:rPr>
                <w:rFonts w:cs="Arial"/>
                <w:b/>
              </w:rPr>
              <w:t xml:space="preserve"> </w:t>
            </w:r>
            <w:r w:rsidR="00BD0EE6" w:rsidRPr="00245BBA">
              <w:rPr>
                <w:rFonts w:cs="Arial"/>
              </w:rPr>
              <w:t>While a</w:t>
            </w:r>
            <w:r w:rsidRPr="00245BBA">
              <w:rPr>
                <w:rFonts w:cs="Arial"/>
              </w:rPr>
              <w:t>t the same time, the estimated number o</w:t>
            </w:r>
            <w:r w:rsidR="009C4A2A">
              <w:rPr>
                <w:rFonts w:cs="Arial"/>
              </w:rPr>
              <w:t xml:space="preserve">f RR-TB cases in 2019 made up </w:t>
            </w:r>
            <w:r w:rsidRPr="00245BBA">
              <w:rPr>
                <w:rFonts w:cs="Arial"/>
              </w:rPr>
              <w:t>4,100 patients</w:t>
            </w:r>
            <w:r w:rsidR="00BD0EE6" w:rsidRPr="00245BBA">
              <w:rPr>
                <w:rStyle w:val="af"/>
                <w:rFonts w:cs="Arial"/>
              </w:rPr>
              <w:footnoteReference w:id="38"/>
            </w:r>
            <w:r w:rsidRPr="00245BBA">
              <w:rPr>
                <w:rFonts w:cs="Arial"/>
              </w:rPr>
              <w:t>.</w:t>
            </w:r>
            <w:r w:rsidR="007F3EC3" w:rsidRPr="00245BBA">
              <w:rPr>
                <w:rStyle w:val="af"/>
                <w:rFonts w:cs="Arial"/>
                <w:color w:val="00B050"/>
              </w:rPr>
              <w:t xml:space="preserve"> </w:t>
            </w:r>
          </w:p>
          <w:p w14:paraId="5C688FE5" w14:textId="77777777" w:rsidR="00CB5575" w:rsidRDefault="00CB5575" w:rsidP="00262993">
            <w:pPr>
              <w:spacing w:after="0" w:line="240" w:lineRule="auto"/>
              <w:jc w:val="both"/>
              <w:rPr>
                <w:rFonts w:cs="Arial"/>
                <w:color w:val="00B050"/>
              </w:rPr>
            </w:pPr>
          </w:p>
          <w:p w14:paraId="7B7BA361" w14:textId="635F290A" w:rsidR="00CB5575" w:rsidRDefault="00CB5575" w:rsidP="00262993">
            <w:pPr>
              <w:spacing w:after="0" w:line="240" w:lineRule="auto"/>
              <w:jc w:val="both"/>
              <w:rPr>
                <w:rFonts w:asciiTheme="majorHAnsi" w:hAnsiTheme="majorHAnsi" w:cstheme="majorHAnsi"/>
              </w:rPr>
            </w:pPr>
            <w:r>
              <w:rPr>
                <w:rFonts w:asciiTheme="majorHAnsi" w:hAnsiTheme="majorHAnsi"/>
              </w:rPr>
              <w:t>From the Nati</w:t>
            </w:r>
            <w:r w:rsidR="00711A1F">
              <w:rPr>
                <w:rFonts w:asciiTheme="majorHAnsi" w:hAnsiTheme="majorHAnsi"/>
              </w:rPr>
              <w:t>onal TB Registry</w:t>
            </w:r>
            <w:r>
              <w:rPr>
                <w:rFonts w:asciiTheme="majorHAnsi" w:hAnsiTheme="majorHAnsi"/>
              </w:rPr>
              <w:t>, t</w:t>
            </w:r>
            <w:r w:rsidRPr="00C50B6B">
              <w:rPr>
                <w:rFonts w:asciiTheme="majorHAnsi" w:hAnsiTheme="majorHAnsi"/>
              </w:rPr>
              <w:t>he total number of registered new and relapsed cases in the civilian and pe</w:t>
            </w:r>
            <w:r>
              <w:rPr>
                <w:rFonts w:asciiTheme="majorHAnsi" w:hAnsiTheme="majorHAnsi"/>
              </w:rPr>
              <w:t>nitentiary sectors was 9,603 in 2020.</w:t>
            </w:r>
            <w:r w:rsidRPr="00C50B6B">
              <w:rPr>
                <w:rFonts w:asciiTheme="majorHAnsi" w:hAnsiTheme="majorHAnsi"/>
              </w:rPr>
              <w:t xml:space="preserve"> </w:t>
            </w:r>
            <w:r>
              <w:rPr>
                <w:rFonts w:asciiTheme="majorHAnsi" w:hAnsiTheme="majorHAnsi" w:cstheme="majorHAnsi"/>
              </w:rPr>
              <w:t>C</w:t>
            </w:r>
            <w:r w:rsidRPr="00D34617">
              <w:rPr>
                <w:rFonts w:asciiTheme="majorHAnsi" w:hAnsiTheme="majorHAnsi" w:cstheme="majorHAnsi"/>
              </w:rPr>
              <w:t xml:space="preserve">ompared </w:t>
            </w:r>
            <w:r>
              <w:rPr>
                <w:rFonts w:asciiTheme="majorHAnsi" w:hAnsiTheme="majorHAnsi" w:cstheme="majorHAnsi"/>
              </w:rPr>
              <w:t>to 2019, it was declined by 20.6</w:t>
            </w:r>
            <w:r w:rsidRPr="00D34617">
              <w:rPr>
                <w:rFonts w:asciiTheme="majorHAnsi" w:hAnsiTheme="majorHAnsi" w:cstheme="majorHAnsi"/>
              </w:rPr>
              <w:t xml:space="preserve">%. </w:t>
            </w:r>
            <w:r>
              <w:rPr>
                <w:rFonts w:asciiTheme="majorHAnsi" w:hAnsiTheme="majorHAnsi" w:cstheme="majorHAnsi"/>
              </w:rPr>
              <w:t xml:space="preserve">The average annual decrease registered in the past five years made up 9.4%, and the cases were reduced from </w:t>
            </w:r>
            <w:r w:rsidRPr="00D64F8A">
              <w:rPr>
                <w:rFonts w:asciiTheme="majorHAnsi" w:hAnsiTheme="majorHAnsi" w:cstheme="majorHAnsi"/>
              </w:rPr>
              <w:t xml:space="preserve">14,345 (80.6 cases per 100,000 population) </w:t>
            </w:r>
            <w:r>
              <w:rPr>
                <w:rFonts w:asciiTheme="majorHAnsi" w:hAnsiTheme="majorHAnsi" w:cstheme="majorHAnsi"/>
              </w:rPr>
              <w:t xml:space="preserve">in 2016 to </w:t>
            </w:r>
            <w:r w:rsidRPr="00D64F8A">
              <w:rPr>
                <w:rFonts w:asciiTheme="majorHAnsi" w:hAnsiTheme="majorHAnsi" w:cstheme="majorHAnsi"/>
              </w:rPr>
              <w:t xml:space="preserve">9,603 </w:t>
            </w:r>
            <w:r>
              <w:rPr>
                <w:rFonts w:asciiTheme="majorHAnsi" w:hAnsiTheme="majorHAnsi" w:cstheme="majorHAnsi"/>
              </w:rPr>
              <w:t xml:space="preserve">cases </w:t>
            </w:r>
            <w:r w:rsidRPr="00D64F8A">
              <w:rPr>
                <w:rFonts w:asciiTheme="majorHAnsi" w:hAnsiTheme="majorHAnsi" w:cstheme="majorHAnsi"/>
              </w:rPr>
              <w:t xml:space="preserve">(51 </w:t>
            </w:r>
            <w:r>
              <w:rPr>
                <w:rFonts w:asciiTheme="majorHAnsi" w:hAnsiTheme="majorHAnsi" w:cstheme="majorHAnsi"/>
              </w:rPr>
              <w:t>per</w:t>
            </w:r>
            <w:r w:rsidRPr="00D64F8A">
              <w:rPr>
                <w:rFonts w:asciiTheme="majorHAnsi" w:hAnsiTheme="majorHAnsi" w:cstheme="majorHAnsi"/>
              </w:rPr>
              <w:t xml:space="preserve"> 100,000</w:t>
            </w:r>
            <w:r>
              <w:rPr>
                <w:rFonts w:asciiTheme="majorHAnsi" w:hAnsiTheme="majorHAnsi" w:cstheme="majorHAnsi"/>
              </w:rPr>
              <w:t xml:space="preserve"> population) in </w:t>
            </w:r>
            <w:r w:rsidRPr="00D64F8A">
              <w:rPr>
                <w:rFonts w:asciiTheme="majorHAnsi" w:hAnsiTheme="majorHAnsi" w:cstheme="majorHAnsi"/>
              </w:rPr>
              <w:t>2020</w:t>
            </w:r>
            <w:r>
              <w:rPr>
                <w:rFonts w:asciiTheme="majorHAnsi" w:hAnsiTheme="majorHAnsi" w:cstheme="majorHAnsi"/>
              </w:rPr>
              <w:t xml:space="preserve"> (Figure </w:t>
            </w:r>
            <w:r w:rsidRPr="00262993">
              <w:rPr>
                <w:rFonts w:asciiTheme="majorHAnsi" w:hAnsiTheme="majorHAnsi" w:cstheme="majorHAnsi"/>
              </w:rPr>
              <w:t>11</w:t>
            </w:r>
            <w:r>
              <w:rPr>
                <w:rFonts w:asciiTheme="majorHAnsi" w:hAnsiTheme="majorHAnsi" w:cstheme="majorHAnsi"/>
              </w:rPr>
              <w:t>)</w:t>
            </w:r>
            <w:r w:rsidRPr="00D64F8A">
              <w:rPr>
                <w:rFonts w:asciiTheme="majorHAnsi" w:hAnsiTheme="majorHAnsi" w:cstheme="majorHAnsi"/>
              </w:rPr>
              <w:t>.</w:t>
            </w:r>
            <w:r>
              <w:rPr>
                <w:rFonts w:asciiTheme="majorHAnsi" w:hAnsiTheme="majorHAnsi" w:cstheme="majorHAnsi"/>
              </w:rPr>
              <w:t xml:space="preserve"> Reported sharp decline in TB cases in 2020 was </w:t>
            </w:r>
            <w:r w:rsidR="00D26BB9">
              <w:rPr>
                <w:rFonts w:asciiTheme="majorHAnsi" w:hAnsiTheme="majorHAnsi" w:cstheme="majorHAnsi"/>
              </w:rPr>
              <w:t>triggered</w:t>
            </w:r>
            <w:r>
              <w:rPr>
                <w:rFonts w:asciiTheme="majorHAnsi" w:hAnsiTheme="majorHAnsi" w:cstheme="majorHAnsi"/>
              </w:rPr>
              <w:t xml:space="preserve"> by disruptions of TB services caused by the coronavirus pandemic to be detailed in paragraphs below. </w:t>
            </w:r>
          </w:p>
          <w:p w14:paraId="6A03B3B9" w14:textId="77777777" w:rsidR="00204EB0" w:rsidRPr="00F72FF7" w:rsidRDefault="00204EB0" w:rsidP="00204EB0">
            <w:pPr>
              <w:spacing w:after="0" w:line="240" w:lineRule="auto"/>
              <w:jc w:val="both"/>
              <w:rPr>
                <w:rFonts w:cs="Arial"/>
              </w:rPr>
            </w:pPr>
          </w:p>
          <w:tbl>
            <w:tblPr>
              <w:tblStyle w:val="aa"/>
              <w:tblW w:w="0" w:type="auto"/>
              <w:tblLayout w:type="fixed"/>
              <w:tblLook w:val="04A0" w:firstRow="1" w:lastRow="0" w:firstColumn="1" w:lastColumn="0" w:noHBand="0" w:noVBand="1"/>
            </w:tblPr>
            <w:tblGrid>
              <w:gridCol w:w="5372"/>
              <w:gridCol w:w="4858"/>
            </w:tblGrid>
            <w:tr w:rsidR="00F72FF7" w:rsidRPr="00F72FF7" w14:paraId="5EDA563F" w14:textId="77777777" w:rsidTr="00064DD6">
              <w:trPr>
                <w:trHeight w:val="485"/>
              </w:trPr>
              <w:tc>
                <w:tcPr>
                  <w:tcW w:w="5372" w:type="dxa"/>
                </w:tcPr>
                <w:p w14:paraId="2692A197" w14:textId="7303FF26" w:rsidR="00F72FF7" w:rsidRPr="008576DA" w:rsidRDefault="0079175F" w:rsidP="001B244C">
                  <w:pPr>
                    <w:jc w:val="both"/>
                    <w:rPr>
                      <w:rFonts w:cs="Arial"/>
                      <w:b/>
                      <w:sz w:val="18"/>
                      <w:szCs w:val="18"/>
                    </w:rPr>
                  </w:pPr>
                  <w:r>
                    <w:rPr>
                      <w:rFonts w:cs="Arial"/>
                      <w:b/>
                      <w:sz w:val="18"/>
                      <w:szCs w:val="18"/>
                    </w:rPr>
                    <w:t xml:space="preserve">Figure 9. </w:t>
                  </w:r>
                  <w:r w:rsidR="00F72FF7" w:rsidRPr="008576DA">
                    <w:rPr>
                      <w:rFonts w:cs="Arial"/>
                      <w:b/>
                      <w:sz w:val="18"/>
                      <w:szCs w:val="18"/>
                    </w:rPr>
                    <w:t>WHO estimates of T</w:t>
                  </w:r>
                  <w:r w:rsidR="00CC3D8D">
                    <w:rPr>
                      <w:rFonts w:cs="Arial"/>
                      <w:b/>
                      <w:sz w:val="18"/>
                      <w:szCs w:val="18"/>
                    </w:rPr>
                    <w:t xml:space="preserve">B incidence in Kazakhstan, 2000 - </w:t>
                  </w:r>
                  <w:r w:rsidR="00F72FF7" w:rsidRPr="008576DA">
                    <w:rPr>
                      <w:rFonts w:cs="Arial"/>
                      <w:b/>
                      <w:sz w:val="18"/>
                      <w:szCs w:val="18"/>
                    </w:rPr>
                    <w:t>2020</w:t>
                  </w:r>
                </w:p>
              </w:tc>
              <w:tc>
                <w:tcPr>
                  <w:tcW w:w="4858" w:type="dxa"/>
                </w:tcPr>
                <w:p w14:paraId="624DD467" w14:textId="1C7F7F2D" w:rsidR="00F72FF7" w:rsidRPr="008576DA" w:rsidRDefault="0079175F" w:rsidP="001B244C">
                  <w:pPr>
                    <w:jc w:val="both"/>
                    <w:rPr>
                      <w:rFonts w:cs="Arial"/>
                      <w:b/>
                      <w:sz w:val="18"/>
                      <w:szCs w:val="18"/>
                    </w:rPr>
                  </w:pPr>
                  <w:r>
                    <w:rPr>
                      <w:rFonts w:cs="Arial"/>
                      <w:b/>
                      <w:sz w:val="18"/>
                      <w:szCs w:val="18"/>
                    </w:rPr>
                    <w:t>Figure 10.</w:t>
                  </w:r>
                  <w:r w:rsidR="00F72FF7" w:rsidRPr="008576DA">
                    <w:rPr>
                      <w:rFonts w:cs="Arial"/>
                      <w:b/>
                      <w:sz w:val="18"/>
                      <w:szCs w:val="18"/>
                    </w:rPr>
                    <w:t xml:space="preserve"> WHO estimates of HIV-negative T</w:t>
                  </w:r>
                  <w:r w:rsidR="00CC3D8D">
                    <w:rPr>
                      <w:rFonts w:cs="Arial"/>
                      <w:b/>
                      <w:sz w:val="18"/>
                      <w:szCs w:val="18"/>
                    </w:rPr>
                    <w:t xml:space="preserve">B mortality in Kazakhstan, 2000 - </w:t>
                  </w:r>
                  <w:r w:rsidR="00F72FF7" w:rsidRPr="008576DA">
                    <w:rPr>
                      <w:rFonts w:cs="Arial"/>
                      <w:b/>
                      <w:sz w:val="18"/>
                      <w:szCs w:val="18"/>
                    </w:rPr>
                    <w:t>2020</w:t>
                  </w:r>
                </w:p>
              </w:tc>
            </w:tr>
            <w:tr w:rsidR="00F72FF7" w14:paraId="0DF7E64D" w14:textId="77777777" w:rsidTr="00104EC6">
              <w:trPr>
                <w:trHeight w:val="3451"/>
              </w:trPr>
              <w:tc>
                <w:tcPr>
                  <w:tcW w:w="5372" w:type="dxa"/>
                </w:tcPr>
                <w:p w14:paraId="792B9F20" w14:textId="77777777" w:rsidR="00F72FF7" w:rsidRDefault="00F72FF7" w:rsidP="001B244C">
                  <w:pPr>
                    <w:rPr>
                      <w:rFonts w:cs="Arial"/>
                      <w:lang w:val="ru-RU"/>
                    </w:rPr>
                  </w:pPr>
                  <w:r>
                    <w:rPr>
                      <w:noProof/>
                    </w:rPr>
                    <w:drawing>
                      <wp:inline distT="0" distB="0" distL="0" distR="0" wp14:anchorId="2143B9C6" wp14:editId="58AC132D">
                        <wp:extent cx="3129280" cy="1811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29280" cy="1811020"/>
                                </a:xfrm>
                                <a:prstGeom prst="rect">
                                  <a:avLst/>
                                </a:prstGeom>
                              </pic:spPr>
                            </pic:pic>
                          </a:graphicData>
                        </a:graphic>
                      </wp:inline>
                    </w:drawing>
                  </w:r>
                </w:p>
              </w:tc>
              <w:tc>
                <w:tcPr>
                  <w:tcW w:w="4858" w:type="dxa"/>
                </w:tcPr>
                <w:p w14:paraId="19849294" w14:textId="77777777" w:rsidR="00F72FF7" w:rsidRDefault="00F72FF7" w:rsidP="001B244C">
                  <w:pPr>
                    <w:rPr>
                      <w:rFonts w:cs="Arial"/>
                      <w:lang w:val="ru-RU"/>
                    </w:rPr>
                  </w:pPr>
                  <w:r>
                    <w:rPr>
                      <w:noProof/>
                    </w:rPr>
                    <w:drawing>
                      <wp:inline distT="0" distB="0" distL="0" distR="0" wp14:anchorId="68ACA7D4" wp14:editId="4EDB933B">
                        <wp:extent cx="2937510" cy="158242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37510" cy="1582420"/>
                                </a:xfrm>
                                <a:prstGeom prst="rect">
                                  <a:avLst/>
                                </a:prstGeom>
                              </pic:spPr>
                            </pic:pic>
                          </a:graphicData>
                        </a:graphic>
                      </wp:inline>
                    </w:drawing>
                  </w:r>
                </w:p>
              </w:tc>
            </w:tr>
          </w:tbl>
          <w:p w14:paraId="35F26D77" w14:textId="34A5FBA5" w:rsidR="003915A1" w:rsidRPr="00974FD7" w:rsidRDefault="003915A1" w:rsidP="003915A1">
            <w:pPr>
              <w:spacing w:after="0" w:line="240" w:lineRule="auto"/>
              <w:rPr>
                <w:rFonts w:cs="Arial"/>
                <w:sz w:val="16"/>
                <w:szCs w:val="16"/>
              </w:rPr>
            </w:pPr>
            <w:r w:rsidRPr="00974FD7">
              <w:rPr>
                <w:rFonts w:cs="Arial"/>
                <w:i/>
                <w:sz w:val="16"/>
                <w:szCs w:val="16"/>
              </w:rPr>
              <w:t>Source</w:t>
            </w:r>
            <w:r w:rsidRPr="00974FD7">
              <w:rPr>
                <w:rFonts w:cs="Arial"/>
                <w:sz w:val="16"/>
                <w:szCs w:val="16"/>
              </w:rPr>
              <w:t>: WHO data</w:t>
            </w:r>
          </w:p>
          <w:p w14:paraId="1092F3D4" w14:textId="77777777" w:rsidR="00262993" w:rsidRPr="00906BA3" w:rsidRDefault="00262993" w:rsidP="00262993">
            <w:pPr>
              <w:spacing w:after="0" w:line="240" w:lineRule="auto"/>
              <w:jc w:val="both"/>
              <w:rPr>
                <w:rFonts w:asciiTheme="majorHAnsi" w:hAnsiTheme="majorHAnsi" w:cstheme="majorHAnsi"/>
              </w:rPr>
            </w:pPr>
          </w:p>
          <w:p w14:paraId="021F75C7" w14:textId="55D7EC29" w:rsidR="0007088B" w:rsidRPr="009C6C33" w:rsidRDefault="00262993" w:rsidP="009C6C33">
            <w:pPr>
              <w:jc w:val="both"/>
              <w:rPr>
                <w:rFonts w:cs="Arial"/>
                <w:b/>
              </w:rPr>
            </w:pPr>
            <w:r>
              <w:rPr>
                <w:rFonts w:cs="Arial"/>
                <w:b/>
              </w:rPr>
              <w:t>Figure 11.</w:t>
            </w:r>
            <w:r w:rsidR="009C6C33" w:rsidRPr="009C6C33">
              <w:rPr>
                <w:rFonts w:cs="Arial"/>
                <w:b/>
              </w:rPr>
              <w:t xml:space="preserve"> Case notification and estimated TB incidence rates, Kazakhstan, 2000-2019</w:t>
            </w:r>
          </w:p>
          <w:p w14:paraId="2FB85921" w14:textId="77777777" w:rsidR="00484E70" w:rsidRDefault="009C6C33" w:rsidP="00484E70">
            <w:pPr>
              <w:rPr>
                <w:rFonts w:cs="Arial"/>
                <w:b/>
              </w:rPr>
            </w:pPr>
            <w:r>
              <w:rPr>
                <w:rFonts w:cs="Arial"/>
                <w:noProof/>
              </w:rPr>
              <w:drawing>
                <wp:inline distT="0" distB="0" distL="0" distR="0" wp14:anchorId="26A12E51" wp14:editId="1FD52364">
                  <wp:extent cx="6515100" cy="34671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15100" cy="3467100"/>
                          </a:xfrm>
                          <a:prstGeom prst="rect">
                            <a:avLst/>
                          </a:prstGeom>
                          <a:noFill/>
                        </pic:spPr>
                      </pic:pic>
                    </a:graphicData>
                  </a:graphic>
                </wp:inline>
              </w:drawing>
            </w:r>
          </w:p>
          <w:p w14:paraId="36F4CD70" w14:textId="4E401AAF" w:rsidR="00484E70" w:rsidRDefault="00484E70" w:rsidP="003915A1">
            <w:pPr>
              <w:spacing w:after="0" w:line="240" w:lineRule="auto"/>
              <w:rPr>
                <w:rFonts w:cstheme="minorHAnsi"/>
                <w:sz w:val="16"/>
                <w:szCs w:val="16"/>
              </w:rPr>
            </w:pPr>
            <w:r w:rsidRPr="003915A1">
              <w:rPr>
                <w:rFonts w:eastAsia="MinionPro-Regular" w:cstheme="minorHAnsi"/>
                <w:i/>
                <w:iCs/>
                <w:sz w:val="16"/>
                <w:szCs w:val="16"/>
              </w:rPr>
              <w:t xml:space="preserve">Source: </w:t>
            </w:r>
            <w:r w:rsidRPr="003915A1">
              <w:rPr>
                <w:rFonts w:cstheme="minorHAnsi"/>
                <w:sz w:val="16"/>
                <w:szCs w:val="16"/>
              </w:rPr>
              <w:t>World Health Organization, Global Health Observatory data repository; Incidence.</w:t>
            </w:r>
          </w:p>
          <w:p w14:paraId="532ED98B" w14:textId="77777777" w:rsidR="003915A1" w:rsidRPr="003915A1" w:rsidRDefault="003915A1" w:rsidP="003915A1">
            <w:pPr>
              <w:spacing w:after="0" w:line="240" w:lineRule="auto"/>
              <w:rPr>
                <w:rFonts w:cs="Arial"/>
                <w:b/>
                <w:sz w:val="16"/>
                <w:szCs w:val="16"/>
              </w:rPr>
            </w:pPr>
          </w:p>
          <w:p w14:paraId="518F05B2" w14:textId="77777777" w:rsidR="00104EC6" w:rsidRDefault="00104EC6" w:rsidP="00204EB0">
            <w:pPr>
              <w:spacing w:after="0" w:line="240" w:lineRule="auto"/>
              <w:jc w:val="both"/>
              <w:rPr>
                <w:rFonts w:cs="Arial"/>
              </w:rPr>
            </w:pPr>
          </w:p>
          <w:p w14:paraId="07CB1FD7" w14:textId="169140DE" w:rsidR="0040172B" w:rsidRDefault="0008675D" w:rsidP="00204EB0">
            <w:pPr>
              <w:spacing w:after="0" w:line="240" w:lineRule="auto"/>
              <w:jc w:val="both"/>
              <w:rPr>
                <w:rFonts w:cs="Arial"/>
              </w:rPr>
            </w:pPr>
            <w:r w:rsidRPr="005C4BD4">
              <w:rPr>
                <w:rFonts w:cs="Arial"/>
              </w:rPr>
              <w:t xml:space="preserve">There are geographical variations observed in the TB </w:t>
            </w:r>
            <w:r w:rsidR="001A113A" w:rsidRPr="005C4BD4">
              <w:rPr>
                <w:rFonts w:cs="Arial"/>
              </w:rPr>
              <w:t xml:space="preserve">case </w:t>
            </w:r>
            <w:r w:rsidRPr="005C4BD4">
              <w:rPr>
                <w:rFonts w:cs="Arial"/>
              </w:rPr>
              <w:t>notification rate</w:t>
            </w:r>
            <w:r w:rsidR="001A113A" w:rsidRPr="005C4BD4">
              <w:rPr>
                <w:rFonts w:cs="Arial"/>
              </w:rPr>
              <w:t xml:space="preserve"> (new cases and relapses</w:t>
            </w:r>
            <w:r w:rsidR="008576DA">
              <w:rPr>
                <w:rFonts w:cs="Arial"/>
              </w:rPr>
              <w:t>) in the civil sector</w:t>
            </w:r>
            <w:r w:rsidR="001A113A" w:rsidRPr="005C4BD4">
              <w:rPr>
                <w:rFonts w:cs="Arial"/>
              </w:rPr>
              <w:t>. It was lower than the national average in three cities of</w:t>
            </w:r>
            <w:r w:rsidRPr="005C4BD4">
              <w:rPr>
                <w:rFonts w:cs="Arial"/>
              </w:rPr>
              <w:t xml:space="preserve"> republican significance and four oblasts, </w:t>
            </w:r>
            <w:r w:rsidR="001A113A" w:rsidRPr="005C4BD4">
              <w:rPr>
                <w:rFonts w:cs="Arial"/>
              </w:rPr>
              <w:t>and higher in the remaining ten oblasts</w:t>
            </w:r>
            <w:r w:rsidR="005C4BD4" w:rsidRPr="005C4BD4">
              <w:rPr>
                <w:rFonts w:cs="Arial"/>
              </w:rPr>
              <w:t>, notably fluctuating between</w:t>
            </w:r>
            <w:r w:rsidRPr="005C4BD4">
              <w:rPr>
                <w:rFonts w:cs="Arial"/>
              </w:rPr>
              <w:t xml:space="preserve"> 31.1 </w:t>
            </w:r>
            <w:r w:rsidR="005C4BD4" w:rsidRPr="005C4BD4">
              <w:rPr>
                <w:rFonts w:cs="Arial"/>
              </w:rPr>
              <w:t>in Shymkent and</w:t>
            </w:r>
            <w:r w:rsidRPr="005C4BD4">
              <w:rPr>
                <w:rFonts w:cs="Arial"/>
              </w:rPr>
              <w:t xml:space="preserve"> 87.4 in Atyrau oblast </w:t>
            </w:r>
            <w:r w:rsidR="005C4BD4" w:rsidRPr="005C4BD4">
              <w:rPr>
                <w:rFonts w:cs="Arial"/>
              </w:rPr>
              <w:t xml:space="preserve">per 100,000 population </w:t>
            </w:r>
            <w:r w:rsidRPr="005C4BD4">
              <w:rPr>
                <w:rFonts w:cs="Arial"/>
              </w:rPr>
              <w:t>(Figure</w:t>
            </w:r>
            <w:r w:rsidR="007A36E9">
              <w:rPr>
                <w:rFonts w:cs="Arial"/>
              </w:rPr>
              <w:t xml:space="preserve"> 12</w:t>
            </w:r>
            <w:r w:rsidRPr="005C4BD4">
              <w:rPr>
                <w:rFonts w:cs="Arial"/>
              </w:rPr>
              <w:t>).</w:t>
            </w:r>
          </w:p>
          <w:p w14:paraId="5EB3B032" w14:textId="77777777" w:rsidR="00104EC6" w:rsidRDefault="00104EC6" w:rsidP="00204EB0">
            <w:pPr>
              <w:spacing w:after="0" w:line="240" w:lineRule="auto"/>
              <w:jc w:val="both"/>
              <w:rPr>
                <w:rFonts w:cs="Arial"/>
              </w:rPr>
            </w:pPr>
          </w:p>
          <w:p w14:paraId="2E7B6467" w14:textId="15B1575E" w:rsidR="00104EC6" w:rsidRPr="00104EC6" w:rsidRDefault="00104EC6" w:rsidP="00204EB0">
            <w:pPr>
              <w:spacing w:after="0" w:line="240" w:lineRule="auto"/>
              <w:jc w:val="both"/>
              <w:rPr>
                <w:rFonts w:asciiTheme="majorHAnsi" w:hAnsiTheme="majorHAnsi" w:cstheme="majorHAnsi"/>
              </w:rPr>
            </w:pPr>
            <w:r w:rsidRPr="001B5A5A">
              <w:rPr>
                <w:rFonts w:asciiTheme="majorHAnsi" w:hAnsiTheme="majorHAnsi" w:cstheme="majorHAnsi"/>
              </w:rPr>
              <w:t xml:space="preserve">In 2020 </w:t>
            </w:r>
            <w:r>
              <w:rPr>
                <w:rFonts w:asciiTheme="majorHAnsi" w:hAnsiTheme="majorHAnsi" w:cstheme="majorHAnsi"/>
              </w:rPr>
              <w:t xml:space="preserve">TB </w:t>
            </w:r>
            <w:r w:rsidRPr="001B5A5A">
              <w:rPr>
                <w:rFonts w:asciiTheme="majorHAnsi" w:hAnsiTheme="majorHAnsi" w:cstheme="majorHAnsi"/>
              </w:rPr>
              <w:t xml:space="preserve">cases, no </w:t>
            </w:r>
            <w:r>
              <w:rPr>
                <w:rFonts w:asciiTheme="majorHAnsi" w:hAnsiTheme="majorHAnsi" w:cstheme="majorHAnsi"/>
              </w:rPr>
              <w:t xml:space="preserve">significant </w:t>
            </w:r>
            <w:r w:rsidRPr="001B5A5A">
              <w:rPr>
                <w:rFonts w:asciiTheme="majorHAnsi" w:hAnsiTheme="majorHAnsi" w:cstheme="majorHAnsi"/>
              </w:rPr>
              <w:t>sex prevalence to a male-to-female ratio</w:t>
            </w:r>
            <w:r>
              <w:rPr>
                <w:rFonts w:asciiTheme="majorHAnsi" w:hAnsiTheme="majorHAnsi" w:cstheme="majorHAnsi"/>
              </w:rPr>
              <w:t xml:space="preserve"> was observed</w:t>
            </w:r>
            <w:r w:rsidRPr="001B5A5A">
              <w:rPr>
                <w:rFonts w:asciiTheme="majorHAnsi" w:hAnsiTheme="majorHAnsi" w:cstheme="majorHAnsi"/>
              </w:rPr>
              <w:t>; the pre</w:t>
            </w:r>
            <w:r>
              <w:rPr>
                <w:rFonts w:asciiTheme="majorHAnsi" w:hAnsiTheme="majorHAnsi" w:cstheme="majorHAnsi"/>
              </w:rPr>
              <w:t>valence percentage among men made up</w:t>
            </w:r>
            <w:r w:rsidRPr="001B5A5A">
              <w:rPr>
                <w:rFonts w:asciiTheme="majorHAnsi" w:hAnsiTheme="majorHAnsi" w:cstheme="majorHAnsi"/>
              </w:rPr>
              <w:t xml:space="preserve"> </w:t>
            </w:r>
            <w:r>
              <w:rPr>
                <w:rFonts w:asciiTheme="majorHAnsi" w:hAnsiTheme="majorHAnsi" w:cstheme="majorHAnsi"/>
              </w:rPr>
              <w:t>50.9</w:t>
            </w:r>
            <w:r w:rsidRPr="001B5A5A">
              <w:rPr>
                <w:rFonts w:asciiTheme="majorHAnsi" w:hAnsiTheme="majorHAnsi" w:cstheme="majorHAnsi"/>
              </w:rPr>
              <w:t xml:space="preserve"> </w:t>
            </w:r>
            <w:r w:rsidRPr="00D34617">
              <w:rPr>
                <w:rFonts w:asciiTheme="majorHAnsi" w:hAnsiTheme="majorHAnsi" w:cstheme="majorHAnsi"/>
              </w:rPr>
              <w:t xml:space="preserve">Tuberculosis </w:t>
            </w:r>
            <w:r>
              <w:rPr>
                <w:rFonts w:asciiTheme="majorHAnsi" w:hAnsiTheme="majorHAnsi" w:cstheme="majorHAnsi"/>
              </w:rPr>
              <w:t xml:space="preserve">has </w:t>
            </w:r>
            <w:r w:rsidRPr="00D34617">
              <w:rPr>
                <w:rFonts w:asciiTheme="majorHAnsi" w:hAnsiTheme="majorHAnsi" w:cstheme="majorHAnsi"/>
              </w:rPr>
              <w:t xml:space="preserve">mostly affected economically active population </w:t>
            </w:r>
            <w:r>
              <w:rPr>
                <w:rFonts w:asciiTheme="majorHAnsi" w:hAnsiTheme="majorHAnsi" w:cstheme="majorHAnsi"/>
              </w:rPr>
              <w:t>with</w:t>
            </w:r>
            <w:r w:rsidRPr="00D34617">
              <w:rPr>
                <w:rFonts w:asciiTheme="majorHAnsi" w:hAnsiTheme="majorHAnsi" w:cstheme="majorHAnsi"/>
              </w:rPr>
              <w:t xml:space="preserve"> </w:t>
            </w:r>
            <w:r>
              <w:rPr>
                <w:rFonts w:asciiTheme="majorHAnsi" w:hAnsiTheme="majorHAnsi" w:cstheme="majorHAnsi"/>
              </w:rPr>
              <w:t>highest number of cases recorded at</w:t>
            </w:r>
            <w:r w:rsidRPr="00D34617">
              <w:rPr>
                <w:rFonts w:asciiTheme="majorHAnsi" w:hAnsiTheme="majorHAnsi" w:cstheme="majorHAnsi"/>
              </w:rPr>
              <w:t xml:space="preserve"> 25-</w:t>
            </w:r>
            <w:r>
              <w:rPr>
                <w:rFonts w:asciiTheme="majorHAnsi" w:hAnsiTheme="majorHAnsi" w:cstheme="majorHAnsi"/>
              </w:rPr>
              <w:t>64</w:t>
            </w:r>
            <w:r w:rsidRPr="00D34617">
              <w:rPr>
                <w:rFonts w:asciiTheme="majorHAnsi" w:hAnsiTheme="majorHAnsi" w:cstheme="majorHAnsi"/>
              </w:rPr>
              <w:t xml:space="preserve"> age groups</w:t>
            </w:r>
            <w:r>
              <w:rPr>
                <w:rFonts w:asciiTheme="majorHAnsi" w:hAnsiTheme="majorHAnsi" w:cstheme="majorHAnsi"/>
              </w:rPr>
              <w:t xml:space="preserve"> (Figure 13). </w:t>
            </w:r>
          </w:p>
          <w:p w14:paraId="44A9992A" w14:textId="77777777" w:rsidR="008C4E79" w:rsidRPr="005C4BD4" w:rsidRDefault="008C4E79" w:rsidP="00204EB0">
            <w:pPr>
              <w:spacing w:after="0" w:line="240" w:lineRule="auto"/>
              <w:jc w:val="both"/>
              <w:rPr>
                <w:rFonts w:cs="Arial"/>
              </w:rPr>
            </w:pPr>
          </w:p>
          <w:p w14:paraId="7D65948B" w14:textId="52DF2694" w:rsidR="005C4BD4" w:rsidRPr="00204EB0" w:rsidRDefault="007A36E9" w:rsidP="008C4E79">
            <w:pPr>
              <w:spacing w:after="240" w:line="240" w:lineRule="auto"/>
              <w:jc w:val="both"/>
              <w:rPr>
                <w:rFonts w:cs="Arial"/>
                <w:b/>
              </w:rPr>
            </w:pPr>
            <w:r>
              <w:rPr>
                <w:rFonts w:cs="Arial"/>
                <w:b/>
              </w:rPr>
              <w:t>Figure 12.</w:t>
            </w:r>
            <w:r w:rsidR="005C4BD4" w:rsidRPr="008C0F2F">
              <w:rPr>
                <w:rFonts w:cs="Arial"/>
                <w:b/>
              </w:rPr>
              <w:t xml:space="preserve"> TB notification by r</w:t>
            </w:r>
            <w:r>
              <w:rPr>
                <w:rFonts w:cs="Arial"/>
                <w:b/>
              </w:rPr>
              <w:t xml:space="preserve">egions in Kazakhstan, </w:t>
            </w:r>
            <w:r w:rsidR="00CC3D8D">
              <w:rPr>
                <w:rFonts w:cs="Arial"/>
                <w:b/>
              </w:rPr>
              <w:t>2019-2020</w:t>
            </w:r>
          </w:p>
          <w:p w14:paraId="3D008345" w14:textId="77777777" w:rsidR="005C4BD4" w:rsidRDefault="005C4BD4" w:rsidP="005C4BD4">
            <w:pPr>
              <w:jc w:val="center"/>
              <w:rPr>
                <w:rFonts w:cs="Arial"/>
                <w:color w:val="00B050"/>
              </w:rPr>
            </w:pPr>
            <w:r>
              <w:rPr>
                <w:noProof/>
              </w:rPr>
              <w:drawing>
                <wp:inline distT="0" distB="0" distL="0" distR="0" wp14:anchorId="65EE2B8E" wp14:editId="40F3A62D">
                  <wp:extent cx="5962650" cy="2301240"/>
                  <wp:effectExtent l="0" t="0" r="31750" b="355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7B8C1C3" w14:textId="6A0804FA" w:rsidR="005C4BD4" w:rsidRDefault="005C4BD4" w:rsidP="00C82FA8">
            <w:pPr>
              <w:spacing w:after="0" w:line="240" w:lineRule="auto"/>
              <w:jc w:val="both"/>
              <w:rPr>
                <w:rFonts w:cstheme="minorHAnsi"/>
                <w:sz w:val="16"/>
                <w:szCs w:val="16"/>
              </w:rPr>
            </w:pPr>
            <w:r w:rsidRPr="002F74DA">
              <w:rPr>
                <w:rFonts w:cstheme="minorHAnsi"/>
                <w:i/>
                <w:sz w:val="16"/>
                <w:szCs w:val="16"/>
              </w:rPr>
              <w:t>Source:</w:t>
            </w:r>
            <w:r w:rsidRPr="002F74DA">
              <w:rPr>
                <w:rFonts w:cstheme="minorHAnsi"/>
                <w:sz w:val="16"/>
                <w:szCs w:val="16"/>
              </w:rPr>
              <w:t xml:space="preserve"> </w:t>
            </w:r>
            <w:r w:rsidR="008C0F2F" w:rsidRPr="002F74DA">
              <w:rPr>
                <w:rFonts w:cstheme="minorHAnsi"/>
                <w:sz w:val="16"/>
                <w:szCs w:val="16"/>
              </w:rPr>
              <w:t>N</w:t>
            </w:r>
            <w:r w:rsidR="001B5A5A" w:rsidRPr="002F74DA">
              <w:rPr>
                <w:rFonts w:cstheme="minorHAnsi"/>
                <w:sz w:val="16"/>
                <w:szCs w:val="16"/>
              </w:rPr>
              <w:t xml:space="preserve">ational </w:t>
            </w:r>
            <w:r w:rsidR="008C0F2F" w:rsidRPr="002F74DA">
              <w:rPr>
                <w:rFonts w:cstheme="minorHAnsi"/>
                <w:sz w:val="16"/>
                <w:szCs w:val="16"/>
              </w:rPr>
              <w:t>T</w:t>
            </w:r>
            <w:r w:rsidR="001B5A5A" w:rsidRPr="002F74DA">
              <w:rPr>
                <w:rFonts w:cstheme="minorHAnsi"/>
                <w:sz w:val="16"/>
                <w:szCs w:val="16"/>
              </w:rPr>
              <w:t xml:space="preserve">B </w:t>
            </w:r>
            <w:r w:rsidR="008C0F2F" w:rsidRPr="002F74DA">
              <w:rPr>
                <w:rFonts w:cstheme="minorHAnsi"/>
                <w:sz w:val="16"/>
                <w:szCs w:val="16"/>
              </w:rPr>
              <w:t>P</w:t>
            </w:r>
            <w:r w:rsidR="001B5A5A" w:rsidRPr="002F74DA">
              <w:rPr>
                <w:rFonts w:cstheme="minorHAnsi"/>
                <w:sz w:val="16"/>
                <w:szCs w:val="16"/>
              </w:rPr>
              <w:t>rogram</w:t>
            </w:r>
            <w:r w:rsidRPr="002F74DA">
              <w:rPr>
                <w:rFonts w:cstheme="minorHAnsi"/>
                <w:sz w:val="16"/>
                <w:szCs w:val="16"/>
              </w:rPr>
              <w:t xml:space="preserve">. </w:t>
            </w:r>
            <w:r w:rsidRPr="002F74DA">
              <w:rPr>
                <w:rFonts w:cstheme="minorHAnsi"/>
                <w:i/>
                <w:sz w:val="16"/>
                <w:szCs w:val="16"/>
              </w:rPr>
              <w:t>Data refers to civilian sector only</w:t>
            </w:r>
            <w:r w:rsidRPr="002F74DA">
              <w:rPr>
                <w:rFonts w:cstheme="minorHAnsi"/>
                <w:sz w:val="16"/>
                <w:szCs w:val="16"/>
              </w:rPr>
              <w:t>.</w:t>
            </w:r>
          </w:p>
          <w:p w14:paraId="1B0EDBC4" w14:textId="77777777" w:rsidR="002F74DA" w:rsidRPr="002F74DA" w:rsidRDefault="002F74DA" w:rsidP="002F74DA">
            <w:pPr>
              <w:spacing w:after="0" w:line="240" w:lineRule="auto"/>
              <w:jc w:val="both"/>
              <w:rPr>
                <w:rFonts w:cstheme="minorHAnsi"/>
                <w:sz w:val="16"/>
                <w:szCs w:val="16"/>
              </w:rPr>
            </w:pPr>
          </w:p>
          <w:p w14:paraId="279078F3" w14:textId="77777777" w:rsidR="00C82FA8" w:rsidRPr="001B5A5A" w:rsidRDefault="00C82FA8" w:rsidP="00C82FA8">
            <w:pPr>
              <w:spacing w:after="0" w:line="240" w:lineRule="auto"/>
              <w:jc w:val="both"/>
              <w:rPr>
                <w:rFonts w:cs="Arial"/>
                <w:b/>
                <w:sz w:val="18"/>
                <w:szCs w:val="18"/>
              </w:rPr>
            </w:pPr>
          </w:p>
          <w:p w14:paraId="7D4FD339" w14:textId="595090AF" w:rsidR="001B5A5A" w:rsidRPr="001B5A5A" w:rsidRDefault="00C82FA8" w:rsidP="001B5A5A">
            <w:pPr>
              <w:jc w:val="both"/>
              <w:rPr>
                <w:rFonts w:cs="Arial"/>
                <w:b/>
              </w:rPr>
            </w:pPr>
            <w:r>
              <w:rPr>
                <w:rFonts w:cs="Arial"/>
                <w:b/>
              </w:rPr>
              <w:t>Figure 13</w:t>
            </w:r>
            <w:r w:rsidR="001B5A5A" w:rsidRPr="001B5A5A">
              <w:rPr>
                <w:rFonts w:cs="Arial"/>
                <w:b/>
              </w:rPr>
              <w:t>: Proportion of notified TB cases by age group and sex (absolute numbers), 2020</w:t>
            </w:r>
          </w:p>
          <w:p w14:paraId="7A6720AC" w14:textId="77777777" w:rsidR="001B5A5A" w:rsidRDefault="001B5A5A" w:rsidP="001B5A5A">
            <w:pPr>
              <w:jc w:val="center"/>
              <w:rPr>
                <w:rFonts w:cs="Arial"/>
              </w:rPr>
            </w:pPr>
            <w:r>
              <w:rPr>
                <w:noProof/>
              </w:rPr>
              <w:drawing>
                <wp:inline distT="0" distB="0" distL="0" distR="0" wp14:anchorId="574A7EE8" wp14:editId="43D388FB">
                  <wp:extent cx="6388100" cy="2227580"/>
                  <wp:effectExtent l="0" t="0" r="12700" b="330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15D6722" w14:textId="553E110E" w:rsidR="001B5A5A" w:rsidRDefault="001B5A5A" w:rsidP="00C82FA8">
            <w:pPr>
              <w:spacing w:after="0" w:line="240" w:lineRule="auto"/>
              <w:jc w:val="both"/>
              <w:rPr>
                <w:rFonts w:cstheme="minorHAnsi"/>
                <w:sz w:val="16"/>
                <w:szCs w:val="16"/>
              </w:rPr>
            </w:pPr>
            <w:r w:rsidRPr="00C82FA8">
              <w:rPr>
                <w:rFonts w:cstheme="minorHAnsi"/>
                <w:i/>
                <w:sz w:val="16"/>
                <w:szCs w:val="16"/>
              </w:rPr>
              <w:t>Source:</w:t>
            </w:r>
            <w:r w:rsidRPr="00C82FA8">
              <w:rPr>
                <w:rFonts w:cstheme="minorHAnsi"/>
                <w:sz w:val="16"/>
                <w:szCs w:val="16"/>
              </w:rPr>
              <w:t xml:space="preserve"> National TB Program. </w:t>
            </w:r>
          </w:p>
          <w:p w14:paraId="5845A9B2" w14:textId="77777777" w:rsidR="00C82FA8" w:rsidRPr="00C82FA8" w:rsidRDefault="00C82FA8" w:rsidP="00C82FA8">
            <w:pPr>
              <w:spacing w:after="0" w:line="240" w:lineRule="auto"/>
              <w:jc w:val="both"/>
              <w:rPr>
                <w:rFonts w:cstheme="minorHAnsi"/>
                <w:sz w:val="16"/>
                <w:szCs w:val="16"/>
              </w:rPr>
            </w:pPr>
          </w:p>
          <w:p w14:paraId="5D7700EB" w14:textId="2E48D253" w:rsidR="008C0F2F" w:rsidRDefault="00B56217" w:rsidP="00C82FA8">
            <w:pPr>
              <w:spacing w:after="0" w:line="240" w:lineRule="auto"/>
              <w:jc w:val="both"/>
              <w:rPr>
                <w:rFonts w:cs="Arial"/>
              </w:rPr>
            </w:pPr>
            <w:r w:rsidRPr="00B56217">
              <w:rPr>
                <w:rFonts w:cs="Arial"/>
              </w:rPr>
              <w:t>Over the past 10 years, both TB incidence (new cases and relapse</w:t>
            </w:r>
            <w:r>
              <w:rPr>
                <w:rFonts w:cs="Arial"/>
              </w:rPr>
              <w:t>s) and TB mortality have shown the</w:t>
            </w:r>
            <w:r w:rsidRPr="00B56217">
              <w:rPr>
                <w:rFonts w:cs="Arial"/>
              </w:rPr>
              <w:t xml:space="preserve"> marked downward trend</w:t>
            </w:r>
            <w:r>
              <w:rPr>
                <w:rFonts w:cs="Arial"/>
              </w:rPr>
              <w:t>s</w:t>
            </w:r>
            <w:r w:rsidRPr="00B56217">
              <w:rPr>
                <w:rFonts w:cs="Arial"/>
              </w:rPr>
              <w:t xml:space="preserve"> (Figure </w:t>
            </w:r>
            <w:r w:rsidR="00C82FA8">
              <w:rPr>
                <w:rFonts w:cs="Arial"/>
              </w:rPr>
              <w:t>14</w:t>
            </w:r>
            <w:r w:rsidRPr="00B56217">
              <w:rPr>
                <w:rFonts w:cs="Arial"/>
              </w:rPr>
              <w:t>).</w:t>
            </w:r>
          </w:p>
          <w:p w14:paraId="12618AD9" w14:textId="77777777" w:rsidR="00204EB0" w:rsidRDefault="00204EB0" w:rsidP="00204EB0">
            <w:pPr>
              <w:spacing w:after="0" w:line="240" w:lineRule="auto"/>
              <w:jc w:val="both"/>
              <w:rPr>
                <w:rFonts w:cs="Arial"/>
              </w:rPr>
            </w:pPr>
          </w:p>
          <w:p w14:paraId="41007A7F" w14:textId="1FB762A8" w:rsidR="00B56217" w:rsidRPr="00B56217" w:rsidRDefault="00C82FA8" w:rsidP="00B56217">
            <w:pPr>
              <w:jc w:val="both"/>
              <w:rPr>
                <w:rFonts w:cs="Arial"/>
                <w:b/>
              </w:rPr>
            </w:pPr>
            <w:r>
              <w:rPr>
                <w:rFonts w:cs="Arial"/>
                <w:b/>
              </w:rPr>
              <w:t>Figure 14</w:t>
            </w:r>
            <w:r w:rsidR="00B56217" w:rsidRPr="00B56217">
              <w:rPr>
                <w:rFonts w:cs="Arial"/>
                <w:b/>
              </w:rPr>
              <w:t>: Annual TB notification and mort</w:t>
            </w:r>
            <w:r w:rsidR="00CC3D8D">
              <w:rPr>
                <w:rFonts w:cs="Arial"/>
                <w:b/>
              </w:rPr>
              <w:t>ality rates in Kazakhstan, 2009 -</w:t>
            </w:r>
            <w:r w:rsidR="00B56217" w:rsidRPr="00B56217">
              <w:rPr>
                <w:rFonts w:cs="Arial"/>
                <w:b/>
              </w:rPr>
              <w:t xml:space="preserve"> 2020</w:t>
            </w:r>
          </w:p>
          <w:p w14:paraId="4A68201F" w14:textId="77777777" w:rsidR="00B56217" w:rsidRPr="00A741D6" w:rsidRDefault="00B56217" w:rsidP="00B56217">
            <w:pPr>
              <w:jc w:val="center"/>
              <w:rPr>
                <w:rFonts w:cs="Arial"/>
              </w:rPr>
            </w:pPr>
            <w:r>
              <w:rPr>
                <w:noProof/>
              </w:rPr>
              <w:drawing>
                <wp:inline distT="0" distB="0" distL="0" distR="0" wp14:anchorId="32A75123" wp14:editId="7FFF1CF3">
                  <wp:extent cx="5939790" cy="2270760"/>
                  <wp:effectExtent l="0" t="0" r="29210"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159B9A8" w14:textId="6A3C1E82" w:rsidR="00E408FA" w:rsidRDefault="00B56217" w:rsidP="00B56217">
            <w:pPr>
              <w:rPr>
                <w:rFonts w:cstheme="minorHAnsi"/>
                <w:sz w:val="18"/>
              </w:rPr>
            </w:pPr>
            <w:r w:rsidRPr="00B56217">
              <w:rPr>
                <w:rFonts w:cstheme="minorHAnsi"/>
                <w:i/>
                <w:sz w:val="18"/>
              </w:rPr>
              <w:t>Source:</w:t>
            </w:r>
            <w:r w:rsidRPr="00B56217">
              <w:rPr>
                <w:rFonts w:cstheme="minorHAnsi"/>
                <w:sz w:val="18"/>
              </w:rPr>
              <w:t xml:space="preserve"> </w:t>
            </w:r>
            <w:r>
              <w:rPr>
                <w:rFonts w:cstheme="minorHAnsi"/>
                <w:sz w:val="18"/>
              </w:rPr>
              <w:t>WHO</w:t>
            </w:r>
            <w:r w:rsidRPr="00B56217">
              <w:rPr>
                <w:rFonts w:cstheme="minorHAnsi"/>
                <w:sz w:val="18"/>
              </w:rPr>
              <w:t>, Global Hea</w:t>
            </w:r>
            <w:r>
              <w:rPr>
                <w:rFonts w:cstheme="minorHAnsi"/>
                <w:sz w:val="18"/>
              </w:rPr>
              <w:t>lth Observatory data</w:t>
            </w:r>
            <w:r w:rsidRPr="00B56217">
              <w:rPr>
                <w:rFonts w:cstheme="minorHAnsi"/>
                <w:sz w:val="18"/>
              </w:rPr>
              <w:t xml:space="preserve"> repository and National TB Program</w:t>
            </w:r>
            <w:r>
              <w:rPr>
                <w:rFonts w:cstheme="minorHAnsi"/>
                <w:sz w:val="18"/>
              </w:rPr>
              <w:t xml:space="preserve"> statistics.</w:t>
            </w:r>
          </w:p>
          <w:p w14:paraId="4CA8B195" w14:textId="0F92894A" w:rsidR="000C00EF" w:rsidRPr="000C00EF" w:rsidRDefault="000C00EF" w:rsidP="008277CE">
            <w:pPr>
              <w:tabs>
                <w:tab w:val="center" w:pos="5287"/>
              </w:tabs>
              <w:spacing w:before="240" w:line="240" w:lineRule="auto"/>
              <w:jc w:val="both"/>
              <w:rPr>
                <w:rFonts w:cstheme="minorHAnsi"/>
                <w:b/>
              </w:rPr>
            </w:pPr>
            <w:r w:rsidRPr="000C00EF">
              <w:rPr>
                <w:rFonts w:cstheme="minorHAnsi"/>
                <w:b/>
              </w:rPr>
              <w:t>TB in children</w:t>
            </w:r>
            <w:r w:rsidR="008277CE">
              <w:rPr>
                <w:rFonts w:cstheme="minorHAnsi"/>
                <w:b/>
              </w:rPr>
              <w:tab/>
            </w:r>
          </w:p>
          <w:p w14:paraId="2B72B056" w14:textId="4F716779" w:rsidR="0058294F" w:rsidRDefault="00B479A6" w:rsidP="008277CE">
            <w:pPr>
              <w:spacing w:after="0" w:line="240" w:lineRule="auto"/>
              <w:jc w:val="both"/>
              <w:rPr>
                <w:rFonts w:asciiTheme="majorHAnsi" w:hAnsiTheme="majorHAnsi" w:cstheme="majorHAnsi"/>
              </w:rPr>
            </w:pPr>
            <w:r w:rsidRPr="00B479A6">
              <w:rPr>
                <w:rFonts w:cstheme="minorHAnsi"/>
              </w:rPr>
              <w:t xml:space="preserve">The </w:t>
            </w:r>
            <w:r w:rsidR="007C19C2">
              <w:rPr>
                <w:rFonts w:cstheme="minorHAnsi"/>
              </w:rPr>
              <w:t>epidemic data on notified</w:t>
            </w:r>
            <w:r w:rsidRPr="00B479A6">
              <w:rPr>
                <w:rFonts w:cstheme="minorHAnsi"/>
              </w:rPr>
              <w:t xml:space="preserve"> pediatric tuberculosis cases has also shown a declining trend over the past ten years, with an average annual 5.2% reduction, from 34.1 in 2010 to 8.6 in 2020 per 100,000 population. A similar trend </w:t>
            </w:r>
            <w:r w:rsidRPr="007C19C2">
              <w:rPr>
                <w:rFonts w:asciiTheme="majorHAnsi" w:hAnsiTheme="majorHAnsi" w:cstheme="majorHAnsi"/>
              </w:rPr>
              <w:t xml:space="preserve">was detected for cases of MDR-TB in children; TB notification rate has decreased from 3.5 in 2010 to 1.3 in 2020 per 100,000 population. </w:t>
            </w:r>
            <w:r w:rsidR="007C19C2" w:rsidRPr="007C19C2">
              <w:rPr>
                <w:rFonts w:asciiTheme="majorHAnsi" w:hAnsiTheme="majorHAnsi" w:cstheme="majorHAnsi"/>
              </w:rPr>
              <w:t xml:space="preserve">Compared to the 0-14 age group, more TB cases were seen in children aged 15-17 years. </w:t>
            </w:r>
            <w:r w:rsidRPr="007C19C2">
              <w:rPr>
                <w:rFonts w:asciiTheme="majorHAnsi" w:hAnsiTheme="majorHAnsi" w:cstheme="majorHAnsi"/>
              </w:rPr>
              <w:t xml:space="preserve">In 2020, </w:t>
            </w:r>
            <w:r w:rsidR="007C19C2" w:rsidRPr="008277CE">
              <w:rPr>
                <w:rFonts w:asciiTheme="majorHAnsi" w:hAnsiTheme="majorHAnsi" w:cstheme="majorHAnsi"/>
              </w:rPr>
              <w:t xml:space="preserve">when the lockdown and related restrictions in response to COVID-19 was imposed, </w:t>
            </w:r>
            <w:r w:rsidR="008F4CE4" w:rsidRPr="008277CE">
              <w:rPr>
                <w:rFonts w:asciiTheme="majorHAnsi" w:hAnsiTheme="majorHAnsi" w:cstheme="majorHAnsi"/>
              </w:rPr>
              <w:t xml:space="preserve">worrying reduction was observed in TB </w:t>
            </w:r>
            <w:r w:rsidR="007C19C2" w:rsidRPr="008277CE">
              <w:rPr>
                <w:rFonts w:asciiTheme="majorHAnsi" w:hAnsiTheme="majorHAnsi" w:cstheme="majorHAnsi"/>
              </w:rPr>
              <w:t>notifications compared to previous year</w:t>
            </w:r>
            <w:r w:rsidR="008F4CE4" w:rsidRPr="008277CE">
              <w:rPr>
                <w:rFonts w:asciiTheme="majorHAnsi" w:hAnsiTheme="majorHAnsi" w:cstheme="majorHAnsi"/>
              </w:rPr>
              <w:t xml:space="preserve"> data</w:t>
            </w:r>
            <w:r w:rsidRPr="007C19C2">
              <w:rPr>
                <w:rFonts w:asciiTheme="majorHAnsi" w:hAnsiTheme="majorHAnsi" w:cstheme="majorHAnsi"/>
              </w:rPr>
              <w:t xml:space="preserve"> (Figures </w:t>
            </w:r>
            <w:r w:rsidR="0070492E">
              <w:rPr>
                <w:rFonts w:asciiTheme="majorHAnsi" w:hAnsiTheme="majorHAnsi" w:cstheme="majorHAnsi"/>
              </w:rPr>
              <w:t>15-18</w:t>
            </w:r>
            <w:r w:rsidRPr="007C19C2">
              <w:rPr>
                <w:rFonts w:asciiTheme="majorHAnsi" w:hAnsiTheme="majorHAnsi" w:cstheme="majorHAnsi"/>
              </w:rPr>
              <w:t>).</w:t>
            </w:r>
          </w:p>
          <w:p w14:paraId="43186852" w14:textId="77777777" w:rsidR="00204EB0" w:rsidRPr="004D3ACA" w:rsidRDefault="00204EB0" w:rsidP="00204EB0">
            <w:pPr>
              <w:spacing w:after="0" w:line="240" w:lineRule="auto"/>
              <w:jc w:val="both"/>
              <w:rPr>
                <w:rFonts w:asciiTheme="majorHAnsi" w:eastAsia="Times New Roman" w:hAnsiTheme="majorHAnsi" w:cstheme="majorHAnsi"/>
              </w:rPr>
            </w:pPr>
          </w:p>
          <w:tbl>
            <w:tblPr>
              <w:tblStyle w:val="aa"/>
              <w:tblW w:w="0" w:type="auto"/>
              <w:tblLayout w:type="fixed"/>
              <w:tblLook w:val="04A0" w:firstRow="1" w:lastRow="0" w:firstColumn="1" w:lastColumn="0" w:noHBand="0" w:noVBand="1"/>
            </w:tblPr>
            <w:tblGrid>
              <w:gridCol w:w="5115"/>
              <w:gridCol w:w="5115"/>
            </w:tblGrid>
            <w:tr w:rsidR="001A1D6F" w:rsidRPr="00B479A6" w14:paraId="4EEF7889" w14:textId="77777777" w:rsidTr="00064DD6">
              <w:tc>
                <w:tcPr>
                  <w:tcW w:w="5115" w:type="dxa"/>
                </w:tcPr>
                <w:p w14:paraId="4B7848E7" w14:textId="1043ED20" w:rsidR="001A1D6F" w:rsidRPr="00B479A6" w:rsidRDefault="0070492E" w:rsidP="00E408FA">
                  <w:pPr>
                    <w:jc w:val="both"/>
                    <w:rPr>
                      <w:rFonts w:cs="Arial"/>
                      <w:b/>
                      <w:sz w:val="20"/>
                    </w:rPr>
                  </w:pPr>
                  <w:r>
                    <w:rPr>
                      <w:rFonts w:cs="Arial"/>
                      <w:b/>
                      <w:sz w:val="20"/>
                      <w:szCs w:val="20"/>
                    </w:rPr>
                    <w:t>Figure 15</w:t>
                  </w:r>
                  <w:r w:rsidR="001A1D6F" w:rsidRPr="00B479A6">
                    <w:rPr>
                      <w:rFonts w:cs="Arial"/>
                      <w:b/>
                      <w:sz w:val="20"/>
                    </w:rPr>
                    <w:t>. Notification of new TB cases in general population (civilian sector) and in children (0-17 years) per 100,000 population, Kazakhstan, 2010-2020</w:t>
                  </w:r>
                </w:p>
              </w:tc>
              <w:tc>
                <w:tcPr>
                  <w:tcW w:w="5115" w:type="dxa"/>
                </w:tcPr>
                <w:p w14:paraId="6091A839" w14:textId="18EC9ED9" w:rsidR="001A1D6F" w:rsidRPr="00B479A6" w:rsidRDefault="0070492E" w:rsidP="00E408FA">
                  <w:pPr>
                    <w:jc w:val="both"/>
                    <w:rPr>
                      <w:rFonts w:cs="Arial"/>
                      <w:b/>
                      <w:sz w:val="20"/>
                    </w:rPr>
                  </w:pPr>
                  <w:r>
                    <w:rPr>
                      <w:rFonts w:cs="Arial"/>
                      <w:b/>
                      <w:sz w:val="20"/>
                    </w:rPr>
                    <w:t>Figure 16</w:t>
                  </w:r>
                  <w:r w:rsidR="001A1D6F" w:rsidRPr="00B479A6">
                    <w:rPr>
                      <w:rFonts w:cs="Arial"/>
                      <w:b/>
                      <w:sz w:val="20"/>
                    </w:rPr>
                    <w:t>. Notification of new TB cases in children by age groups, per 100,000 population, Kazakhstan, 2010-2020</w:t>
                  </w:r>
                </w:p>
              </w:tc>
            </w:tr>
            <w:tr w:rsidR="001A1D6F" w:rsidRPr="007A1071" w14:paraId="57CC13A5" w14:textId="77777777" w:rsidTr="00064DD6">
              <w:tc>
                <w:tcPr>
                  <w:tcW w:w="5115" w:type="dxa"/>
                </w:tcPr>
                <w:p w14:paraId="53EFF3D7" w14:textId="77777777" w:rsidR="001A1D6F" w:rsidRPr="007A1071" w:rsidRDefault="001A1D6F" w:rsidP="00E408FA">
                  <w:pPr>
                    <w:jc w:val="both"/>
                    <w:rPr>
                      <w:rFonts w:cs="Arial"/>
                      <w:color w:val="3398FF" w:themeColor="accent5" w:themeTint="99"/>
                    </w:rPr>
                  </w:pPr>
                </w:p>
                <w:p w14:paraId="376A514D" w14:textId="77777777" w:rsidR="001A1D6F" w:rsidRPr="007A1071" w:rsidRDefault="001A1D6F" w:rsidP="00E408FA">
                  <w:pPr>
                    <w:jc w:val="both"/>
                    <w:rPr>
                      <w:rFonts w:cs="Arial"/>
                      <w:color w:val="3398FF" w:themeColor="accent5" w:themeTint="99"/>
                    </w:rPr>
                  </w:pPr>
                  <w:r w:rsidRPr="007A1071">
                    <w:rPr>
                      <w:rFonts w:cs="Arial"/>
                      <w:noProof/>
                      <w:color w:val="3398FF" w:themeColor="accent5" w:themeTint="99"/>
                    </w:rPr>
                    <w:drawing>
                      <wp:inline distT="0" distB="0" distL="0" distR="0" wp14:anchorId="560E4CCD" wp14:editId="76F7AC9B">
                        <wp:extent cx="2956560" cy="1407160"/>
                        <wp:effectExtent l="0" t="0" r="1524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5115" w:type="dxa"/>
                </w:tcPr>
                <w:p w14:paraId="04BDDAC8" w14:textId="77777777" w:rsidR="001A1D6F" w:rsidRPr="007A1071" w:rsidRDefault="001A1D6F" w:rsidP="00E408FA">
                  <w:pPr>
                    <w:jc w:val="both"/>
                    <w:rPr>
                      <w:rFonts w:cs="Arial"/>
                      <w:color w:val="3398FF" w:themeColor="accent5" w:themeTint="99"/>
                    </w:rPr>
                  </w:pPr>
                </w:p>
                <w:p w14:paraId="027EDC0A" w14:textId="77777777" w:rsidR="001A1D6F" w:rsidRPr="007A1071" w:rsidRDefault="001A1D6F" w:rsidP="00E408FA">
                  <w:pPr>
                    <w:jc w:val="both"/>
                    <w:rPr>
                      <w:rFonts w:cs="Arial"/>
                      <w:color w:val="3398FF" w:themeColor="accent5" w:themeTint="99"/>
                    </w:rPr>
                  </w:pPr>
                  <w:r w:rsidRPr="007A1071">
                    <w:rPr>
                      <w:rFonts w:cs="Arial"/>
                      <w:noProof/>
                      <w:color w:val="3398FF" w:themeColor="accent5" w:themeTint="99"/>
                    </w:rPr>
                    <w:drawing>
                      <wp:inline distT="0" distB="0" distL="0" distR="0" wp14:anchorId="44FFC3F5" wp14:editId="080B22AE">
                        <wp:extent cx="3082290" cy="1407160"/>
                        <wp:effectExtent l="0" t="0" r="16510" b="152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1A1D6F" w:rsidRPr="007A1071" w14:paraId="0462406D" w14:textId="77777777" w:rsidTr="006553E5">
              <w:trPr>
                <w:trHeight w:val="899"/>
              </w:trPr>
              <w:tc>
                <w:tcPr>
                  <w:tcW w:w="5115" w:type="dxa"/>
                </w:tcPr>
                <w:p w14:paraId="4B1A7AA2" w14:textId="620AF3EE" w:rsidR="001A1D6F" w:rsidRPr="0070492E" w:rsidRDefault="0070492E" w:rsidP="00E408FA">
                  <w:pPr>
                    <w:jc w:val="both"/>
                    <w:rPr>
                      <w:rFonts w:cs="Arial"/>
                      <w:b/>
                    </w:rPr>
                  </w:pPr>
                  <w:r w:rsidRPr="0070492E">
                    <w:rPr>
                      <w:rFonts w:cs="Arial"/>
                      <w:b/>
                      <w:sz w:val="20"/>
                    </w:rPr>
                    <w:t>Figure 17</w:t>
                  </w:r>
                  <w:r w:rsidR="001A1D6F" w:rsidRPr="0070492E">
                    <w:rPr>
                      <w:rFonts w:cs="Arial"/>
                      <w:b/>
                      <w:sz w:val="20"/>
                    </w:rPr>
                    <w:t>. Notification of the MDR-TB cases in general population (civilian sector) and in children (0-17 years) per 100,000 population, Kazakhstan, 2010-2020</w:t>
                  </w:r>
                </w:p>
              </w:tc>
              <w:tc>
                <w:tcPr>
                  <w:tcW w:w="5115" w:type="dxa"/>
                </w:tcPr>
                <w:p w14:paraId="51DF7397" w14:textId="593CE5AC" w:rsidR="001A1D6F" w:rsidRPr="0070492E" w:rsidRDefault="0070492E" w:rsidP="00E408FA">
                  <w:pPr>
                    <w:jc w:val="both"/>
                    <w:rPr>
                      <w:rFonts w:cs="Arial"/>
                      <w:b/>
                    </w:rPr>
                  </w:pPr>
                  <w:r>
                    <w:rPr>
                      <w:rFonts w:cs="Arial"/>
                      <w:b/>
                      <w:sz w:val="20"/>
                    </w:rPr>
                    <w:t>Figure 18</w:t>
                  </w:r>
                  <w:r w:rsidR="001A1D6F" w:rsidRPr="0070492E">
                    <w:rPr>
                      <w:rFonts w:cs="Arial"/>
                      <w:b/>
                      <w:sz w:val="20"/>
                    </w:rPr>
                    <w:t>. Notification of the MDR-TB cases in children by age groups per 100,000 population, Kazakhstan, 2010-2020</w:t>
                  </w:r>
                </w:p>
              </w:tc>
            </w:tr>
            <w:tr w:rsidR="001A1D6F" w:rsidRPr="007A1071" w14:paraId="1EC5ED55" w14:textId="77777777" w:rsidTr="00064DD6">
              <w:tc>
                <w:tcPr>
                  <w:tcW w:w="5115" w:type="dxa"/>
                </w:tcPr>
                <w:p w14:paraId="484E3D89" w14:textId="77777777" w:rsidR="001A1D6F" w:rsidRPr="007A1071" w:rsidRDefault="001A1D6F" w:rsidP="00E408FA">
                  <w:pPr>
                    <w:jc w:val="both"/>
                    <w:rPr>
                      <w:rFonts w:cs="Arial"/>
                      <w:color w:val="3398FF" w:themeColor="accent5" w:themeTint="99"/>
                    </w:rPr>
                  </w:pPr>
                </w:p>
                <w:p w14:paraId="7C9B837D" w14:textId="77777777" w:rsidR="001A1D6F" w:rsidRPr="007A1071" w:rsidRDefault="001A1D6F" w:rsidP="00E408FA">
                  <w:pPr>
                    <w:jc w:val="both"/>
                    <w:rPr>
                      <w:rFonts w:cs="Arial"/>
                      <w:color w:val="3398FF" w:themeColor="accent5" w:themeTint="99"/>
                    </w:rPr>
                  </w:pPr>
                  <w:r w:rsidRPr="007A1071">
                    <w:rPr>
                      <w:rFonts w:cs="Arial"/>
                      <w:noProof/>
                      <w:color w:val="3398FF" w:themeColor="accent5" w:themeTint="99"/>
                    </w:rPr>
                    <w:drawing>
                      <wp:inline distT="0" distB="0" distL="0" distR="0" wp14:anchorId="564F8461" wp14:editId="07A971D5">
                        <wp:extent cx="2865120" cy="1369060"/>
                        <wp:effectExtent l="0" t="0" r="30480" b="279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5115" w:type="dxa"/>
                </w:tcPr>
                <w:p w14:paraId="751040A0" w14:textId="77777777" w:rsidR="001A1D6F" w:rsidRPr="007A1071" w:rsidRDefault="001A1D6F" w:rsidP="00E408FA">
                  <w:pPr>
                    <w:jc w:val="both"/>
                    <w:rPr>
                      <w:rFonts w:cs="Arial"/>
                      <w:color w:val="3398FF" w:themeColor="accent5" w:themeTint="99"/>
                    </w:rPr>
                  </w:pPr>
                </w:p>
                <w:p w14:paraId="0B8C41D3" w14:textId="77777777" w:rsidR="001A1D6F" w:rsidRPr="007A1071" w:rsidRDefault="001A1D6F" w:rsidP="00E408FA">
                  <w:pPr>
                    <w:jc w:val="both"/>
                    <w:rPr>
                      <w:rFonts w:cs="Arial"/>
                      <w:color w:val="3398FF" w:themeColor="accent5" w:themeTint="99"/>
                    </w:rPr>
                  </w:pPr>
                  <w:r w:rsidRPr="007A1071">
                    <w:rPr>
                      <w:rFonts w:cs="Arial"/>
                      <w:noProof/>
                      <w:color w:val="3398FF" w:themeColor="accent5" w:themeTint="99"/>
                    </w:rPr>
                    <w:drawing>
                      <wp:inline distT="0" distB="0" distL="0" distR="0" wp14:anchorId="7A102681" wp14:editId="40A2A29C">
                        <wp:extent cx="3006090" cy="1369060"/>
                        <wp:effectExtent l="0" t="0" r="16510" b="2794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3F3D5547" w14:textId="77777777" w:rsidR="0070492E" w:rsidRDefault="0070492E" w:rsidP="0070492E">
            <w:pPr>
              <w:spacing w:after="0" w:line="240" w:lineRule="auto"/>
              <w:jc w:val="both"/>
              <w:rPr>
                <w:rFonts w:cs="Arial"/>
              </w:rPr>
            </w:pPr>
          </w:p>
          <w:p w14:paraId="37FD9E7E" w14:textId="1291522C" w:rsidR="006553E5" w:rsidRDefault="004D3ACA" w:rsidP="0070492E">
            <w:pPr>
              <w:spacing w:after="0" w:line="240" w:lineRule="auto"/>
              <w:jc w:val="both"/>
              <w:rPr>
                <w:rFonts w:cs="Arial"/>
              </w:rPr>
            </w:pPr>
            <w:r w:rsidRPr="00C642C5">
              <w:rPr>
                <w:rFonts w:cs="Arial"/>
              </w:rPr>
              <w:t xml:space="preserve">However, </w:t>
            </w:r>
            <w:r w:rsidR="00C642C5" w:rsidRPr="00C642C5">
              <w:rPr>
                <w:rFonts w:cs="Arial"/>
              </w:rPr>
              <w:t>d</w:t>
            </w:r>
            <w:r w:rsidRPr="00C642C5">
              <w:rPr>
                <w:rFonts w:cs="Arial"/>
              </w:rPr>
              <w:t xml:space="preserve">uring </w:t>
            </w:r>
            <w:r w:rsidR="00C642C5" w:rsidRPr="00C642C5">
              <w:rPr>
                <w:rFonts w:cs="Arial"/>
              </w:rPr>
              <w:t>the firs</w:t>
            </w:r>
            <w:r w:rsidR="00C642C5">
              <w:rPr>
                <w:rFonts w:cs="Arial"/>
              </w:rPr>
              <w:t>t</w:t>
            </w:r>
            <w:r w:rsidR="00C642C5" w:rsidRPr="00C642C5">
              <w:rPr>
                <w:rFonts w:cs="Arial"/>
              </w:rPr>
              <w:t xml:space="preserve"> </w:t>
            </w:r>
            <w:r w:rsidR="00C642C5">
              <w:rPr>
                <w:rFonts w:cs="Arial"/>
              </w:rPr>
              <w:t>nine</w:t>
            </w:r>
            <w:r w:rsidRPr="00C642C5">
              <w:rPr>
                <w:rFonts w:cs="Arial"/>
              </w:rPr>
              <w:t xml:space="preserve"> months of 2021, </w:t>
            </w:r>
            <w:r w:rsidR="00C642C5">
              <w:rPr>
                <w:rFonts w:cs="Arial"/>
              </w:rPr>
              <w:t xml:space="preserve">linked with health services restoration, </w:t>
            </w:r>
            <w:r w:rsidRPr="00C642C5">
              <w:rPr>
                <w:rFonts w:cs="Arial"/>
              </w:rPr>
              <w:t xml:space="preserve">there was an increase </w:t>
            </w:r>
            <w:r w:rsidR="00C642C5">
              <w:rPr>
                <w:rFonts w:cs="Arial"/>
              </w:rPr>
              <w:t>in the</w:t>
            </w:r>
            <w:r w:rsidR="00450076">
              <w:rPr>
                <w:rFonts w:cs="Arial"/>
              </w:rPr>
              <w:t xml:space="preserve"> number of notified</w:t>
            </w:r>
            <w:r w:rsidR="00103A6B">
              <w:rPr>
                <w:rFonts w:cs="Arial"/>
              </w:rPr>
              <w:t xml:space="preserve"> cases by 13.5</w:t>
            </w:r>
            <w:r w:rsidR="00C642C5">
              <w:rPr>
                <w:rFonts w:cs="Arial"/>
              </w:rPr>
              <w:t>%</w:t>
            </w:r>
            <w:r w:rsidRPr="00C642C5">
              <w:rPr>
                <w:rFonts w:cs="Arial"/>
              </w:rPr>
              <w:t xml:space="preserve"> (33</w:t>
            </w:r>
            <w:r w:rsidR="0070492E">
              <w:rPr>
                <w:rFonts w:cs="Arial"/>
              </w:rPr>
              <w:t xml:space="preserve"> patients belonged</w:t>
            </w:r>
            <w:r w:rsidR="00C642C5">
              <w:rPr>
                <w:rFonts w:cs="Arial"/>
              </w:rPr>
              <w:t xml:space="preserve"> to</w:t>
            </w:r>
            <w:r w:rsidRPr="00C642C5">
              <w:rPr>
                <w:rFonts w:cs="Arial"/>
              </w:rPr>
              <w:t xml:space="preserve"> </w:t>
            </w:r>
            <w:r w:rsidR="00450076">
              <w:rPr>
                <w:rFonts w:cs="Arial"/>
              </w:rPr>
              <w:t xml:space="preserve">the </w:t>
            </w:r>
            <w:r w:rsidRPr="00C642C5">
              <w:rPr>
                <w:rFonts w:cs="Arial"/>
              </w:rPr>
              <w:t xml:space="preserve">0-14 </w:t>
            </w:r>
            <w:r w:rsidR="00C642C5">
              <w:rPr>
                <w:rFonts w:cs="Arial"/>
              </w:rPr>
              <w:t>age group</w:t>
            </w:r>
            <w:r w:rsidRPr="00C642C5">
              <w:rPr>
                <w:rFonts w:cs="Arial"/>
              </w:rPr>
              <w:t xml:space="preserve"> and 28 </w:t>
            </w:r>
            <w:r w:rsidR="00C642C5">
              <w:rPr>
                <w:rFonts w:cs="Arial"/>
              </w:rPr>
              <w:t xml:space="preserve">cases were </w:t>
            </w:r>
            <w:r w:rsidRPr="00C642C5">
              <w:rPr>
                <w:rFonts w:cs="Arial"/>
              </w:rPr>
              <w:t xml:space="preserve">among adolescents </w:t>
            </w:r>
            <w:r w:rsidR="00C642C5">
              <w:rPr>
                <w:rFonts w:cs="Arial"/>
              </w:rPr>
              <w:t>aged 15-17 years</w:t>
            </w:r>
            <w:r w:rsidR="00450076">
              <w:rPr>
                <w:rFonts w:cs="Arial"/>
              </w:rPr>
              <w:t xml:space="preserve">) or </w:t>
            </w:r>
            <w:r w:rsidR="00450076" w:rsidRPr="00C642C5">
              <w:rPr>
                <w:rFonts w:cs="Arial"/>
              </w:rPr>
              <w:t>6.8</w:t>
            </w:r>
            <w:r w:rsidRPr="00C642C5">
              <w:rPr>
                <w:rFonts w:cs="Arial"/>
              </w:rPr>
              <w:t xml:space="preserve"> </w:t>
            </w:r>
            <w:r w:rsidR="00450076">
              <w:rPr>
                <w:rFonts w:cs="Arial"/>
              </w:rPr>
              <w:t xml:space="preserve">cases </w:t>
            </w:r>
            <w:r w:rsidRPr="00C642C5">
              <w:rPr>
                <w:rFonts w:cs="Arial"/>
              </w:rPr>
              <w:t>per 100,000 population</w:t>
            </w:r>
            <w:r w:rsidR="0070492E">
              <w:rPr>
                <w:rFonts w:cs="Arial"/>
              </w:rPr>
              <w:t xml:space="preserve"> (Figure 19)</w:t>
            </w:r>
            <w:r w:rsidRPr="00C642C5">
              <w:rPr>
                <w:rFonts w:cs="Arial"/>
              </w:rPr>
              <w:t>.</w:t>
            </w:r>
          </w:p>
          <w:p w14:paraId="78002174" w14:textId="77777777" w:rsidR="00204EB0" w:rsidRPr="00C642C5" w:rsidRDefault="00204EB0" w:rsidP="00204EB0">
            <w:pPr>
              <w:spacing w:after="0" w:line="240" w:lineRule="auto"/>
              <w:jc w:val="both"/>
              <w:rPr>
                <w:rFonts w:cs="Arial"/>
              </w:rPr>
            </w:pPr>
          </w:p>
          <w:p w14:paraId="67E82A60" w14:textId="51A90C0E" w:rsidR="001A1D6F" w:rsidRPr="001A1D6F" w:rsidRDefault="0070492E" w:rsidP="001A1D6F">
            <w:pPr>
              <w:jc w:val="both"/>
              <w:rPr>
                <w:rFonts w:cs="Arial"/>
                <w:b/>
              </w:rPr>
            </w:pPr>
            <w:r>
              <w:rPr>
                <w:rFonts w:cs="Arial"/>
                <w:b/>
              </w:rPr>
              <w:t>Figure 19</w:t>
            </w:r>
            <w:r w:rsidR="001A1D6F" w:rsidRPr="001A1D6F">
              <w:rPr>
                <w:rFonts w:cs="Arial"/>
                <w:b/>
              </w:rPr>
              <w:t xml:space="preserve">. </w:t>
            </w:r>
            <w:r w:rsidR="004D3ACA">
              <w:rPr>
                <w:rFonts w:cs="Arial"/>
                <w:b/>
              </w:rPr>
              <w:t xml:space="preserve">TB </w:t>
            </w:r>
            <w:r w:rsidR="001A1D6F">
              <w:rPr>
                <w:rFonts w:cs="Arial"/>
                <w:b/>
              </w:rPr>
              <w:t xml:space="preserve">notification rate </w:t>
            </w:r>
            <w:r w:rsidR="001A1D6F" w:rsidRPr="001A1D6F">
              <w:rPr>
                <w:rFonts w:cs="Arial"/>
                <w:b/>
              </w:rPr>
              <w:t>in children by age groups</w:t>
            </w:r>
            <w:r w:rsidR="001A1D6F">
              <w:rPr>
                <w:rFonts w:cs="Arial"/>
                <w:b/>
              </w:rPr>
              <w:t xml:space="preserve"> in Kazakhstan, 2017-20</w:t>
            </w:r>
            <w:r w:rsidR="009E330A">
              <w:rPr>
                <w:rFonts w:cs="Arial"/>
                <w:b/>
              </w:rPr>
              <w:t>20</w:t>
            </w:r>
            <w:r w:rsidR="00CC3D8D">
              <w:rPr>
                <w:rFonts w:cs="Arial"/>
                <w:b/>
              </w:rPr>
              <w:t xml:space="preserve"> and 9 months of 202</w:t>
            </w:r>
            <w:r w:rsidR="009E330A">
              <w:rPr>
                <w:rFonts w:cs="Arial"/>
                <w:b/>
              </w:rPr>
              <w:t>1</w:t>
            </w:r>
          </w:p>
          <w:p w14:paraId="7A7E7A26" w14:textId="7160189B" w:rsidR="001A1D6F" w:rsidRPr="006553E5" w:rsidRDefault="001A1D6F" w:rsidP="006553E5">
            <w:pPr>
              <w:jc w:val="both"/>
              <w:rPr>
                <w:rFonts w:cs="Arial"/>
                <w:color w:val="3398FF" w:themeColor="accent5" w:themeTint="99"/>
                <w:lang w:val="ru-RU"/>
              </w:rPr>
            </w:pPr>
            <w:r w:rsidRPr="007A1071">
              <w:rPr>
                <w:noProof/>
                <w:color w:val="3398FF" w:themeColor="accent5" w:themeTint="99"/>
              </w:rPr>
              <w:drawing>
                <wp:inline distT="0" distB="0" distL="0" distR="0" wp14:anchorId="5C25B795" wp14:editId="1702F3F7">
                  <wp:extent cx="4572000" cy="1722120"/>
                  <wp:effectExtent l="0" t="0" r="25400" b="3048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E7E9D7C" w14:textId="218CCD83" w:rsidR="0070492E" w:rsidRDefault="00287452" w:rsidP="0070492E">
            <w:pPr>
              <w:spacing w:after="0" w:line="240" w:lineRule="auto"/>
              <w:jc w:val="both"/>
              <w:rPr>
                <w:rFonts w:cs="Arial"/>
              </w:rPr>
            </w:pPr>
            <w:r w:rsidRPr="00287452">
              <w:rPr>
                <w:rFonts w:cs="Arial"/>
              </w:rPr>
              <w:t xml:space="preserve">The significant decrease in the number of TB cases registered in 2020 </w:t>
            </w:r>
            <w:r w:rsidRPr="0070492E">
              <w:rPr>
                <w:rFonts w:cs="Arial"/>
              </w:rPr>
              <w:t>(Table 1)</w:t>
            </w:r>
            <w:r w:rsidRPr="00287452">
              <w:rPr>
                <w:rFonts w:cs="Arial"/>
              </w:rPr>
              <w:t xml:space="preserve"> </w:t>
            </w:r>
            <w:r w:rsidR="00A03A70">
              <w:rPr>
                <w:rFonts w:cs="Arial"/>
              </w:rPr>
              <w:t>can be</w:t>
            </w:r>
            <w:r w:rsidR="004B12A7">
              <w:rPr>
                <w:rFonts w:cs="Arial"/>
              </w:rPr>
              <w:t xml:space="preserve"> attributable to </w:t>
            </w:r>
            <w:r w:rsidR="00A03A70">
              <w:rPr>
                <w:rFonts w:cs="Arial"/>
              </w:rPr>
              <w:t>numerous</w:t>
            </w:r>
            <w:r w:rsidR="004B12A7">
              <w:rPr>
                <w:rFonts w:cs="Arial"/>
              </w:rPr>
              <w:t xml:space="preserve"> factors</w:t>
            </w:r>
            <w:r w:rsidRPr="00287452">
              <w:rPr>
                <w:rFonts w:cs="Arial"/>
              </w:rPr>
              <w:t xml:space="preserve">: </w:t>
            </w:r>
          </w:p>
          <w:p w14:paraId="6D44C084" w14:textId="5DF4E80F" w:rsidR="004B12A7" w:rsidRPr="004B12A7" w:rsidRDefault="00A259A3" w:rsidP="006A0E08">
            <w:pPr>
              <w:pStyle w:val="affff3"/>
              <w:numPr>
                <w:ilvl w:val="0"/>
                <w:numId w:val="47"/>
              </w:numPr>
              <w:spacing w:before="120" w:after="0" w:line="240" w:lineRule="auto"/>
              <w:jc w:val="both"/>
              <w:rPr>
                <w:rFonts w:cs="Arial"/>
              </w:rPr>
            </w:pPr>
            <w:r>
              <w:rPr>
                <w:rFonts w:cs="Arial"/>
              </w:rPr>
              <w:t xml:space="preserve">the expected decrease </w:t>
            </w:r>
            <w:r w:rsidR="00287452" w:rsidRPr="004B12A7">
              <w:rPr>
                <w:rFonts w:cs="Arial"/>
              </w:rPr>
              <w:t>result</w:t>
            </w:r>
            <w:r>
              <w:rPr>
                <w:rFonts w:cs="Arial"/>
              </w:rPr>
              <w:t>ed</w:t>
            </w:r>
            <w:r w:rsidR="00287452" w:rsidRPr="004B12A7">
              <w:rPr>
                <w:rFonts w:cs="Arial"/>
              </w:rPr>
              <w:t xml:space="preserve"> </w:t>
            </w:r>
            <w:r>
              <w:rPr>
                <w:rFonts w:cs="Arial"/>
              </w:rPr>
              <w:t>from TB measures</w:t>
            </w:r>
            <w:r w:rsidR="00287452" w:rsidRPr="004B12A7">
              <w:rPr>
                <w:rFonts w:cs="Arial"/>
              </w:rPr>
              <w:t xml:space="preserve"> carried out in the </w:t>
            </w:r>
            <w:proofErr w:type="gramStart"/>
            <w:r w:rsidR="00287452" w:rsidRPr="004B12A7">
              <w:rPr>
                <w:rFonts w:cs="Arial"/>
              </w:rPr>
              <w:t>country;</w:t>
            </w:r>
            <w:proofErr w:type="gramEnd"/>
            <w:r w:rsidR="00287452" w:rsidRPr="004B12A7">
              <w:rPr>
                <w:rFonts w:cs="Arial"/>
              </w:rPr>
              <w:t xml:space="preserve"> </w:t>
            </w:r>
          </w:p>
          <w:p w14:paraId="3329A615" w14:textId="1534E454" w:rsidR="0070742B" w:rsidRPr="0070742B" w:rsidRDefault="0070742B" w:rsidP="006A0E08">
            <w:pPr>
              <w:pStyle w:val="affff3"/>
              <w:numPr>
                <w:ilvl w:val="0"/>
                <w:numId w:val="47"/>
              </w:numPr>
              <w:spacing w:after="0" w:line="240" w:lineRule="auto"/>
              <w:jc w:val="both"/>
              <w:rPr>
                <w:rFonts w:cs="Arial"/>
              </w:rPr>
            </w:pPr>
            <w:r w:rsidRPr="0070742B">
              <w:rPr>
                <w:rFonts w:cs="Arial"/>
              </w:rPr>
              <w:t xml:space="preserve">coronavirus infection preventive and control measures widely practiced in 2020, might have positive impact by </w:t>
            </w:r>
            <w:proofErr w:type="gramStart"/>
            <w:r w:rsidRPr="0070742B">
              <w:rPr>
                <w:rFonts w:cs="Arial"/>
              </w:rPr>
              <w:t xml:space="preserve">reducing </w:t>
            </w:r>
            <w:r w:rsidRPr="0070742B">
              <w:rPr>
                <w:rFonts w:eastAsia="Times New Roman" w:cs="Arial"/>
                <w:color w:val="202124"/>
                <w:shd w:val="clear" w:color="auto" w:fill="FFFFFF"/>
              </w:rPr>
              <w:t> </w:t>
            </w:r>
            <w:r w:rsidRPr="0070742B">
              <w:rPr>
                <w:rFonts w:eastAsia="Times New Roman" w:cs="Arial"/>
                <w:bCs/>
                <w:color w:val="202124"/>
              </w:rPr>
              <w:t>airborne</w:t>
            </w:r>
            <w:proofErr w:type="gramEnd"/>
            <w:r w:rsidRPr="0070742B">
              <w:rPr>
                <w:rFonts w:eastAsia="Times New Roman" w:cs="Arial"/>
                <w:bCs/>
                <w:color w:val="202124"/>
              </w:rPr>
              <w:t xml:space="preserve"> disease transmission, including TB spread</w:t>
            </w:r>
            <w:r>
              <w:rPr>
                <w:rFonts w:eastAsia="Times New Roman" w:cs="Arial"/>
                <w:bCs/>
                <w:color w:val="202124"/>
              </w:rPr>
              <w:t>;</w:t>
            </w:r>
          </w:p>
          <w:p w14:paraId="257099C0" w14:textId="053E31FD" w:rsidR="004B12A7" w:rsidRDefault="004B12A7" w:rsidP="006A0E08">
            <w:pPr>
              <w:pStyle w:val="affff3"/>
              <w:numPr>
                <w:ilvl w:val="0"/>
                <w:numId w:val="47"/>
              </w:numPr>
              <w:spacing w:after="0" w:line="240" w:lineRule="auto"/>
              <w:jc w:val="both"/>
              <w:rPr>
                <w:rFonts w:cs="Arial"/>
              </w:rPr>
            </w:pPr>
            <w:r>
              <w:rPr>
                <w:rFonts w:cs="Arial"/>
              </w:rPr>
              <w:t xml:space="preserve">impact of disruptions to essential health services, including TB </w:t>
            </w:r>
            <w:proofErr w:type="gramStart"/>
            <w:r>
              <w:rPr>
                <w:rFonts w:cs="Arial"/>
              </w:rPr>
              <w:t>services;</w:t>
            </w:r>
            <w:proofErr w:type="gramEnd"/>
          </w:p>
          <w:p w14:paraId="3E107434" w14:textId="1726A25B" w:rsidR="0070742B" w:rsidRDefault="0070742B" w:rsidP="006A0E08">
            <w:pPr>
              <w:pStyle w:val="affff3"/>
              <w:numPr>
                <w:ilvl w:val="0"/>
                <w:numId w:val="47"/>
              </w:numPr>
              <w:spacing w:after="0" w:line="240" w:lineRule="auto"/>
              <w:jc w:val="both"/>
              <w:rPr>
                <w:rFonts w:cs="Arial"/>
              </w:rPr>
            </w:pPr>
            <w:r>
              <w:rPr>
                <w:rFonts w:cs="Arial"/>
              </w:rPr>
              <w:t xml:space="preserve">unfavorable impact of restrictive measures in healthcare-seeking behavior of </w:t>
            </w:r>
            <w:proofErr w:type="gramStart"/>
            <w:r>
              <w:rPr>
                <w:rFonts w:cs="Arial"/>
              </w:rPr>
              <w:t>population;</w:t>
            </w:r>
            <w:proofErr w:type="gramEnd"/>
            <w:r>
              <w:rPr>
                <w:rFonts w:cs="Arial"/>
              </w:rPr>
              <w:t xml:space="preserve"> </w:t>
            </w:r>
          </w:p>
          <w:p w14:paraId="5A9BFE79" w14:textId="1C30E5E9" w:rsidR="0070492E" w:rsidRDefault="004B12A7" w:rsidP="006A0E08">
            <w:pPr>
              <w:pStyle w:val="affff3"/>
              <w:numPr>
                <w:ilvl w:val="0"/>
                <w:numId w:val="47"/>
              </w:numPr>
              <w:spacing w:after="0" w:line="240" w:lineRule="auto"/>
              <w:jc w:val="both"/>
              <w:rPr>
                <w:rFonts w:cs="Arial"/>
              </w:rPr>
            </w:pPr>
            <w:r>
              <w:rPr>
                <w:rFonts w:cs="Arial"/>
              </w:rPr>
              <w:t>re-purposing</w:t>
            </w:r>
            <w:r w:rsidR="0070742B">
              <w:rPr>
                <w:rFonts w:cs="Arial"/>
              </w:rPr>
              <w:t xml:space="preserve"> of PHC and </w:t>
            </w:r>
            <w:r w:rsidR="00287452" w:rsidRPr="004B12A7">
              <w:rPr>
                <w:rFonts w:cs="Arial"/>
              </w:rPr>
              <w:t>TB</w:t>
            </w:r>
            <w:r w:rsidR="0070742B">
              <w:rPr>
                <w:rFonts w:cs="Arial"/>
              </w:rPr>
              <w:t xml:space="preserve"> Service capacities to respond to COVID-19. </w:t>
            </w:r>
          </w:p>
          <w:p w14:paraId="2930E57A" w14:textId="77777777" w:rsidR="0070492E" w:rsidRDefault="0070492E" w:rsidP="00463ACA">
            <w:pPr>
              <w:spacing w:after="0" w:line="240" w:lineRule="auto"/>
              <w:ind w:left="357"/>
              <w:jc w:val="both"/>
              <w:rPr>
                <w:rFonts w:cs="Arial"/>
              </w:rPr>
            </w:pPr>
          </w:p>
          <w:p w14:paraId="69E3A463" w14:textId="77777777" w:rsidR="0058294F" w:rsidRPr="00463ACA" w:rsidRDefault="0058294F" w:rsidP="00463ACA">
            <w:pPr>
              <w:spacing w:after="0" w:line="240" w:lineRule="auto"/>
              <w:ind w:left="357"/>
              <w:jc w:val="both"/>
              <w:rPr>
                <w:rFonts w:cs="Arial"/>
              </w:rPr>
            </w:pPr>
          </w:p>
          <w:p w14:paraId="1B9061A9" w14:textId="13BD827F" w:rsidR="009C3637" w:rsidRPr="00CC3D8D" w:rsidRDefault="00E2270C" w:rsidP="00CC3D8D">
            <w:pPr>
              <w:pStyle w:val="aff5"/>
              <w:spacing w:after="120"/>
              <w:jc w:val="both"/>
              <w:rPr>
                <w:rFonts w:cstheme="minorHAnsi"/>
                <w:b/>
                <w:i w:val="0"/>
                <w:color w:val="auto"/>
                <w:sz w:val="22"/>
                <w:szCs w:val="22"/>
              </w:rPr>
            </w:pPr>
            <w:r w:rsidRPr="0070492E">
              <w:rPr>
                <w:rFonts w:asciiTheme="minorHAnsi" w:hAnsiTheme="minorHAnsi" w:cstheme="minorHAnsi"/>
                <w:b/>
                <w:i w:val="0"/>
                <w:color w:val="auto"/>
                <w:sz w:val="22"/>
                <w:szCs w:val="22"/>
              </w:rPr>
              <w:t xml:space="preserve">Table </w:t>
            </w:r>
            <w:r w:rsidRPr="0070492E">
              <w:rPr>
                <w:rFonts w:asciiTheme="minorHAnsi" w:hAnsiTheme="minorHAnsi" w:cstheme="minorHAnsi"/>
                <w:b/>
                <w:i w:val="0"/>
                <w:color w:val="auto"/>
                <w:sz w:val="22"/>
                <w:szCs w:val="22"/>
              </w:rPr>
              <w:fldChar w:fldCharType="begin"/>
            </w:r>
            <w:r w:rsidRPr="0070492E">
              <w:rPr>
                <w:rFonts w:asciiTheme="minorHAnsi" w:hAnsiTheme="minorHAnsi" w:cstheme="minorHAnsi"/>
                <w:b/>
                <w:i w:val="0"/>
                <w:color w:val="auto"/>
                <w:sz w:val="22"/>
                <w:szCs w:val="22"/>
              </w:rPr>
              <w:instrText xml:space="preserve"> SEQ Table \* ARABIC </w:instrText>
            </w:r>
            <w:r w:rsidRPr="0070492E">
              <w:rPr>
                <w:rFonts w:asciiTheme="minorHAnsi" w:hAnsiTheme="minorHAnsi" w:cstheme="minorHAnsi"/>
                <w:b/>
                <w:i w:val="0"/>
                <w:color w:val="auto"/>
                <w:sz w:val="22"/>
                <w:szCs w:val="22"/>
              </w:rPr>
              <w:fldChar w:fldCharType="separate"/>
            </w:r>
            <w:r w:rsidRPr="0070492E">
              <w:rPr>
                <w:rFonts w:asciiTheme="minorHAnsi" w:hAnsiTheme="minorHAnsi" w:cstheme="minorHAnsi"/>
                <w:b/>
                <w:i w:val="0"/>
                <w:noProof/>
                <w:color w:val="auto"/>
                <w:sz w:val="22"/>
                <w:szCs w:val="22"/>
              </w:rPr>
              <w:t>1</w:t>
            </w:r>
            <w:r w:rsidRPr="0070492E">
              <w:rPr>
                <w:rFonts w:asciiTheme="minorHAnsi" w:hAnsiTheme="minorHAnsi" w:cstheme="minorHAnsi"/>
                <w:b/>
                <w:i w:val="0"/>
                <w:noProof/>
                <w:color w:val="auto"/>
                <w:sz w:val="22"/>
                <w:szCs w:val="22"/>
              </w:rPr>
              <w:fldChar w:fldCharType="end"/>
            </w:r>
            <w:r w:rsidRPr="0070492E">
              <w:rPr>
                <w:rFonts w:asciiTheme="minorHAnsi" w:hAnsiTheme="minorHAnsi" w:cstheme="minorHAnsi"/>
                <w:b/>
                <w:i w:val="0"/>
                <w:color w:val="auto"/>
                <w:sz w:val="22"/>
                <w:szCs w:val="22"/>
              </w:rPr>
              <w:t>.</w:t>
            </w:r>
            <w:r w:rsidRPr="00434481">
              <w:rPr>
                <w:rFonts w:asciiTheme="minorHAnsi" w:hAnsiTheme="minorHAnsi" w:cstheme="minorHAnsi"/>
                <w:i w:val="0"/>
                <w:color w:val="auto"/>
                <w:sz w:val="22"/>
                <w:szCs w:val="22"/>
              </w:rPr>
              <w:t xml:space="preserve"> </w:t>
            </w:r>
            <w:r w:rsidRPr="00434481">
              <w:rPr>
                <w:rFonts w:asciiTheme="minorHAnsi" w:hAnsiTheme="minorHAnsi" w:cstheme="minorHAnsi"/>
                <w:b/>
                <w:i w:val="0"/>
                <w:color w:val="auto"/>
                <w:sz w:val="22"/>
                <w:szCs w:val="22"/>
              </w:rPr>
              <w:t>Notified TB cases, civilian sector, Kazakhstan, 2018-2020,</w:t>
            </w:r>
            <w:r w:rsidRPr="00434481">
              <w:rPr>
                <w:rFonts w:cstheme="minorHAnsi"/>
                <w:b/>
                <w:i w:val="0"/>
                <w:color w:val="auto"/>
                <w:sz w:val="22"/>
                <w:szCs w:val="22"/>
              </w:rPr>
              <w:t xml:space="preserve"> Kazakh</w:t>
            </w:r>
            <w:r w:rsidR="009C3637">
              <w:rPr>
                <w:rFonts w:cstheme="minorHAnsi"/>
                <w:b/>
                <w:i w:val="0"/>
                <w:color w:val="auto"/>
                <w:sz w:val="22"/>
                <w:szCs w:val="22"/>
              </w:rPr>
              <w:t>stan</w:t>
            </w:r>
          </w:p>
          <w:tbl>
            <w:tblPr>
              <w:tblStyle w:val="ListTable3-Accent51"/>
              <w:tblW w:w="567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153"/>
              <w:gridCol w:w="902"/>
              <w:gridCol w:w="902"/>
              <w:gridCol w:w="713"/>
            </w:tblGrid>
            <w:tr w:rsidR="00E2270C" w:rsidRPr="00463ACA" w14:paraId="492DEECB" w14:textId="77777777" w:rsidTr="00064D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53" w:type="dxa"/>
                  <w:tcBorders>
                    <w:bottom w:val="single" w:sz="4" w:space="0" w:color="auto"/>
                    <w:right w:val="none" w:sz="0" w:space="0" w:color="auto"/>
                  </w:tcBorders>
                  <w:shd w:val="clear" w:color="auto" w:fill="auto"/>
                </w:tcPr>
                <w:p w14:paraId="264C6ABF" w14:textId="77777777" w:rsidR="00E2270C" w:rsidRPr="00463ACA" w:rsidRDefault="00E2270C" w:rsidP="00E2270C">
                  <w:pPr>
                    <w:spacing w:after="0" w:line="240" w:lineRule="auto"/>
                    <w:jc w:val="both"/>
                    <w:rPr>
                      <w:rFonts w:asciiTheme="majorHAnsi" w:hAnsiTheme="majorHAnsi" w:cstheme="majorHAnsi"/>
                      <w:color w:val="auto"/>
                      <w:sz w:val="18"/>
                      <w:szCs w:val="18"/>
                    </w:rPr>
                  </w:pPr>
                </w:p>
              </w:tc>
              <w:tc>
                <w:tcPr>
                  <w:tcW w:w="902" w:type="dxa"/>
                  <w:tcBorders>
                    <w:bottom w:val="single" w:sz="4" w:space="0" w:color="auto"/>
                  </w:tcBorders>
                  <w:shd w:val="clear" w:color="auto" w:fill="auto"/>
                </w:tcPr>
                <w:p w14:paraId="5CA7E1C0" w14:textId="77777777" w:rsidR="00E2270C" w:rsidRPr="00463ACA" w:rsidRDefault="00E2270C" w:rsidP="00E2270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rsidRPr="00463ACA">
                    <w:rPr>
                      <w:rFonts w:asciiTheme="majorHAnsi" w:hAnsiTheme="majorHAnsi" w:cstheme="majorHAnsi"/>
                      <w:color w:val="auto"/>
                      <w:sz w:val="18"/>
                      <w:szCs w:val="18"/>
                    </w:rPr>
                    <w:t>2018</w:t>
                  </w:r>
                </w:p>
              </w:tc>
              <w:tc>
                <w:tcPr>
                  <w:tcW w:w="902" w:type="dxa"/>
                  <w:tcBorders>
                    <w:bottom w:val="single" w:sz="4" w:space="0" w:color="auto"/>
                  </w:tcBorders>
                  <w:shd w:val="clear" w:color="auto" w:fill="auto"/>
                </w:tcPr>
                <w:p w14:paraId="2F8C5DB7" w14:textId="77777777" w:rsidR="00E2270C" w:rsidRPr="00463ACA" w:rsidRDefault="00E2270C" w:rsidP="00E2270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rsidRPr="00463ACA">
                    <w:rPr>
                      <w:rFonts w:asciiTheme="majorHAnsi" w:hAnsiTheme="majorHAnsi" w:cstheme="majorHAnsi"/>
                      <w:color w:val="auto"/>
                      <w:sz w:val="18"/>
                      <w:szCs w:val="18"/>
                    </w:rPr>
                    <w:t>2019</w:t>
                  </w:r>
                </w:p>
              </w:tc>
              <w:tc>
                <w:tcPr>
                  <w:tcW w:w="713" w:type="dxa"/>
                  <w:tcBorders>
                    <w:bottom w:val="single" w:sz="4" w:space="0" w:color="auto"/>
                  </w:tcBorders>
                  <w:shd w:val="clear" w:color="auto" w:fill="auto"/>
                </w:tcPr>
                <w:p w14:paraId="36F3FC97" w14:textId="77777777" w:rsidR="00E2270C" w:rsidRPr="00463ACA" w:rsidRDefault="00E2270C" w:rsidP="00E2270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rsidRPr="00463ACA">
                    <w:rPr>
                      <w:rFonts w:asciiTheme="majorHAnsi" w:hAnsiTheme="majorHAnsi" w:cstheme="majorHAnsi"/>
                      <w:color w:val="auto"/>
                      <w:sz w:val="18"/>
                      <w:szCs w:val="18"/>
                    </w:rPr>
                    <w:t>2020</w:t>
                  </w:r>
                </w:p>
              </w:tc>
            </w:tr>
            <w:tr w:rsidR="00E2270C" w:rsidRPr="00463ACA" w14:paraId="74E3F902" w14:textId="77777777" w:rsidTr="00064DD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53" w:type="dxa"/>
                  <w:tcBorders>
                    <w:top w:val="single" w:sz="4" w:space="0" w:color="auto"/>
                    <w:bottom w:val="none" w:sz="0" w:space="0" w:color="auto"/>
                    <w:right w:val="none" w:sz="0" w:space="0" w:color="auto"/>
                  </w:tcBorders>
                </w:tcPr>
                <w:p w14:paraId="022EB598" w14:textId="77777777" w:rsidR="00E2270C" w:rsidRPr="00463ACA" w:rsidRDefault="00E2270C" w:rsidP="00F917D2">
                  <w:pPr>
                    <w:spacing w:before="60" w:after="0" w:line="240" w:lineRule="auto"/>
                    <w:jc w:val="both"/>
                    <w:rPr>
                      <w:rFonts w:asciiTheme="majorHAnsi" w:hAnsiTheme="majorHAnsi" w:cstheme="majorHAnsi"/>
                      <w:sz w:val="18"/>
                      <w:szCs w:val="18"/>
                    </w:rPr>
                  </w:pPr>
                  <w:r w:rsidRPr="00463ACA">
                    <w:rPr>
                      <w:rFonts w:asciiTheme="majorHAnsi" w:hAnsiTheme="majorHAnsi" w:cstheme="majorHAnsi"/>
                      <w:sz w:val="18"/>
                      <w:szCs w:val="18"/>
                    </w:rPr>
                    <w:t>Pulmonary TB</w:t>
                  </w:r>
                </w:p>
              </w:tc>
              <w:tc>
                <w:tcPr>
                  <w:tcW w:w="902" w:type="dxa"/>
                  <w:tcBorders>
                    <w:top w:val="single" w:sz="4" w:space="0" w:color="auto"/>
                    <w:bottom w:val="none" w:sz="0" w:space="0" w:color="auto"/>
                  </w:tcBorders>
                </w:tcPr>
                <w:p w14:paraId="54F94582" w14:textId="77777777" w:rsidR="00E2270C" w:rsidRPr="00463ACA" w:rsidRDefault="00E2270C" w:rsidP="00F917D2">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463ACA">
                    <w:rPr>
                      <w:rFonts w:asciiTheme="majorHAnsi" w:hAnsiTheme="majorHAnsi" w:cstheme="majorHAnsi"/>
                      <w:b/>
                      <w:sz w:val="18"/>
                      <w:szCs w:val="18"/>
                    </w:rPr>
                    <w:t>12,030</w:t>
                  </w:r>
                </w:p>
              </w:tc>
              <w:tc>
                <w:tcPr>
                  <w:tcW w:w="902" w:type="dxa"/>
                  <w:tcBorders>
                    <w:top w:val="single" w:sz="4" w:space="0" w:color="auto"/>
                    <w:bottom w:val="none" w:sz="0" w:space="0" w:color="auto"/>
                  </w:tcBorders>
                </w:tcPr>
                <w:p w14:paraId="79EC7C65" w14:textId="77777777" w:rsidR="00E2270C" w:rsidRPr="00463ACA" w:rsidRDefault="00E2270C" w:rsidP="00F917D2">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463ACA">
                    <w:rPr>
                      <w:rFonts w:asciiTheme="majorHAnsi" w:hAnsiTheme="majorHAnsi" w:cstheme="majorHAnsi"/>
                      <w:b/>
                      <w:sz w:val="18"/>
                      <w:szCs w:val="18"/>
                    </w:rPr>
                    <w:t>11,300</w:t>
                  </w:r>
                </w:p>
              </w:tc>
              <w:tc>
                <w:tcPr>
                  <w:tcW w:w="713" w:type="dxa"/>
                  <w:tcBorders>
                    <w:top w:val="single" w:sz="4" w:space="0" w:color="auto"/>
                    <w:bottom w:val="none" w:sz="0" w:space="0" w:color="auto"/>
                  </w:tcBorders>
                </w:tcPr>
                <w:p w14:paraId="006D1C51" w14:textId="77777777" w:rsidR="00E2270C" w:rsidRPr="00463ACA" w:rsidRDefault="00E2270C" w:rsidP="00F917D2">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463ACA">
                    <w:rPr>
                      <w:rFonts w:asciiTheme="majorHAnsi" w:hAnsiTheme="majorHAnsi" w:cstheme="majorHAnsi"/>
                      <w:b/>
                      <w:sz w:val="18"/>
                      <w:szCs w:val="18"/>
                    </w:rPr>
                    <w:t>8,665</w:t>
                  </w:r>
                </w:p>
              </w:tc>
            </w:tr>
            <w:tr w:rsidR="00E2270C" w:rsidRPr="00463ACA" w14:paraId="4DC4086F" w14:textId="77777777" w:rsidTr="00064DD6">
              <w:tc>
                <w:tcPr>
                  <w:cnfStyle w:val="001000000000" w:firstRow="0" w:lastRow="0" w:firstColumn="1" w:lastColumn="0" w:oddVBand="0" w:evenVBand="0" w:oddHBand="0" w:evenHBand="0" w:firstRowFirstColumn="0" w:firstRowLastColumn="0" w:lastRowFirstColumn="0" w:lastRowLastColumn="0"/>
                  <w:tcW w:w="3153" w:type="dxa"/>
                  <w:tcBorders>
                    <w:right w:val="none" w:sz="0" w:space="0" w:color="auto"/>
                  </w:tcBorders>
                </w:tcPr>
                <w:p w14:paraId="68D4BAA9" w14:textId="77777777" w:rsidR="00E2270C" w:rsidRPr="00463ACA" w:rsidRDefault="00E2270C" w:rsidP="00F917D2">
                  <w:pPr>
                    <w:spacing w:before="60" w:after="0" w:line="240" w:lineRule="auto"/>
                    <w:jc w:val="both"/>
                    <w:rPr>
                      <w:rFonts w:asciiTheme="majorHAnsi" w:hAnsiTheme="majorHAnsi" w:cstheme="majorHAnsi"/>
                      <w:b w:val="0"/>
                      <w:sz w:val="18"/>
                      <w:szCs w:val="18"/>
                    </w:rPr>
                  </w:pPr>
                  <w:r w:rsidRPr="00463ACA">
                    <w:rPr>
                      <w:rFonts w:asciiTheme="majorHAnsi" w:hAnsiTheme="majorHAnsi" w:cstheme="majorHAnsi"/>
                      <w:sz w:val="18"/>
                      <w:szCs w:val="18"/>
                    </w:rPr>
                    <w:t>New cases</w:t>
                  </w:r>
                </w:p>
              </w:tc>
              <w:tc>
                <w:tcPr>
                  <w:tcW w:w="902" w:type="dxa"/>
                </w:tcPr>
                <w:p w14:paraId="4409D137" w14:textId="77777777" w:rsidR="00E2270C" w:rsidRPr="00463ACA" w:rsidRDefault="00E2270C" w:rsidP="00F917D2">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463ACA">
                    <w:rPr>
                      <w:rFonts w:asciiTheme="majorHAnsi" w:hAnsiTheme="majorHAnsi" w:cstheme="majorHAnsi"/>
                      <w:b/>
                      <w:sz w:val="18"/>
                      <w:szCs w:val="18"/>
                    </w:rPr>
                    <w:t>7,727</w:t>
                  </w:r>
                </w:p>
              </w:tc>
              <w:tc>
                <w:tcPr>
                  <w:tcW w:w="902" w:type="dxa"/>
                </w:tcPr>
                <w:p w14:paraId="47AC136E" w14:textId="77777777" w:rsidR="00E2270C" w:rsidRPr="00463ACA" w:rsidRDefault="00E2270C" w:rsidP="00F917D2">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463ACA">
                    <w:rPr>
                      <w:rFonts w:asciiTheme="majorHAnsi" w:hAnsiTheme="majorHAnsi" w:cstheme="majorHAnsi"/>
                      <w:b/>
                      <w:sz w:val="18"/>
                      <w:szCs w:val="18"/>
                    </w:rPr>
                    <w:t>7,328</w:t>
                  </w:r>
                </w:p>
              </w:tc>
              <w:tc>
                <w:tcPr>
                  <w:tcW w:w="713" w:type="dxa"/>
                </w:tcPr>
                <w:p w14:paraId="2F7244BE" w14:textId="77777777" w:rsidR="00E2270C" w:rsidRPr="00463ACA" w:rsidRDefault="00E2270C" w:rsidP="00F917D2">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463ACA">
                    <w:rPr>
                      <w:rFonts w:asciiTheme="majorHAnsi" w:hAnsiTheme="majorHAnsi" w:cstheme="majorHAnsi"/>
                      <w:b/>
                      <w:sz w:val="18"/>
                      <w:szCs w:val="18"/>
                    </w:rPr>
                    <w:t>5,824</w:t>
                  </w:r>
                </w:p>
              </w:tc>
            </w:tr>
            <w:tr w:rsidR="00E2270C" w:rsidRPr="00463ACA" w14:paraId="6506EC6B" w14:textId="77777777" w:rsidTr="0006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top w:val="none" w:sz="0" w:space="0" w:color="auto"/>
                    <w:bottom w:val="none" w:sz="0" w:space="0" w:color="auto"/>
                    <w:right w:val="none" w:sz="0" w:space="0" w:color="auto"/>
                  </w:tcBorders>
                </w:tcPr>
                <w:p w14:paraId="74847B3D" w14:textId="77777777" w:rsidR="00E2270C" w:rsidRPr="00463ACA" w:rsidRDefault="00E2270C" w:rsidP="00F917D2">
                  <w:pPr>
                    <w:spacing w:after="0" w:line="240" w:lineRule="auto"/>
                    <w:jc w:val="both"/>
                    <w:rPr>
                      <w:rFonts w:asciiTheme="majorHAnsi" w:hAnsiTheme="majorHAnsi" w:cstheme="majorHAnsi"/>
                      <w:b w:val="0"/>
                      <w:sz w:val="18"/>
                      <w:szCs w:val="18"/>
                    </w:rPr>
                  </w:pPr>
                  <w:r w:rsidRPr="00463ACA">
                    <w:rPr>
                      <w:rFonts w:asciiTheme="majorHAnsi" w:hAnsiTheme="majorHAnsi" w:cstheme="majorHAnsi"/>
                      <w:b w:val="0"/>
                      <w:sz w:val="18"/>
                      <w:szCs w:val="18"/>
                    </w:rPr>
                    <w:t>Bacteriologically confirmed</w:t>
                  </w:r>
                </w:p>
              </w:tc>
              <w:tc>
                <w:tcPr>
                  <w:tcW w:w="902" w:type="dxa"/>
                  <w:tcBorders>
                    <w:top w:val="none" w:sz="0" w:space="0" w:color="auto"/>
                    <w:bottom w:val="none" w:sz="0" w:space="0" w:color="auto"/>
                  </w:tcBorders>
                </w:tcPr>
                <w:p w14:paraId="1978C91A" w14:textId="77777777" w:rsidR="00E2270C" w:rsidRPr="00463ACA"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463ACA">
                    <w:rPr>
                      <w:rFonts w:asciiTheme="majorHAnsi" w:hAnsiTheme="majorHAnsi" w:cstheme="majorHAnsi"/>
                      <w:sz w:val="18"/>
                      <w:szCs w:val="18"/>
                    </w:rPr>
                    <w:t>6,616</w:t>
                  </w:r>
                </w:p>
              </w:tc>
              <w:tc>
                <w:tcPr>
                  <w:tcW w:w="902" w:type="dxa"/>
                  <w:tcBorders>
                    <w:top w:val="none" w:sz="0" w:space="0" w:color="auto"/>
                    <w:bottom w:val="none" w:sz="0" w:space="0" w:color="auto"/>
                  </w:tcBorders>
                </w:tcPr>
                <w:p w14:paraId="49C79A53" w14:textId="77777777" w:rsidR="00E2270C" w:rsidRPr="00463ACA"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463ACA">
                    <w:rPr>
                      <w:rFonts w:asciiTheme="majorHAnsi" w:hAnsiTheme="majorHAnsi" w:cstheme="majorHAnsi"/>
                      <w:sz w:val="18"/>
                      <w:szCs w:val="18"/>
                    </w:rPr>
                    <w:t>5,635</w:t>
                  </w:r>
                </w:p>
              </w:tc>
              <w:tc>
                <w:tcPr>
                  <w:tcW w:w="713" w:type="dxa"/>
                  <w:tcBorders>
                    <w:top w:val="none" w:sz="0" w:space="0" w:color="auto"/>
                    <w:bottom w:val="none" w:sz="0" w:space="0" w:color="auto"/>
                  </w:tcBorders>
                </w:tcPr>
                <w:p w14:paraId="09783E9E" w14:textId="77777777" w:rsidR="00E2270C" w:rsidRPr="00463ACA"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463ACA">
                    <w:rPr>
                      <w:rFonts w:asciiTheme="majorHAnsi" w:hAnsiTheme="majorHAnsi" w:cstheme="majorHAnsi"/>
                      <w:sz w:val="18"/>
                      <w:szCs w:val="18"/>
                    </w:rPr>
                    <w:t>4,702</w:t>
                  </w:r>
                </w:p>
              </w:tc>
            </w:tr>
            <w:tr w:rsidR="00E2270C" w:rsidRPr="00463ACA" w14:paraId="301B8988" w14:textId="77777777" w:rsidTr="00064DD6">
              <w:tc>
                <w:tcPr>
                  <w:cnfStyle w:val="001000000000" w:firstRow="0" w:lastRow="0" w:firstColumn="1" w:lastColumn="0" w:oddVBand="0" w:evenVBand="0" w:oddHBand="0" w:evenHBand="0" w:firstRowFirstColumn="0" w:firstRowLastColumn="0" w:lastRowFirstColumn="0" w:lastRowLastColumn="0"/>
                  <w:tcW w:w="3153" w:type="dxa"/>
                  <w:tcBorders>
                    <w:right w:val="none" w:sz="0" w:space="0" w:color="auto"/>
                  </w:tcBorders>
                </w:tcPr>
                <w:p w14:paraId="55A8A77A" w14:textId="77777777" w:rsidR="00E2270C" w:rsidRPr="00463ACA" w:rsidRDefault="00E2270C" w:rsidP="00F917D2">
                  <w:pPr>
                    <w:spacing w:after="0" w:line="240" w:lineRule="auto"/>
                    <w:jc w:val="both"/>
                    <w:rPr>
                      <w:rFonts w:asciiTheme="majorHAnsi" w:hAnsiTheme="majorHAnsi" w:cstheme="majorHAnsi"/>
                      <w:b w:val="0"/>
                      <w:sz w:val="18"/>
                      <w:szCs w:val="18"/>
                    </w:rPr>
                  </w:pPr>
                  <w:r w:rsidRPr="00463ACA">
                    <w:rPr>
                      <w:rFonts w:asciiTheme="majorHAnsi" w:hAnsiTheme="majorHAnsi" w:cstheme="majorHAnsi"/>
                      <w:b w:val="0"/>
                      <w:sz w:val="18"/>
                      <w:szCs w:val="18"/>
                    </w:rPr>
                    <w:t>Clinically confirmed</w:t>
                  </w:r>
                </w:p>
              </w:tc>
              <w:tc>
                <w:tcPr>
                  <w:tcW w:w="902" w:type="dxa"/>
                </w:tcPr>
                <w:p w14:paraId="422DCEA8" w14:textId="77777777" w:rsidR="00E2270C" w:rsidRPr="00463ACA"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463ACA">
                    <w:rPr>
                      <w:rFonts w:asciiTheme="majorHAnsi" w:hAnsiTheme="majorHAnsi" w:cstheme="majorHAnsi"/>
                      <w:sz w:val="18"/>
                      <w:szCs w:val="18"/>
                    </w:rPr>
                    <w:t>1,111</w:t>
                  </w:r>
                </w:p>
              </w:tc>
              <w:tc>
                <w:tcPr>
                  <w:tcW w:w="902" w:type="dxa"/>
                </w:tcPr>
                <w:p w14:paraId="725DECFA" w14:textId="77777777" w:rsidR="00E2270C" w:rsidRPr="00463ACA"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463ACA">
                    <w:rPr>
                      <w:rFonts w:asciiTheme="majorHAnsi" w:hAnsiTheme="majorHAnsi" w:cstheme="majorHAnsi"/>
                      <w:sz w:val="18"/>
                      <w:szCs w:val="18"/>
                    </w:rPr>
                    <w:t>1,693</w:t>
                  </w:r>
                </w:p>
              </w:tc>
              <w:tc>
                <w:tcPr>
                  <w:tcW w:w="713" w:type="dxa"/>
                </w:tcPr>
                <w:p w14:paraId="18592CE2" w14:textId="77777777" w:rsidR="00E2270C" w:rsidRPr="00463ACA"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463ACA">
                    <w:rPr>
                      <w:rFonts w:asciiTheme="majorHAnsi" w:hAnsiTheme="majorHAnsi" w:cstheme="majorHAnsi"/>
                      <w:sz w:val="18"/>
                      <w:szCs w:val="18"/>
                    </w:rPr>
                    <w:t>1,122</w:t>
                  </w:r>
                </w:p>
              </w:tc>
            </w:tr>
            <w:tr w:rsidR="00E2270C" w:rsidRPr="00463ACA" w14:paraId="2BDC9A13" w14:textId="77777777" w:rsidTr="0006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top w:val="none" w:sz="0" w:space="0" w:color="auto"/>
                    <w:bottom w:val="none" w:sz="0" w:space="0" w:color="auto"/>
                    <w:right w:val="none" w:sz="0" w:space="0" w:color="auto"/>
                  </w:tcBorders>
                </w:tcPr>
                <w:p w14:paraId="2B77FF6C" w14:textId="77777777" w:rsidR="00E2270C" w:rsidRPr="00463ACA" w:rsidRDefault="00E2270C" w:rsidP="00F917D2">
                  <w:pPr>
                    <w:spacing w:before="60" w:after="0" w:line="240" w:lineRule="auto"/>
                    <w:jc w:val="both"/>
                    <w:rPr>
                      <w:rFonts w:asciiTheme="majorHAnsi" w:hAnsiTheme="majorHAnsi" w:cstheme="majorHAnsi"/>
                      <w:sz w:val="18"/>
                      <w:szCs w:val="18"/>
                    </w:rPr>
                  </w:pPr>
                  <w:r w:rsidRPr="00463ACA">
                    <w:rPr>
                      <w:rFonts w:asciiTheme="majorHAnsi" w:hAnsiTheme="majorHAnsi" w:cstheme="majorHAnsi"/>
                      <w:sz w:val="18"/>
                      <w:szCs w:val="18"/>
                    </w:rPr>
                    <w:t>Relapses</w:t>
                  </w:r>
                </w:p>
              </w:tc>
              <w:tc>
                <w:tcPr>
                  <w:tcW w:w="902" w:type="dxa"/>
                  <w:tcBorders>
                    <w:top w:val="none" w:sz="0" w:space="0" w:color="auto"/>
                    <w:bottom w:val="none" w:sz="0" w:space="0" w:color="auto"/>
                  </w:tcBorders>
                </w:tcPr>
                <w:p w14:paraId="358EA3FB" w14:textId="77777777" w:rsidR="00E2270C" w:rsidRPr="00463ACA" w:rsidRDefault="00E2270C" w:rsidP="00F917D2">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463ACA">
                    <w:rPr>
                      <w:rFonts w:asciiTheme="majorHAnsi" w:hAnsiTheme="majorHAnsi" w:cstheme="majorHAnsi"/>
                      <w:b/>
                      <w:sz w:val="18"/>
                      <w:szCs w:val="18"/>
                    </w:rPr>
                    <w:t>3,790</w:t>
                  </w:r>
                </w:p>
              </w:tc>
              <w:tc>
                <w:tcPr>
                  <w:tcW w:w="902" w:type="dxa"/>
                  <w:tcBorders>
                    <w:top w:val="none" w:sz="0" w:space="0" w:color="auto"/>
                    <w:bottom w:val="none" w:sz="0" w:space="0" w:color="auto"/>
                  </w:tcBorders>
                </w:tcPr>
                <w:p w14:paraId="3C35B48B" w14:textId="77777777" w:rsidR="00E2270C" w:rsidRPr="00463ACA" w:rsidRDefault="00E2270C" w:rsidP="00F917D2">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463ACA">
                    <w:rPr>
                      <w:rFonts w:asciiTheme="majorHAnsi" w:hAnsiTheme="majorHAnsi" w:cstheme="majorHAnsi"/>
                      <w:b/>
                      <w:sz w:val="18"/>
                      <w:szCs w:val="18"/>
                    </w:rPr>
                    <w:t>3,525</w:t>
                  </w:r>
                </w:p>
              </w:tc>
              <w:tc>
                <w:tcPr>
                  <w:tcW w:w="713" w:type="dxa"/>
                  <w:tcBorders>
                    <w:top w:val="none" w:sz="0" w:space="0" w:color="auto"/>
                    <w:bottom w:val="none" w:sz="0" w:space="0" w:color="auto"/>
                  </w:tcBorders>
                </w:tcPr>
                <w:p w14:paraId="735C0299" w14:textId="77777777" w:rsidR="00E2270C" w:rsidRPr="00463ACA" w:rsidRDefault="00E2270C" w:rsidP="00F917D2">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463ACA">
                    <w:rPr>
                      <w:rFonts w:asciiTheme="majorHAnsi" w:hAnsiTheme="majorHAnsi" w:cstheme="majorHAnsi"/>
                      <w:b/>
                      <w:sz w:val="18"/>
                      <w:szCs w:val="18"/>
                    </w:rPr>
                    <w:t>2,456</w:t>
                  </w:r>
                </w:p>
              </w:tc>
            </w:tr>
            <w:tr w:rsidR="00E2270C" w:rsidRPr="00463ACA" w14:paraId="5661F227" w14:textId="77777777" w:rsidTr="00064DD6">
              <w:tc>
                <w:tcPr>
                  <w:cnfStyle w:val="001000000000" w:firstRow="0" w:lastRow="0" w:firstColumn="1" w:lastColumn="0" w:oddVBand="0" w:evenVBand="0" w:oddHBand="0" w:evenHBand="0" w:firstRowFirstColumn="0" w:firstRowLastColumn="0" w:lastRowFirstColumn="0" w:lastRowLastColumn="0"/>
                  <w:tcW w:w="3153" w:type="dxa"/>
                  <w:tcBorders>
                    <w:right w:val="none" w:sz="0" w:space="0" w:color="auto"/>
                  </w:tcBorders>
                </w:tcPr>
                <w:p w14:paraId="490F935C" w14:textId="77777777" w:rsidR="00E2270C" w:rsidRPr="00463ACA" w:rsidRDefault="00E2270C" w:rsidP="00F917D2">
                  <w:pPr>
                    <w:spacing w:after="0" w:line="240" w:lineRule="auto"/>
                    <w:jc w:val="both"/>
                    <w:rPr>
                      <w:rFonts w:asciiTheme="majorHAnsi" w:hAnsiTheme="majorHAnsi" w:cstheme="majorHAnsi"/>
                      <w:b w:val="0"/>
                      <w:sz w:val="18"/>
                      <w:szCs w:val="18"/>
                    </w:rPr>
                  </w:pPr>
                  <w:r w:rsidRPr="00463ACA">
                    <w:rPr>
                      <w:rFonts w:asciiTheme="majorHAnsi" w:hAnsiTheme="majorHAnsi" w:cstheme="majorHAnsi"/>
                      <w:b w:val="0"/>
                      <w:sz w:val="18"/>
                      <w:szCs w:val="18"/>
                    </w:rPr>
                    <w:t>Bacteriologically confirmed</w:t>
                  </w:r>
                </w:p>
              </w:tc>
              <w:tc>
                <w:tcPr>
                  <w:tcW w:w="902" w:type="dxa"/>
                </w:tcPr>
                <w:p w14:paraId="7594FCB2" w14:textId="77777777" w:rsidR="00E2270C" w:rsidRPr="00463ACA"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463ACA">
                    <w:rPr>
                      <w:rFonts w:asciiTheme="majorHAnsi" w:hAnsiTheme="majorHAnsi" w:cstheme="majorHAnsi"/>
                      <w:bCs/>
                      <w:sz w:val="18"/>
                      <w:szCs w:val="18"/>
                    </w:rPr>
                    <w:t>3,539</w:t>
                  </w:r>
                </w:p>
              </w:tc>
              <w:tc>
                <w:tcPr>
                  <w:tcW w:w="902" w:type="dxa"/>
                </w:tcPr>
                <w:p w14:paraId="6FAF356B" w14:textId="77777777" w:rsidR="00E2270C" w:rsidRPr="00463ACA"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463ACA">
                    <w:rPr>
                      <w:rFonts w:asciiTheme="majorHAnsi" w:hAnsiTheme="majorHAnsi" w:cstheme="majorHAnsi"/>
                      <w:bCs/>
                      <w:sz w:val="18"/>
                      <w:szCs w:val="18"/>
                    </w:rPr>
                    <w:t>3,038</w:t>
                  </w:r>
                </w:p>
              </w:tc>
              <w:tc>
                <w:tcPr>
                  <w:tcW w:w="713" w:type="dxa"/>
                </w:tcPr>
                <w:p w14:paraId="2FA13458" w14:textId="77777777" w:rsidR="00E2270C" w:rsidRPr="00463ACA"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463ACA">
                    <w:rPr>
                      <w:rFonts w:asciiTheme="majorHAnsi" w:hAnsiTheme="majorHAnsi" w:cstheme="majorHAnsi"/>
                      <w:bCs/>
                      <w:sz w:val="18"/>
                      <w:szCs w:val="18"/>
                    </w:rPr>
                    <w:t>1,770</w:t>
                  </w:r>
                </w:p>
              </w:tc>
            </w:tr>
            <w:tr w:rsidR="00E2270C" w:rsidRPr="00463ACA" w14:paraId="59864A4A" w14:textId="77777777" w:rsidTr="0006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top w:val="none" w:sz="0" w:space="0" w:color="auto"/>
                    <w:bottom w:val="none" w:sz="0" w:space="0" w:color="auto"/>
                    <w:right w:val="none" w:sz="0" w:space="0" w:color="auto"/>
                  </w:tcBorders>
                </w:tcPr>
                <w:p w14:paraId="0693A860" w14:textId="77777777" w:rsidR="00E2270C" w:rsidRPr="00463ACA" w:rsidRDefault="00E2270C" w:rsidP="00F917D2">
                  <w:pPr>
                    <w:spacing w:after="0" w:line="240" w:lineRule="auto"/>
                    <w:jc w:val="both"/>
                    <w:rPr>
                      <w:rFonts w:asciiTheme="majorHAnsi" w:hAnsiTheme="majorHAnsi" w:cstheme="majorHAnsi"/>
                      <w:b w:val="0"/>
                      <w:sz w:val="18"/>
                      <w:szCs w:val="18"/>
                    </w:rPr>
                  </w:pPr>
                  <w:r w:rsidRPr="00463ACA">
                    <w:rPr>
                      <w:rFonts w:asciiTheme="majorHAnsi" w:hAnsiTheme="majorHAnsi" w:cstheme="majorHAnsi"/>
                      <w:b w:val="0"/>
                      <w:sz w:val="18"/>
                      <w:szCs w:val="18"/>
                    </w:rPr>
                    <w:t>Clinically confirmed</w:t>
                  </w:r>
                </w:p>
              </w:tc>
              <w:tc>
                <w:tcPr>
                  <w:tcW w:w="902" w:type="dxa"/>
                  <w:tcBorders>
                    <w:top w:val="none" w:sz="0" w:space="0" w:color="auto"/>
                    <w:bottom w:val="none" w:sz="0" w:space="0" w:color="auto"/>
                  </w:tcBorders>
                </w:tcPr>
                <w:p w14:paraId="69AF150F" w14:textId="77777777" w:rsidR="00E2270C" w:rsidRPr="00463ACA"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463ACA">
                    <w:rPr>
                      <w:rFonts w:asciiTheme="majorHAnsi" w:hAnsiTheme="majorHAnsi" w:cstheme="majorHAnsi"/>
                      <w:sz w:val="18"/>
                      <w:szCs w:val="18"/>
                    </w:rPr>
                    <w:t>251</w:t>
                  </w:r>
                </w:p>
              </w:tc>
              <w:tc>
                <w:tcPr>
                  <w:tcW w:w="902" w:type="dxa"/>
                  <w:tcBorders>
                    <w:top w:val="none" w:sz="0" w:space="0" w:color="auto"/>
                    <w:bottom w:val="none" w:sz="0" w:space="0" w:color="auto"/>
                  </w:tcBorders>
                </w:tcPr>
                <w:p w14:paraId="7CC7C466" w14:textId="77777777" w:rsidR="00E2270C" w:rsidRPr="00463ACA"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463ACA">
                    <w:rPr>
                      <w:rFonts w:asciiTheme="majorHAnsi" w:hAnsiTheme="majorHAnsi" w:cstheme="majorHAnsi"/>
                      <w:sz w:val="18"/>
                      <w:szCs w:val="18"/>
                    </w:rPr>
                    <w:t>487</w:t>
                  </w:r>
                </w:p>
              </w:tc>
              <w:tc>
                <w:tcPr>
                  <w:tcW w:w="713" w:type="dxa"/>
                  <w:tcBorders>
                    <w:top w:val="none" w:sz="0" w:space="0" w:color="auto"/>
                    <w:bottom w:val="none" w:sz="0" w:space="0" w:color="auto"/>
                  </w:tcBorders>
                </w:tcPr>
                <w:p w14:paraId="16C68919" w14:textId="77777777" w:rsidR="00E2270C" w:rsidRPr="00463ACA"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463ACA">
                    <w:rPr>
                      <w:rFonts w:asciiTheme="majorHAnsi" w:hAnsiTheme="majorHAnsi" w:cstheme="majorHAnsi"/>
                      <w:sz w:val="18"/>
                      <w:szCs w:val="18"/>
                    </w:rPr>
                    <w:t>686</w:t>
                  </w:r>
                </w:p>
              </w:tc>
            </w:tr>
            <w:tr w:rsidR="00E2270C" w:rsidRPr="00463ACA" w14:paraId="1579BF01" w14:textId="77777777" w:rsidTr="00064DD6">
              <w:tc>
                <w:tcPr>
                  <w:cnfStyle w:val="001000000000" w:firstRow="0" w:lastRow="0" w:firstColumn="1" w:lastColumn="0" w:oddVBand="0" w:evenVBand="0" w:oddHBand="0" w:evenHBand="0" w:firstRowFirstColumn="0" w:firstRowLastColumn="0" w:lastRowFirstColumn="0" w:lastRowLastColumn="0"/>
                  <w:tcW w:w="3153" w:type="dxa"/>
                  <w:tcBorders>
                    <w:right w:val="none" w:sz="0" w:space="0" w:color="auto"/>
                  </w:tcBorders>
                </w:tcPr>
                <w:p w14:paraId="0FDCDA4B" w14:textId="77777777" w:rsidR="00E2270C" w:rsidRPr="00463ACA" w:rsidRDefault="00E2270C" w:rsidP="00F917D2">
                  <w:pPr>
                    <w:spacing w:before="60" w:after="0" w:line="240" w:lineRule="auto"/>
                    <w:jc w:val="both"/>
                    <w:rPr>
                      <w:rFonts w:asciiTheme="majorHAnsi" w:hAnsiTheme="majorHAnsi" w:cstheme="majorHAnsi"/>
                      <w:sz w:val="18"/>
                      <w:szCs w:val="18"/>
                    </w:rPr>
                  </w:pPr>
                  <w:r w:rsidRPr="00463ACA">
                    <w:rPr>
                      <w:rFonts w:asciiTheme="majorHAnsi" w:hAnsiTheme="majorHAnsi" w:cstheme="majorHAnsi"/>
                      <w:sz w:val="18"/>
                      <w:szCs w:val="18"/>
                    </w:rPr>
                    <w:t>Recurrent cases except relapses</w:t>
                  </w:r>
                </w:p>
              </w:tc>
              <w:tc>
                <w:tcPr>
                  <w:tcW w:w="902" w:type="dxa"/>
                </w:tcPr>
                <w:p w14:paraId="26AF27D2" w14:textId="77777777" w:rsidR="00E2270C" w:rsidRPr="00463ACA" w:rsidRDefault="00E2270C" w:rsidP="00F917D2">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463ACA">
                    <w:rPr>
                      <w:rFonts w:asciiTheme="majorHAnsi" w:hAnsiTheme="majorHAnsi" w:cstheme="majorHAnsi"/>
                      <w:b/>
                      <w:sz w:val="18"/>
                      <w:szCs w:val="18"/>
                    </w:rPr>
                    <w:t>513</w:t>
                  </w:r>
                </w:p>
              </w:tc>
              <w:tc>
                <w:tcPr>
                  <w:tcW w:w="902" w:type="dxa"/>
                </w:tcPr>
                <w:p w14:paraId="28975C16" w14:textId="77777777" w:rsidR="00E2270C" w:rsidRPr="00463ACA" w:rsidRDefault="00E2270C" w:rsidP="00F917D2">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463ACA">
                    <w:rPr>
                      <w:rFonts w:asciiTheme="majorHAnsi" w:hAnsiTheme="majorHAnsi" w:cstheme="majorHAnsi"/>
                      <w:b/>
                      <w:sz w:val="18"/>
                      <w:szCs w:val="18"/>
                    </w:rPr>
                    <w:t>447</w:t>
                  </w:r>
                </w:p>
              </w:tc>
              <w:tc>
                <w:tcPr>
                  <w:tcW w:w="713" w:type="dxa"/>
                </w:tcPr>
                <w:p w14:paraId="51B485B1" w14:textId="77777777" w:rsidR="00E2270C" w:rsidRPr="00463ACA" w:rsidRDefault="00E2270C" w:rsidP="00F917D2">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463ACA">
                    <w:rPr>
                      <w:rFonts w:asciiTheme="majorHAnsi" w:hAnsiTheme="majorHAnsi" w:cstheme="majorHAnsi"/>
                      <w:b/>
                      <w:sz w:val="18"/>
                      <w:szCs w:val="18"/>
                    </w:rPr>
                    <w:t>385</w:t>
                  </w:r>
                </w:p>
              </w:tc>
            </w:tr>
            <w:tr w:rsidR="00E2270C" w:rsidRPr="00463ACA" w14:paraId="560690CE" w14:textId="77777777" w:rsidTr="0006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top w:val="none" w:sz="0" w:space="0" w:color="auto"/>
                    <w:bottom w:val="none" w:sz="0" w:space="0" w:color="auto"/>
                    <w:right w:val="none" w:sz="0" w:space="0" w:color="auto"/>
                  </w:tcBorders>
                </w:tcPr>
                <w:p w14:paraId="7AA14BD2" w14:textId="77777777" w:rsidR="00E2270C" w:rsidRPr="00463ACA" w:rsidRDefault="00E2270C" w:rsidP="00F917D2">
                  <w:pPr>
                    <w:spacing w:after="0" w:line="240" w:lineRule="auto"/>
                    <w:jc w:val="both"/>
                    <w:rPr>
                      <w:rFonts w:asciiTheme="majorHAnsi" w:hAnsiTheme="majorHAnsi" w:cstheme="majorHAnsi"/>
                      <w:b w:val="0"/>
                      <w:sz w:val="18"/>
                      <w:szCs w:val="18"/>
                    </w:rPr>
                  </w:pPr>
                  <w:r w:rsidRPr="00463ACA">
                    <w:rPr>
                      <w:rFonts w:asciiTheme="majorHAnsi" w:hAnsiTheme="majorHAnsi" w:cstheme="majorHAnsi"/>
                      <w:b w:val="0"/>
                      <w:sz w:val="18"/>
                      <w:szCs w:val="18"/>
                    </w:rPr>
                    <w:t>Bacteriologically confirmed</w:t>
                  </w:r>
                </w:p>
              </w:tc>
              <w:tc>
                <w:tcPr>
                  <w:tcW w:w="902" w:type="dxa"/>
                  <w:tcBorders>
                    <w:top w:val="none" w:sz="0" w:space="0" w:color="auto"/>
                    <w:bottom w:val="none" w:sz="0" w:space="0" w:color="auto"/>
                  </w:tcBorders>
                </w:tcPr>
                <w:p w14:paraId="18E6BBEA" w14:textId="77777777" w:rsidR="00E2270C" w:rsidRPr="00463ACA"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463ACA">
                    <w:rPr>
                      <w:rFonts w:asciiTheme="majorHAnsi" w:hAnsiTheme="majorHAnsi" w:cstheme="majorHAnsi"/>
                      <w:bCs/>
                      <w:sz w:val="18"/>
                      <w:szCs w:val="18"/>
                    </w:rPr>
                    <w:t>441</w:t>
                  </w:r>
                </w:p>
              </w:tc>
              <w:tc>
                <w:tcPr>
                  <w:tcW w:w="902" w:type="dxa"/>
                  <w:tcBorders>
                    <w:top w:val="none" w:sz="0" w:space="0" w:color="auto"/>
                    <w:bottom w:val="none" w:sz="0" w:space="0" w:color="auto"/>
                  </w:tcBorders>
                </w:tcPr>
                <w:p w14:paraId="66C3C6F6" w14:textId="77777777" w:rsidR="00E2270C" w:rsidRPr="00463ACA"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463ACA">
                    <w:rPr>
                      <w:rFonts w:asciiTheme="majorHAnsi" w:hAnsiTheme="majorHAnsi" w:cstheme="majorHAnsi"/>
                      <w:bCs/>
                      <w:sz w:val="18"/>
                      <w:szCs w:val="18"/>
                    </w:rPr>
                    <w:t>350</w:t>
                  </w:r>
                </w:p>
              </w:tc>
              <w:tc>
                <w:tcPr>
                  <w:tcW w:w="713" w:type="dxa"/>
                  <w:tcBorders>
                    <w:top w:val="none" w:sz="0" w:space="0" w:color="auto"/>
                    <w:bottom w:val="none" w:sz="0" w:space="0" w:color="auto"/>
                  </w:tcBorders>
                </w:tcPr>
                <w:p w14:paraId="7FB4CC17" w14:textId="77777777" w:rsidR="00E2270C" w:rsidRPr="00463ACA"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463ACA">
                    <w:rPr>
                      <w:rFonts w:asciiTheme="majorHAnsi" w:hAnsiTheme="majorHAnsi" w:cstheme="majorHAnsi"/>
                      <w:bCs/>
                      <w:sz w:val="18"/>
                      <w:szCs w:val="18"/>
                    </w:rPr>
                    <w:t>139</w:t>
                  </w:r>
                </w:p>
              </w:tc>
            </w:tr>
            <w:tr w:rsidR="00E2270C" w:rsidRPr="00463ACA" w14:paraId="08EDA1F5" w14:textId="77777777" w:rsidTr="00064DD6">
              <w:tc>
                <w:tcPr>
                  <w:cnfStyle w:val="001000000000" w:firstRow="0" w:lastRow="0" w:firstColumn="1" w:lastColumn="0" w:oddVBand="0" w:evenVBand="0" w:oddHBand="0" w:evenHBand="0" w:firstRowFirstColumn="0" w:firstRowLastColumn="0" w:lastRowFirstColumn="0" w:lastRowLastColumn="0"/>
                  <w:tcW w:w="3153" w:type="dxa"/>
                  <w:tcBorders>
                    <w:right w:val="none" w:sz="0" w:space="0" w:color="auto"/>
                  </w:tcBorders>
                </w:tcPr>
                <w:p w14:paraId="54EE11D1" w14:textId="77777777" w:rsidR="00E2270C" w:rsidRPr="00463ACA" w:rsidRDefault="00E2270C" w:rsidP="00F917D2">
                  <w:pPr>
                    <w:spacing w:after="0" w:line="240" w:lineRule="auto"/>
                    <w:jc w:val="both"/>
                    <w:rPr>
                      <w:rFonts w:asciiTheme="majorHAnsi" w:hAnsiTheme="majorHAnsi" w:cstheme="majorHAnsi"/>
                      <w:b w:val="0"/>
                      <w:sz w:val="18"/>
                      <w:szCs w:val="18"/>
                    </w:rPr>
                  </w:pPr>
                  <w:r w:rsidRPr="00463ACA">
                    <w:rPr>
                      <w:rFonts w:asciiTheme="majorHAnsi" w:hAnsiTheme="majorHAnsi" w:cstheme="majorHAnsi"/>
                      <w:b w:val="0"/>
                      <w:sz w:val="18"/>
                      <w:szCs w:val="18"/>
                    </w:rPr>
                    <w:t>Clinically confirmed</w:t>
                  </w:r>
                </w:p>
              </w:tc>
              <w:tc>
                <w:tcPr>
                  <w:tcW w:w="902" w:type="dxa"/>
                </w:tcPr>
                <w:p w14:paraId="4C2E56BE" w14:textId="77777777" w:rsidR="00E2270C" w:rsidRPr="00463ACA"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463ACA">
                    <w:rPr>
                      <w:rFonts w:asciiTheme="majorHAnsi" w:hAnsiTheme="majorHAnsi" w:cstheme="majorHAnsi"/>
                      <w:sz w:val="18"/>
                      <w:szCs w:val="18"/>
                    </w:rPr>
                    <w:t>72</w:t>
                  </w:r>
                </w:p>
              </w:tc>
              <w:tc>
                <w:tcPr>
                  <w:tcW w:w="902" w:type="dxa"/>
                </w:tcPr>
                <w:p w14:paraId="28C28C5E" w14:textId="77777777" w:rsidR="00E2270C" w:rsidRPr="00463ACA"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463ACA">
                    <w:rPr>
                      <w:rFonts w:asciiTheme="majorHAnsi" w:hAnsiTheme="majorHAnsi" w:cstheme="majorHAnsi"/>
                      <w:sz w:val="18"/>
                      <w:szCs w:val="18"/>
                    </w:rPr>
                    <w:t>97</w:t>
                  </w:r>
                </w:p>
              </w:tc>
              <w:tc>
                <w:tcPr>
                  <w:tcW w:w="713" w:type="dxa"/>
                </w:tcPr>
                <w:p w14:paraId="4A8FC7B7" w14:textId="77777777" w:rsidR="00E2270C" w:rsidRPr="00463ACA"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463ACA">
                    <w:rPr>
                      <w:rFonts w:asciiTheme="majorHAnsi" w:hAnsiTheme="majorHAnsi" w:cstheme="majorHAnsi"/>
                      <w:sz w:val="18"/>
                      <w:szCs w:val="18"/>
                    </w:rPr>
                    <w:t>246</w:t>
                  </w:r>
                </w:p>
              </w:tc>
            </w:tr>
            <w:tr w:rsidR="00E2270C" w:rsidRPr="00463ACA" w14:paraId="786DBB25" w14:textId="77777777" w:rsidTr="0006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top w:val="none" w:sz="0" w:space="0" w:color="auto"/>
                    <w:bottom w:val="none" w:sz="0" w:space="0" w:color="auto"/>
                    <w:right w:val="none" w:sz="0" w:space="0" w:color="auto"/>
                  </w:tcBorders>
                </w:tcPr>
                <w:p w14:paraId="1F6AEBC1" w14:textId="77777777" w:rsidR="00E2270C" w:rsidRPr="00463ACA" w:rsidRDefault="00E2270C" w:rsidP="00F917D2">
                  <w:pPr>
                    <w:spacing w:before="60" w:after="0" w:line="240" w:lineRule="auto"/>
                    <w:jc w:val="both"/>
                    <w:rPr>
                      <w:rFonts w:asciiTheme="majorHAnsi" w:hAnsiTheme="majorHAnsi" w:cstheme="majorHAnsi"/>
                      <w:sz w:val="18"/>
                      <w:szCs w:val="18"/>
                    </w:rPr>
                  </w:pPr>
                  <w:r w:rsidRPr="00463ACA">
                    <w:rPr>
                      <w:rFonts w:asciiTheme="majorHAnsi" w:hAnsiTheme="majorHAnsi" w:cstheme="majorHAnsi"/>
                      <w:sz w:val="18"/>
                      <w:szCs w:val="18"/>
                    </w:rPr>
                    <w:t>Extrapulmonary cases</w:t>
                  </w:r>
                </w:p>
              </w:tc>
              <w:tc>
                <w:tcPr>
                  <w:tcW w:w="902" w:type="dxa"/>
                  <w:tcBorders>
                    <w:top w:val="none" w:sz="0" w:space="0" w:color="auto"/>
                    <w:bottom w:val="none" w:sz="0" w:space="0" w:color="auto"/>
                  </w:tcBorders>
                </w:tcPr>
                <w:p w14:paraId="63E303FB" w14:textId="77777777" w:rsidR="00E2270C" w:rsidRPr="00463ACA" w:rsidRDefault="00E2270C" w:rsidP="00F917D2">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463ACA">
                    <w:rPr>
                      <w:rFonts w:asciiTheme="majorHAnsi" w:hAnsiTheme="majorHAnsi" w:cstheme="majorHAnsi"/>
                      <w:b/>
                      <w:sz w:val="18"/>
                      <w:szCs w:val="18"/>
                    </w:rPr>
                    <w:t>1,230</w:t>
                  </w:r>
                </w:p>
              </w:tc>
              <w:tc>
                <w:tcPr>
                  <w:tcW w:w="902" w:type="dxa"/>
                  <w:tcBorders>
                    <w:top w:val="none" w:sz="0" w:space="0" w:color="auto"/>
                    <w:bottom w:val="none" w:sz="0" w:space="0" w:color="auto"/>
                  </w:tcBorders>
                </w:tcPr>
                <w:p w14:paraId="171CAF38" w14:textId="77777777" w:rsidR="00E2270C" w:rsidRPr="00463ACA" w:rsidRDefault="00E2270C" w:rsidP="00F917D2">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463ACA">
                    <w:rPr>
                      <w:rFonts w:asciiTheme="majorHAnsi" w:hAnsiTheme="majorHAnsi" w:cstheme="majorHAnsi"/>
                      <w:b/>
                      <w:sz w:val="18"/>
                      <w:szCs w:val="18"/>
                    </w:rPr>
                    <w:t>1,253</w:t>
                  </w:r>
                </w:p>
              </w:tc>
              <w:tc>
                <w:tcPr>
                  <w:tcW w:w="713" w:type="dxa"/>
                  <w:tcBorders>
                    <w:top w:val="none" w:sz="0" w:space="0" w:color="auto"/>
                    <w:bottom w:val="none" w:sz="0" w:space="0" w:color="auto"/>
                  </w:tcBorders>
                </w:tcPr>
                <w:p w14:paraId="427AB48F" w14:textId="77777777" w:rsidR="00E2270C" w:rsidRPr="00463ACA" w:rsidRDefault="00E2270C" w:rsidP="00F917D2">
                  <w:pPr>
                    <w:spacing w:before="60"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463ACA">
                    <w:rPr>
                      <w:rFonts w:asciiTheme="majorHAnsi" w:hAnsiTheme="majorHAnsi" w:cstheme="majorHAnsi"/>
                      <w:b/>
                      <w:sz w:val="18"/>
                      <w:szCs w:val="18"/>
                    </w:rPr>
                    <w:t>957</w:t>
                  </w:r>
                </w:p>
              </w:tc>
            </w:tr>
            <w:tr w:rsidR="00E2270C" w:rsidRPr="00463ACA" w14:paraId="6F883B08" w14:textId="77777777" w:rsidTr="00064DD6">
              <w:tc>
                <w:tcPr>
                  <w:cnfStyle w:val="001000000000" w:firstRow="0" w:lastRow="0" w:firstColumn="1" w:lastColumn="0" w:oddVBand="0" w:evenVBand="0" w:oddHBand="0" w:evenHBand="0" w:firstRowFirstColumn="0" w:firstRowLastColumn="0" w:lastRowFirstColumn="0" w:lastRowLastColumn="0"/>
                  <w:tcW w:w="3153" w:type="dxa"/>
                  <w:tcBorders>
                    <w:right w:val="none" w:sz="0" w:space="0" w:color="auto"/>
                  </w:tcBorders>
                </w:tcPr>
                <w:p w14:paraId="24B17B8B" w14:textId="77777777" w:rsidR="00E2270C" w:rsidRPr="00463ACA" w:rsidRDefault="00E2270C" w:rsidP="00F917D2">
                  <w:pPr>
                    <w:spacing w:after="0" w:line="240" w:lineRule="auto"/>
                    <w:jc w:val="both"/>
                    <w:rPr>
                      <w:rFonts w:asciiTheme="majorHAnsi" w:hAnsiTheme="majorHAnsi" w:cstheme="majorHAnsi"/>
                      <w:b w:val="0"/>
                      <w:sz w:val="18"/>
                      <w:szCs w:val="18"/>
                    </w:rPr>
                  </w:pPr>
                  <w:r w:rsidRPr="00463ACA">
                    <w:rPr>
                      <w:rFonts w:asciiTheme="majorHAnsi" w:hAnsiTheme="majorHAnsi" w:cstheme="majorHAnsi"/>
                      <w:b w:val="0"/>
                      <w:sz w:val="18"/>
                      <w:szCs w:val="18"/>
                    </w:rPr>
                    <w:t>Bacteriologically confirmed</w:t>
                  </w:r>
                </w:p>
              </w:tc>
              <w:tc>
                <w:tcPr>
                  <w:tcW w:w="902" w:type="dxa"/>
                </w:tcPr>
                <w:p w14:paraId="47DD5C23" w14:textId="77777777" w:rsidR="00E2270C" w:rsidRPr="00463ACA"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463ACA">
                    <w:rPr>
                      <w:rFonts w:asciiTheme="majorHAnsi" w:hAnsiTheme="majorHAnsi" w:cstheme="majorHAnsi"/>
                      <w:bCs/>
                      <w:sz w:val="18"/>
                      <w:szCs w:val="18"/>
                    </w:rPr>
                    <w:t>387</w:t>
                  </w:r>
                </w:p>
              </w:tc>
              <w:tc>
                <w:tcPr>
                  <w:tcW w:w="902" w:type="dxa"/>
                </w:tcPr>
                <w:p w14:paraId="12247FFD" w14:textId="77777777" w:rsidR="00E2270C" w:rsidRPr="00463ACA"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463ACA">
                    <w:rPr>
                      <w:rFonts w:asciiTheme="majorHAnsi" w:hAnsiTheme="majorHAnsi" w:cstheme="majorHAnsi"/>
                      <w:bCs/>
                      <w:sz w:val="18"/>
                      <w:szCs w:val="18"/>
                    </w:rPr>
                    <w:t>466</w:t>
                  </w:r>
                </w:p>
              </w:tc>
              <w:tc>
                <w:tcPr>
                  <w:tcW w:w="713" w:type="dxa"/>
                </w:tcPr>
                <w:p w14:paraId="1D4EB526" w14:textId="77777777" w:rsidR="00E2270C" w:rsidRPr="00463ACA" w:rsidRDefault="00E2270C" w:rsidP="00F917D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463ACA">
                    <w:rPr>
                      <w:rFonts w:asciiTheme="majorHAnsi" w:hAnsiTheme="majorHAnsi" w:cstheme="majorHAnsi"/>
                      <w:bCs/>
                      <w:sz w:val="18"/>
                      <w:szCs w:val="18"/>
                    </w:rPr>
                    <w:t>344</w:t>
                  </w:r>
                </w:p>
              </w:tc>
            </w:tr>
            <w:tr w:rsidR="00E2270C" w:rsidRPr="00463ACA" w14:paraId="4166FAF3" w14:textId="77777777" w:rsidTr="0006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3" w:type="dxa"/>
                  <w:tcBorders>
                    <w:top w:val="none" w:sz="0" w:space="0" w:color="auto"/>
                    <w:bottom w:val="single" w:sz="4" w:space="0" w:color="auto"/>
                    <w:right w:val="none" w:sz="0" w:space="0" w:color="auto"/>
                  </w:tcBorders>
                </w:tcPr>
                <w:p w14:paraId="584DA601" w14:textId="77777777" w:rsidR="00E2270C" w:rsidRPr="00463ACA" w:rsidRDefault="00E2270C" w:rsidP="00F917D2">
                  <w:pPr>
                    <w:spacing w:after="60" w:line="240" w:lineRule="auto"/>
                    <w:jc w:val="both"/>
                    <w:rPr>
                      <w:rFonts w:asciiTheme="majorHAnsi" w:hAnsiTheme="majorHAnsi" w:cstheme="majorHAnsi"/>
                      <w:b w:val="0"/>
                      <w:sz w:val="18"/>
                      <w:szCs w:val="18"/>
                    </w:rPr>
                  </w:pPr>
                  <w:r w:rsidRPr="00463ACA">
                    <w:rPr>
                      <w:rFonts w:asciiTheme="majorHAnsi" w:hAnsiTheme="majorHAnsi" w:cstheme="majorHAnsi"/>
                      <w:b w:val="0"/>
                      <w:sz w:val="18"/>
                      <w:szCs w:val="18"/>
                    </w:rPr>
                    <w:t>Clinically confirmed</w:t>
                  </w:r>
                </w:p>
              </w:tc>
              <w:tc>
                <w:tcPr>
                  <w:tcW w:w="902" w:type="dxa"/>
                  <w:tcBorders>
                    <w:top w:val="none" w:sz="0" w:space="0" w:color="auto"/>
                    <w:bottom w:val="single" w:sz="4" w:space="0" w:color="auto"/>
                  </w:tcBorders>
                </w:tcPr>
                <w:p w14:paraId="35E65732" w14:textId="77777777" w:rsidR="00E2270C" w:rsidRPr="00463ACA"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463ACA">
                    <w:rPr>
                      <w:rFonts w:asciiTheme="majorHAnsi" w:hAnsiTheme="majorHAnsi" w:cstheme="majorHAnsi"/>
                      <w:sz w:val="18"/>
                      <w:szCs w:val="18"/>
                    </w:rPr>
                    <w:t>843</w:t>
                  </w:r>
                </w:p>
              </w:tc>
              <w:tc>
                <w:tcPr>
                  <w:tcW w:w="902" w:type="dxa"/>
                  <w:tcBorders>
                    <w:top w:val="none" w:sz="0" w:space="0" w:color="auto"/>
                    <w:bottom w:val="single" w:sz="4" w:space="0" w:color="auto"/>
                  </w:tcBorders>
                </w:tcPr>
                <w:p w14:paraId="60ABE30B" w14:textId="77777777" w:rsidR="00E2270C" w:rsidRPr="00463ACA"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463ACA">
                    <w:rPr>
                      <w:rFonts w:asciiTheme="majorHAnsi" w:hAnsiTheme="majorHAnsi" w:cstheme="majorHAnsi"/>
                      <w:sz w:val="18"/>
                      <w:szCs w:val="18"/>
                    </w:rPr>
                    <w:t>787</w:t>
                  </w:r>
                </w:p>
              </w:tc>
              <w:tc>
                <w:tcPr>
                  <w:tcW w:w="713" w:type="dxa"/>
                  <w:tcBorders>
                    <w:top w:val="none" w:sz="0" w:space="0" w:color="auto"/>
                    <w:bottom w:val="single" w:sz="4" w:space="0" w:color="auto"/>
                  </w:tcBorders>
                </w:tcPr>
                <w:p w14:paraId="3D31FA95" w14:textId="77777777" w:rsidR="00E2270C" w:rsidRPr="00463ACA" w:rsidRDefault="00E2270C" w:rsidP="00F917D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463ACA">
                    <w:rPr>
                      <w:rFonts w:asciiTheme="majorHAnsi" w:hAnsiTheme="majorHAnsi" w:cstheme="majorHAnsi"/>
                      <w:sz w:val="18"/>
                      <w:szCs w:val="18"/>
                    </w:rPr>
                    <w:t>613</w:t>
                  </w:r>
                </w:p>
              </w:tc>
            </w:tr>
            <w:tr w:rsidR="00F917D2" w:rsidRPr="00463ACA" w14:paraId="0D7D8ADF" w14:textId="77777777" w:rsidTr="00064DD6">
              <w:tc>
                <w:tcPr>
                  <w:cnfStyle w:val="001000000000" w:firstRow="0" w:lastRow="0" w:firstColumn="1" w:lastColumn="0" w:oddVBand="0" w:evenVBand="0" w:oddHBand="0" w:evenHBand="0" w:firstRowFirstColumn="0" w:firstRowLastColumn="0" w:lastRowFirstColumn="0" w:lastRowLastColumn="0"/>
                  <w:tcW w:w="3153" w:type="dxa"/>
                  <w:tcBorders>
                    <w:top w:val="single" w:sz="4" w:space="0" w:color="auto"/>
                  </w:tcBorders>
                  <w:shd w:val="clear" w:color="auto" w:fill="auto"/>
                </w:tcPr>
                <w:p w14:paraId="26B6076F" w14:textId="77777777" w:rsidR="00E2270C" w:rsidRPr="00463ACA" w:rsidRDefault="00E2270C" w:rsidP="00E2270C">
                  <w:pPr>
                    <w:spacing w:after="0" w:line="240" w:lineRule="auto"/>
                    <w:jc w:val="both"/>
                    <w:rPr>
                      <w:rFonts w:asciiTheme="majorHAnsi" w:hAnsiTheme="majorHAnsi" w:cstheme="majorHAnsi"/>
                      <w:sz w:val="18"/>
                      <w:szCs w:val="18"/>
                    </w:rPr>
                  </w:pPr>
                  <w:r w:rsidRPr="00463ACA">
                    <w:rPr>
                      <w:rFonts w:asciiTheme="majorHAnsi" w:hAnsiTheme="majorHAnsi" w:cstheme="majorHAnsi"/>
                      <w:sz w:val="18"/>
                      <w:szCs w:val="18"/>
                    </w:rPr>
                    <w:t>All TB cases</w:t>
                  </w:r>
                </w:p>
              </w:tc>
              <w:tc>
                <w:tcPr>
                  <w:tcW w:w="902" w:type="dxa"/>
                  <w:tcBorders>
                    <w:top w:val="single" w:sz="4" w:space="0" w:color="auto"/>
                  </w:tcBorders>
                  <w:shd w:val="clear" w:color="auto" w:fill="auto"/>
                  <w:vAlign w:val="center"/>
                </w:tcPr>
                <w:p w14:paraId="3047E7EB" w14:textId="77777777" w:rsidR="00E2270C" w:rsidRPr="00463ACA" w:rsidRDefault="00E2270C" w:rsidP="00E2270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463ACA">
                    <w:rPr>
                      <w:rFonts w:asciiTheme="majorHAnsi" w:hAnsiTheme="majorHAnsi" w:cstheme="majorHAnsi"/>
                      <w:b/>
                      <w:sz w:val="18"/>
                      <w:szCs w:val="18"/>
                    </w:rPr>
                    <w:t>13,260</w:t>
                  </w:r>
                </w:p>
              </w:tc>
              <w:tc>
                <w:tcPr>
                  <w:tcW w:w="902" w:type="dxa"/>
                  <w:tcBorders>
                    <w:top w:val="single" w:sz="4" w:space="0" w:color="auto"/>
                  </w:tcBorders>
                  <w:shd w:val="clear" w:color="auto" w:fill="auto"/>
                  <w:vAlign w:val="center"/>
                </w:tcPr>
                <w:p w14:paraId="5198FDDC" w14:textId="77777777" w:rsidR="00E2270C" w:rsidRPr="00463ACA" w:rsidRDefault="00E2270C" w:rsidP="00E2270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463ACA">
                    <w:rPr>
                      <w:rFonts w:asciiTheme="majorHAnsi" w:hAnsiTheme="majorHAnsi" w:cstheme="majorHAnsi"/>
                      <w:b/>
                      <w:sz w:val="18"/>
                      <w:szCs w:val="18"/>
                    </w:rPr>
                    <w:t>12,553</w:t>
                  </w:r>
                </w:p>
              </w:tc>
              <w:tc>
                <w:tcPr>
                  <w:tcW w:w="713" w:type="dxa"/>
                  <w:tcBorders>
                    <w:top w:val="single" w:sz="4" w:space="0" w:color="auto"/>
                  </w:tcBorders>
                  <w:shd w:val="clear" w:color="auto" w:fill="auto"/>
                  <w:vAlign w:val="center"/>
                </w:tcPr>
                <w:p w14:paraId="754FB271" w14:textId="77777777" w:rsidR="00E2270C" w:rsidRPr="00463ACA" w:rsidRDefault="00E2270C" w:rsidP="00E2270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463ACA">
                    <w:rPr>
                      <w:rFonts w:asciiTheme="majorHAnsi" w:hAnsiTheme="majorHAnsi" w:cstheme="majorHAnsi"/>
                      <w:b/>
                      <w:sz w:val="18"/>
                      <w:szCs w:val="18"/>
                    </w:rPr>
                    <w:t>9,622</w:t>
                  </w:r>
                </w:p>
              </w:tc>
            </w:tr>
          </w:tbl>
          <w:p w14:paraId="64DB2008" w14:textId="12B8909A" w:rsidR="0070742B" w:rsidRPr="00CD000A" w:rsidRDefault="00E2270C" w:rsidP="00CD000A">
            <w:pPr>
              <w:spacing w:after="0" w:line="240" w:lineRule="auto"/>
              <w:rPr>
                <w:rFonts w:cstheme="minorHAnsi"/>
                <w:sz w:val="16"/>
                <w:szCs w:val="16"/>
              </w:rPr>
            </w:pPr>
            <w:r w:rsidRPr="00463ACA">
              <w:rPr>
                <w:rFonts w:cstheme="minorHAnsi"/>
                <w:sz w:val="16"/>
                <w:szCs w:val="16"/>
              </w:rPr>
              <w:t>Source: National T</w:t>
            </w:r>
            <w:r w:rsidR="005448DD" w:rsidRPr="00463ACA">
              <w:rPr>
                <w:rFonts w:cstheme="minorHAnsi"/>
                <w:sz w:val="16"/>
                <w:szCs w:val="16"/>
              </w:rPr>
              <w:t xml:space="preserve">B </w:t>
            </w:r>
            <w:r w:rsidRPr="00463ACA">
              <w:rPr>
                <w:rFonts w:cstheme="minorHAnsi"/>
                <w:sz w:val="16"/>
                <w:szCs w:val="16"/>
              </w:rPr>
              <w:t>P</w:t>
            </w:r>
            <w:r w:rsidR="005448DD" w:rsidRPr="00463ACA">
              <w:rPr>
                <w:rFonts w:cstheme="minorHAnsi"/>
                <w:sz w:val="16"/>
                <w:szCs w:val="16"/>
              </w:rPr>
              <w:t>rogram</w:t>
            </w:r>
            <w:r w:rsidR="00463ACA">
              <w:rPr>
                <w:rFonts w:cstheme="minorHAnsi"/>
                <w:sz w:val="16"/>
                <w:szCs w:val="16"/>
              </w:rPr>
              <w:t>.</w:t>
            </w:r>
          </w:p>
          <w:p w14:paraId="34D6B896" w14:textId="2C74201F" w:rsidR="00C51F63" w:rsidRPr="00C51F63" w:rsidRDefault="00C51F63" w:rsidP="00C51F63">
            <w:pPr>
              <w:spacing w:before="240" w:line="240" w:lineRule="auto"/>
              <w:rPr>
                <w:rFonts w:asciiTheme="majorHAnsi" w:eastAsia="Times New Roman" w:hAnsiTheme="majorHAnsi" w:cstheme="majorHAnsi"/>
                <w:b/>
                <w:color w:val="202124"/>
                <w:shd w:val="clear" w:color="auto" w:fill="FFFFFF"/>
              </w:rPr>
            </w:pPr>
            <w:r w:rsidRPr="00C51F63">
              <w:rPr>
                <w:rFonts w:asciiTheme="majorHAnsi" w:eastAsia="Times New Roman" w:hAnsiTheme="majorHAnsi" w:cstheme="majorHAnsi"/>
                <w:b/>
                <w:color w:val="202124"/>
                <w:shd w:val="clear" w:color="auto" w:fill="FFFFFF"/>
              </w:rPr>
              <w:t>Multidrug-resistant tuberculosis (MDR-TB)</w:t>
            </w:r>
          </w:p>
          <w:p w14:paraId="0183613E" w14:textId="4927B462" w:rsidR="00B64869" w:rsidRDefault="00C51F63" w:rsidP="00592CEF">
            <w:pPr>
              <w:spacing w:after="0" w:line="240" w:lineRule="auto"/>
              <w:jc w:val="both"/>
              <w:rPr>
                <w:rFonts w:cs="Arial"/>
              </w:rPr>
            </w:pPr>
            <w:r w:rsidRPr="00C51F63">
              <w:rPr>
                <w:rFonts w:asciiTheme="majorHAnsi" w:eastAsia="Times New Roman" w:hAnsiTheme="majorHAnsi" w:cstheme="majorHAnsi"/>
                <w:bCs/>
              </w:rPr>
              <w:t>Reiterating what is mentioned above</w:t>
            </w:r>
            <w:r w:rsidRPr="00C51F63">
              <w:rPr>
                <w:rFonts w:asciiTheme="majorHAnsi" w:eastAsia="Times New Roman" w:hAnsiTheme="majorHAnsi" w:cstheme="majorHAnsi"/>
              </w:rPr>
              <w:t>,</w:t>
            </w:r>
            <w:r>
              <w:rPr>
                <w:rFonts w:ascii="Times" w:eastAsia="Times New Roman" w:hAnsi="Times" w:cs="Times New Roman"/>
                <w:sz w:val="20"/>
                <w:szCs w:val="20"/>
              </w:rPr>
              <w:t xml:space="preserve"> </w:t>
            </w:r>
            <w:r w:rsidR="007A1E80" w:rsidRPr="007A1E80">
              <w:rPr>
                <w:rFonts w:cs="Arial"/>
              </w:rPr>
              <w:t>Kazakhstan is among the priority countries</w:t>
            </w:r>
            <w:r w:rsidR="007A1E80">
              <w:rPr>
                <w:rFonts w:cs="Arial"/>
              </w:rPr>
              <w:t xml:space="preserve"> in the world </w:t>
            </w:r>
            <w:r w:rsidR="00873FDD">
              <w:rPr>
                <w:rFonts w:cs="Arial"/>
              </w:rPr>
              <w:t>with the highest-</w:t>
            </w:r>
            <w:r w:rsidR="004207DF" w:rsidRPr="004207DF">
              <w:rPr>
                <w:rFonts w:cs="Arial"/>
              </w:rPr>
              <w:t xml:space="preserve">burden of </w:t>
            </w:r>
            <w:r w:rsidR="00661A5A">
              <w:rPr>
                <w:rFonts w:cs="Arial"/>
              </w:rPr>
              <w:t>RR/MDR</w:t>
            </w:r>
            <w:r w:rsidR="004207DF" w:rsidRPr="004207DF">
              <w:rPr>
                <w:rFonts w:cs="Arial"/>
              </w:rPr>
              <w:t xml:space="preserve">-TB. </w:t>
            </w:r>
            <w:r w:rsidR="0021756F" w:rsidRPr="0021756F">
              <w:rPr>
                <w:rFonts w:cs="Arial"/>
              </w:rPr>
              <w:t xml:space="preserve">Based on 2020 NTP’ statistics, the proportion of </w:t>
            </w:r>
            <w:r w:rsidR="00177C89">
              <w:rPr>
                <w:rFonts w:cs="Arial"/>
              </w:rPr>
              <w:t>RR/</w:t>
            </w:r>
            <w:r w:rsidR="0021756F" w:rsidRPr="0021756F">
              <w:rPr>
                <w:rFonts w:cs="Arial"/>
              </w:rPr>
              <w:t>M</w:t>
            </w:r>
            <w:r w:rsidR="00177C89">
              <w:rPr>
                <w:rFonts w:cs="Arial"/>
              </w:rPr>
              <w:t>DR</w:t>
            </w:r>
            <w:r w:rsidR="0021756F">
              <w:rPr>
                <w:rFonts w:cs="Arial"/>
              </w:rPr>
              <w:t xml:space="preserve">-TB among new TB cases was </w:t>
            </w:r>
            <w:r w:rsidR="0021756F" w:rsidRPr="0021756F">
              <w:rPr>
                <w:rFonts w:cs="Arial"/>
              </w:rPr>
              <w:t>26.3% and among previ</w:t>
            </w:r>
            <w:r w:rsidR="007340F4">
              <w:rPr>
                <w:rFonts w:cs="Arial"/>
              </w:rPr>
              <w:t>ously treated- 53.1% (Figure 20</w:t>
            </w:r>
            <w:r w:rsidR="0021756F" w:rsidRPr="0021756F">
              <w:rPr>
                <w:rFonts w:cs="Arial"/>
              </w:rPr>
              <w:t xml:space="preserve">), </w:t>
            </w:r>
            <w:r w:rsidR="0021756F">
              <w:rPr>
                <w:rFonts w:cs="Arial"/>
              </w:rPr>
              <w:t>which are greater than</w:t>
            </w:r>
            <w:r w:rsidR="0021756F" w:rsidRPr="0021756F">
              <w:rPr>
                <w:rFonts w:cs="Arial"/>
              </w:rPr>
              <w:t xml:space="preserve"> the same indicators reported at the global level (3.3% and 18%, correspondingly) and </w:t>
            </w:r>
            <w:r w:rsidR="00592CEF">
              <w:rPr>
                <w:rFonts w:cs="Arial"/>
              </w:rPr>
              <w:t xml:space="preserve">at </w:t>
            </w:r>
            <w:r w:rsidR="0021756F" w:rsidRPr="0021756F">
              <w:rPr>
                <w:rFonts w:cs="Arial"/>
              </w:rPr>
              <w:t>the WHO European Region (17% and 52%, correspondingly) in 2019.</w:t>
            </w:r>
          </w:p>
          <w:p w14:paraId="46C44FC3" w14:textId="77777777" w:rsidR="007340F4" w:rsidRPr="007340F4" w:rsidRDefault="007340F4" w:rsidP="00592CEF">
            <w:pPr>
              <w:spacing w:after="0" w:line="240" w:lineRule="auto"/>
              <w:jc w:val="both"/>
              <w:rPr>
                <w:rFonts w:ascii="Times" w:eastAsia="Times New Roman" w:hAnsi="Times" w:cs="Times New Roman"/>
                <w:sz w:val="20"/>
                <w:szCs w:val="20"/>
              </w:rPr>
            </w:pPr>
          </w:p>
          <w:p w14:paraId="74C6D8BE" w14:textId="7A907DF1" w:rsidR="00007BFF" w:rsidRDefault="004E3CF4" w:rsidP="00592CEF">
            <w:pPr>
              <w:spacing w:after="0" w:line="240" w:lineRule="auto"/>
              <w:jc w:val="both"/>
              <w:rPr>
                <w:rFonts w:cs="Arial"/>
              </w:rPr>
            </w:pPr>
            <w:r>
              <w:rPr>
                <w:rFonts w:eastAsia="Times New Roman" w:cs="Arial"/>
                <w:shd w:val="clear" w:color="auto" w:fill="FFFFFF"/>
              </w:rPr>
              <w:t>Drug-resistant TB is a serious</w:t>
            </w:r>
            <w:r w:rsidRPr="004E3CF4">
              <w:rPr>
                <w:rFonts w:eastAsia="Times New Roman" w:cs="Arial"/>
                <w:shd w:val="clear" w:color="auto" w:fill="FFFFFF"/>
              </w:rPr>
              <w:t xml:space="preserve"> threat to public health in Kazakhstan. In 2020, there were 3,114 bacteriologically confirmed cases of </w:t>
            </w:r>
            <w:r w:rsidR="00661A5A">
              <w:rPr>
                <w:rFonts w:eastAsia="Times New Roman" w:cs="Arial"/>
                <w:shd w:val="clear" w:color="auto" w:fill="FFFFFF"/>
              </w:rPr>
              <w:t>RR/MDR</w:t>
            </w:r>
            <w:r w:rsidRPr="004E3CF4">
              <w:rPr>
                <w:rFonts w:eastAsia="Times New Roman" w:cs="Arial"/>
                <w:shd w:val="clear" w:color="auto" w:fill="FFFFFF"/>
              </w:rPr>
              <w:t xml:space="preserve">-TB </w:t>
            </w:r>
            <w:r w:rsidRPr="00B3691F">
              <w:rPr>
                <w:rFonts w:eastAsia="Times New Roman" w:cs="Arial"/>
                <w:shd w:val="clear" w:color="auto" w:fill="FFFFFF"/>
              </w:rPr>
              <w:t>and</w:t>
            </w:r>
            <w:r w:rsidRPr="004E3CF4">
              <w:rPr>
                <w:rFonts w:eastAsia="Times New Roman" w:cs="Arial"/>
                <w:shd w:val="clear" w:color="auto" w:fill="FFFFFF"/>
              </w:rPr>
              <w:t xml:space="preserve"> 1,193 cases with pre-</w:t>
            </w:r>
            <w:r w:rsidR="00305F98">
              <w:rPr>
                <w:rFonts w:eastAsia="Times New Roman" w:cs="Arial"/>
                <w:shd w:val="clear" w:color="auto" w:fill="FFFFFF"/>
              </w:rPr>
              <w:t xml:space="preserve"> and </w:t>
            </w:r>
            <w:r w:rsidRPr="004E3CF4">
              <w:rPr>
                <w:rFonts w:eastAsia="Times New Roman" w:cs="Arial"/>
                <w:shd w:val="clear" w:color="auto" w:fill="FFFFFF"/>
              </w:rPr>
              <w:t>XDR-TB, compared with WHO' estima</w:t>
            </w:r>
            <w:r>
              <w:rPr>
                <w:rFonts w:eastAsia="Times New Roman" w:cs="Arial"/>
                <w:shd w:val="clear" w:color="auto" w:fill="FFFFFF"/>
              </w:rPr>
              <w:t xml:space="preserve">ted 4,100 cases </w:t>
            </w:r>
            <w:r w:rsidRPr="004E3CF4">
              <w:rPr>
                <w:rFonts w:eastAsia="Times New Roman" w:cs="Arial"/>
                <w:shd w:val="clear" w:color="auto" w:fill="FFFFFF"/>
              </w:rPr>
              <w:t>in 2019</w:t>
            </w:r>
            <w:r>
              <w:rPr>
                <w:rFonts w:eastAsia="Times New Roman" w:cs="Arial"/>
                <w:shd w:val="clear" w:color="auto" w:fill="FFFFFF"/>
              </w:rPr>
              <w:t xml:space="preserve"> for the country</w:t>
            </w:r>
            <w:r w:rsidRPr="004E3CF4">
              <w:rPr>
                <w:rFonts w:eastAsia="Times New Roman" w:cs="Arial"/>
                <w:shd w:val="clear" w:color="auto" w:fill="FFFFFF"/>
              </w:rPr>
              <w:t xml:space="preserve">. </w:t>
            </w:r>
            <w:r w:rsidR="008740A4">
              <w:rPr>
                <w:rFonts w:cs="Arial"/>
              </w:rPr>
              <w:t>Though</w:t>
            </w:r>
            <w:r>
              <w:rPr>
                <w:rFonts w:cs="Arial"/>
              </w:rPr>
              <w:t xml:space="preserve"> RR-TB incidence </w:t>
            </w:r>
            <w:r w:rsidR="008740A4">
              <w:rPr>
                <w:rFonts w:cs="Arial"/>
              </w:rPr>
              <w:t>had declined</w:t>
            </w:r>
            <w:r w:rsidR="007A1E80" w:rsidRPr="007A1E80">
              <w:rPr>
                <w:rFonts w:cs="Arial"/>
              </w:rPr>
              <w:t xml:space="preserve"> </w:t>
            </w:r>
            <w:r w:rsidR="008740A4">
              <w:rPr>
                <w:rFonts w:cs="Arial"/>
              </w:rPr>
              <w:t xml:space="preserve">with an average annual level of 7% </w:t>
            </w:r>
            <w:r w:rsidR="00661A5A">
              <w:rPr>
                <w:rFonts w:cs="Arial"/>
              </w:rPr>
              <w:t>from 5,</w:t>
            </w:r>
            <w:r w:rsidR="007A1E80" w:rsidRPr="007A1E80">
              <w:rPr>
                <w:rFonts w:cs="Arial"/>
              </w:rPr>
              <w:t xml:space="preserve">817 cases </w:t>
            </w:r>
            <w:r>
              <w:rPr>
                <w:rFonts w:cs="Arial"/>
              </w:rPr>
              <w:t>(</w:t>
            </w:r>
            <w:r w:rsidR="007A1E80" w:rsidRPr="007A1E80">
              <w:rPr>
                <w:rFonts w:cs="Arial"/>
              </w:rPr>
              <w:t>32.9 per 100,000 population</w:t>
            </w:r>
            <w:r w:rsidR="00F1561D">
              <w:rPr>
                <w:rFonts w:cs="Arial"/>
              </w:rPr>
              <w:t>) in 2016 to 3,</w:t>
            </w:r>
            <w:r>
              <w:rPr>
                <w:rFonts w:cs="Arial"/>
              </w:rPr>
              <w:t>114 (</w:t>
            </w:r>
            <w:r w:rsidR="007A1E80" w:rsidRPr="007A1E80">
              <w:rPr>
                <w:rFonts w:cs="Arial"/>
              </w:rPr>
              <w:t>16.7 per 100,000 population</w:t>
            </w:r>
            <w:r>
              <w:rPr>
                <w:rFonts w:cs="Arial"/>
              </w:rPr>
              <w:t>)</w:t>
            </w:r>
            <w:r w:rsidR="00592CEF">
              <w:rPr>
                <w:rFonts w:cs="Arial"/>
              </w:rPr>
              <w:t xml:space="preserve"> in 2020, </w:t>
            </w:r>
            <w:r w:rsidR="007A1E80" w:rsidRPr="007A1E80">
              <w:rPr>
                <w:rFonts w:cs="Arial"/>
              </w:rPr>
              <w:t>RR-TB</w:t>
            </w:r>
            <w:r w:rsidR="008740A4">
              <w:rPr>
                <w:rFonts w:cs="Arial"/>
              </w:rPr>
              <w:t xml:space="preserve"> </w:t>
            </w:r>
            <w:r w:rsidR="00204EB0">
              <w:rPr>
                <w:rFonts w:cs="Arial"/>
              </w:rPr>
              <w:t xml:space="preserve">prevalence </w:t>
            </w:r>
            <w:r w:rsidR="007A1E80" w:rsidRPr="007A1E80">
              <w:rPr>
                <w:rFonts w:cs="Arial"/>
              </w:rPr>
              <w:t>in th</w:t>
            </w:r>
            <w:r w:rsidR="008740A4">
              <w:rPr>
                <w:rFonts w:cs="Arial"/>
              </w:rPr>
              <w:t>e country remained at 45-49% of all registered TB</w:t>
            </w:r>
            <w:r w:rsidR="00A50943">
              <w:rPr>
                <w:rFonts w:cs="Arial"/>
              </w:rPr>
              <w:t xml:space="preserve"> patients</w:t>
            </w:r>
            <w:r w:rsidR="008740A4">
              <w:rPr>
                <w:rFonts w:cs="Arial"/>
              </w:rPr>
              <w:t xml:space="preserve"> over the past years</w:t>
            </w:r>
            <w:r w:rsidR="00944E89">
              <w:rPr>
                <w:rFonts w:cs="Arial"/>
              </w:rPr>
              <w:t xml:space="preserve"> (Figures 20&amp;21).</w:t>
            </w:r>
          </w:p>
          <w:p w14:paraId="76CAC1E9" w14:textId="77777777" w:rsidR="001A3428" w:rsidRPr="00974FD7" w:rsidRDefault="001A3428" w:rsidP="007340F4">
            <w:pPr>
              <w:spacing w:after="0" w:line="240" w:lineRule="auto"/>
              <w:jc w:val="both"/>
              <w:rPr>
                <w:rFonts w:cs="Arial"/>
              </w:rPr>
            </w:pPr>
          </w:p>
          <w:tbl>
            <w:tblPr>
              <w:tblStyle w:val="aa"/>
              <w:tblW w:w="0" w:type="auto"/>
              <w:tblLayout w:type="fixed"/>
              <w:tblLook w:val="04A0" w:firstRow="1" w:lastRow="0" w:firstColumn="1" w:lastColumn="0" w:noHBand="0" w:noVBand="1"/>
            </w:tblPr>
            <w:tblGrid>
              <w:gridCol w:w="5115"/>
              <w:gridCol w:w="5115"/>
            </w:tblGrid>
            <w:tr w:rsidR="001A3428" w:rsidRPr="00E32BE8" w14:paraId="5F31600F" w14:textId="77777777" w:rsidTr="00064DD6">
              <w:tc>
                <w:tcPr>
                  <w:tcW w:w="5115" w:type="dxa"/>
                </w:tcPr>
                <w:p w14:paraId="5B7E09F2" w14:textId="716610E5" w:rsidR="001A3428" w:rsidRPr="001A3428" w:rsidRDefault="007340F4" w:rsidP="001A3428">
                  <w:pPr>
                    <w:jc w:val="both"/>
                    <w:rPr>
                      <w:rFonts w:cs="Arial"/>
                      <w:b/>
                    </w:rPr>
                  </w:pPr>
                  <w:r>
                    <w:rPr>
                      <w:rFonts w:cs="Arial"/>
                      <w:b/>
                      <w:sz w:val="20"/>
                    </w:rPr>
                    <w:t>Figure 20</w:t>
                  </w:r>
                  <w:r w:rsidR="001A3428" w:rsidRPr="007340F4">
                    <w:rPr>
                      <w:rFonts w:cs="Arial"/>
                      <w:b/>
                      <w:sz w:val="20"/>
                    </w:rPr>
                    <w:t>. Rates of the RR/MDR-TB among new and previously</w:t>
                  </w:r>
                  <w:r w:rsidR="001A3428" w:rsidRPr="001A3428">
                    <w:rPr>
                      <w:rFonts w:cs="Arial"/>
                      <w:b/>
                      <w:sz w:val="20"/>
                    </w:rPr>
                    <w:t xml:space="preserve"> treated TB cases, Kazakhstan, 2009-2020</w:t>
                  </w:r>
                </w:p>
              </w:tc>
              <w:tc>
                <w:tcPr>
                  <w:tcW w:w="5115" w:type="dxa"/>
                </w:tcPr>
                <w:p w14:paraId="0D505DF6" w14:textId="73A31806" w:rsidR="001A3428" w:rsidRPr="001A3428" w:rsidRDefault="007340F4" w:rsidP="007340F4">
                  <w:pPr>
                    <w:jc w:val="both"/>
                    <w:rPr>
                      <w:rFonts w:cs="Arial"/>
                      <w:b/>
                    </w:rPr>
                  </w:pPr>
                  <w:r>
                    <w:rPr>
                      <w:rFonts w:cs="Arial"/>
                      <w:b/>
                      <w:sz w:val="20"/>
                    </w:rPr>
                    <w:t>Figure 21</w:t>
                  </w:r>
                  <w:r w:rsidR="001A3428" w:rsidRPr="007340F4">
                    <w:rPr>
                      <w:rFonts w:cs="Arial"/>
                      <w:b/>
                      <w:sz w:val="20"/>
                    </w:rPr>
                    <w:t>. RR/MDR-TB notification rate and absolute numbers, civilian sector, Kazakhstan, 2016–2020</w:t>
                  </w:r>
                </w:p>
              </w:tc>
            </w:tr>
            <w:tr w:rsidR="001A3428" w14:paraId="459C5AE7" w14:textId="77777777" w:rsidTr="0074629C">
              <w:trPr>
                <w:trHeight w:val="2954"/>
              </w:trPr>
              <w:tc>
                <w:tcPr>
                  <w:tcW w:w="5115" w:type="dxa"/>
                </w:tcPr>
                <w:p w14:paraId="043F1A69" w14:textId="77777777" w:rsidR="001A3428" w:rsidRPr="00E32BE8" w:rsidRDefault="001A3428" w:rsidP="001A3428">
                  <w:pPr>
                    <w:rPr>
                      <w:rFonts w:cs="Arial"/>
                    </w:rPr>
                  </w:pPr>
                </w:p>
                <w:p w14:paraId="7F1ABDA5" w14:textId="75B4922D" w:rsidR="001A3428" w:rsidRDefault="001A3428" w:rsidP="001A3428">
                  <w:pPr>
                    <w:rPr>
                      <w:rFonts w:cs="Arial"/>
                      <w:lang w:val="ru-RU"/>
                    </w:rPr>
                  </w:pPr>
                  <w:r>
                    <w:rPr>
                      <w:noProof/>
                    </w:rPr>
                    <w:drawing>
                      <wp:inline distT="0" distB="0" distL="0" distR="0" wp14:anchorId="6FD9F55C" wp14:editId="2A2E74B6">
                        <wp:extent cx="3108960" cy="1600200"/>
                        <wp:effectExtent l="0" t="0" r="15240" b="254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5115" w:type="dxa"/>
                </w:tcPr>
                <w:p w14:paraId="3FEA63AB" w14:textId="77777777" w:rsidR="001A3428" w:rsidRDefault="001A3428" w:rsidP="001A3428">
                  <w:pPr>
                    <w:rPr>
                      <w:rFonts w:cs="Arial"/>
                      <w:lang w:val="ru-RU"/>
                    </w:rPr>
                  </w:pPr>
                </w:p>
                <w:p w14:paraId="1DFE735C" w14:textId="77777777" w:rsidR="001A3428" w:rsidRDefault="001A3428" w:rsidP="001A3428">
                  <w:pPr>
                    <w:rPr>
                      <w:rFonts w:cs="Arial"/>
                      <w:lang w:val="ru-RU"/>
                    </w:rPr>
                  </w:pPr>
                  <w:r w:rsidRPr="00B24494">
                    <w:rPr>
                      <w:rFonts w:cstheme="minorHAnsi"/>
                      <w:b/>
                      <w:noProof/>
                    </w:rPr>
                    <w:drawing>
                      <wp:inline distT="0" distB="0" distL="0" distR="0" wp14:anchorId="720EEC98" wp14:editId="00A5901A">
                        <wp:extent cx="3067050" cy="1600200"/>
                        <wp:effectExtent l="0" t="0" r="6350" b="0"/>
                        <wp:docPr id="11"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1A3428" w14:paraId="7A5C6D57" w14:textId="77777777" w:rsidTr="00F1561D">
              <w:trPr>
                <w:trHeight w:val="554"/>
              </w:trPr>
              <w:tc>
                <w:tcPr>
                  <w:tcW w:w="5115" w:type="dxa"/>
                </w:tcPr>
                <w:p w14:paraId="1A581887" w14:textId="6B8D35C0" w:rsidR="001A3428" w:rsidRPr="00592CEF" w:rsidRDefault="001A3428" w:rsidP="001A3428">
                  <w:pPr>
                    <w:rPr>
                      <w:rFonts w:cs="Arial"/>
                      <w:sz w:val="16"/>
                      <w:szCs w:val="16"/>
                    </w:rPr>
                  </w:pPr>
                  <w:r w:rsidRPr="00592CEF">
                    <w:rPr>
                      <w:rFonts w:cs="Arial"/>
                      <w:i/>
                      <w:sz w:val="16"/>
                      <w:szCs w:val="16"/>
                    </w:rPr>
                    <w:t>Source</w:t>
                  </w:r>
                  <w:r w:rsidRPr="00592CEF">
                    <w:rPr>
                      <w:rFonts w:cs="Arial"/>
                      <w:sz w:val="16"/>
                      <w:szCs w:val="16"/>
                    </w:rPr>
                    <w:t>: National TB Program</w:t>
                  </w:r>
                  <w:r w:rsidR="00592CEF">
                    <w:rPr>
                      <w:rFonts w:cs="Arial"/>
                      <w:sz w:val="16"/>
                      <w:szCs w:val="16"/>
                    </w:rPr>
                    <w:t>.</w:t>
                  </w:r>
                </w:p>
              </w:tc>
              <w:tc>
                <w:tcPr>
                  <w:tcW w:w="5115" w:type="dxa"/>
                </w:tcPr>
                <w:p w14:paraId="40B1A6E5" w14:textId="23540216" w:rsidR="001A3428" w:rsidRPr="00592CEF" w:rsidRDefault="001A3428" w:rsidP="001A3428">
                  <w:pPr>
                    <w:rPr>
                      <w:rFonts w:cs="Arial"/>
                      <w:sz w:val="16"/>
                      <w:szCs w:val="16"/>
                    </w:rPr>
                  </w:pPr>
                  <w:r w:rsidRPr="00592CEF">
                    <w:rPr>
                      <w:rFonts w:cs="Arial"/>
                      <w:i/>
                      <w:sz w:val="16"/>
                      <w:szCs w:val="16"/>
                    </w:rPr>
                    <w:t>Source</w:t>
                  </w:r>
                  <w:r w:rsidRPr="00592CEF">
                    <w:rPr>
                      <w:rFonts w:cs="Arial"/>
                      <w:sz w:val="16"/>
                      <w:szCs w:val="16"/>
                    </w:rPr>
                    <w:t>: WHO global TB database, 2016–2020</w:t>
                  </w:r>
                  <w:r w:rsidR="00592CEF">
                    <w:rPr>
                      <w:rFonts w:cs="Arial"/>
                      <w:sz w:val="16"/>
                      <w:szCs w:val="16"/>
                    </w:rPr>
                    <w:t>.</w:t>
                  </w:r>
                </w:p>
              </w:tc>
            </w:tr>
          </w:tbl>
          <w:p w14:paraId="1B590B52" w14:textId="7DBFA8F2" w:rsidR="00937FD5" w:rsidRPr="00937FD5" w:rsidRDefault="00937FD5" w:rsidP="00152150">
            <w:pPr>
              <w:spacing w:before="240" w:line="240" w:lineRule="auto"/>
              <w:rPr>
                <w:rFonts w:cs="Arial"/>
                <w:b/>
              </w:rPr>
            </w:pPr>
            <w:r w:rsidRPr="00937FD5">
              <w:rPr>
                <w:rFonts w:cs="Arial"/>
                <w:b/>
              </w:rPr>
              <w:t xml:space="preserve">Key and vulnerable </w:t>
            </w:r>
            <w:r>
              <w:rPr>
                <w:rFonts w:cs="Arial"/>
                <w:b/>
              </w:rPr>
              <w:t xml:space="preserve">population </w:t>
            </w:r>
            <w:r w:rsidRPr="00937FD5">
              <w:rPr>
                <w:rFonts w:cs="Arial"/>
                <w:b/>
              </w:rPr>
              <w:t>groups to tuberculosis</w:t>
            </w:r>
          </w:p>
          <w:p w14:paraId="043A14E5" w14:textId="63D39A73" w:rsidR="00197046" w:rsidRPr="00BE5632" w:rsidRDefault="00937FD5" w:rsidP="00152150">
            <w:pPr>
              <w:spacing w:after="0" w:line="240" w:lineRule="auto"/>
              <w:jc w:val="both"/>
              <w:rPr>
                <w:rFonts w:cs="Arial"/>
                <w:color w:val="000000"/>
              </w:rPr>
            </w:pPr>
            <w:r w:rsidRPr="00BE5632">
              <w:rPr>
                <w:rFonts w:cs="Arial"/>
              </w:rPr>
              <w:t xml:space="preserve">In Kazakhstan, the list of key </w:t>
            </w:r>
            <w:r w:rsidR="00662E24">
              <w:rPr>
                <w:rFonts w:cs="Arial"/>
              </w:rPr>
              <w:t>and vulnerable populations</w:t>
            </w:r>
            <w:r w:rsidRPr="00BE5632">
              <w:rPr>
                <w:rFonts w:cs="Arial"/>
              </w:rPr>
              <w:t xml:space="preserve"> and TB examination frequency are determined by the MoH order</w:t>
            </w:r>
            <w:r w:rsidRPr="00BE5632">
              <w:rPr>
                <w:rStyle w:val="af"/>
                <w:rFonts w:cs="Arial"/>
              </w:rPr>
              <w:footnoteReference w:id="39"/>
            </w:r>
            <w:r w:rsidRPr="00BE5632">
              <w:rPr>
                <w:rFonts w:cs="Arial"/>
              </w:rPr>
              <w:t xml:space="preserve"> that defines</w:t>
            </w:r>
            <w:r w:rsidR="00662E24">
              <w:rPr>
                <w:rFonts w:cs="Arial"/>
                <w:color w:val="000000"/>
              </w:rPr>
              <w:t xml:space="preserve"> the</w:t>
            </w:r>
            <w:r w:rsidRPr="00BE5632">
              <w:rPr>
                <w:rFonts w:cs="Arial"/>
                <w:color w:val="000000"/>
              </w:rPr>
              <w:t xml:space="preserve"> groups at </w:t>
            </w:r>
            <w:r w:rsidR="00662E24">
              <w:rPr>
                <w:rFonts w:cs="Arial"/>
                <w:color w:val="000000"/>
              </w:rPr>
              <w:t xml:space="preserve">high </w:t>
            </w:r>
            <w:r w:rsidRPr="00BE5632">
              <w:rPr>
                <w:rFonts w:cs="Arial"/>
                <w:color w:val="000000"/>
              </w:rPr>
              <w:t>risk for TB</w:t>
            </w:r>
            <w:r w:rsidR="003A34D7" w:rsidRPr="00BE5632">
              <w:rPr>
                <w:rFonts w:cs="Arial"/>
                <w:color w:val="000000"/>
              </w:rPr>
              <w:t>, who are</w:t>
            </w:r>
            <w:r w:rsidRPr="00BE5632">
              <w:rPr>
                <w:rFonts w:cs="Arial"/>
                <w:color w:val="000000"/>
              </w:rPr>
              <w:t xml:space="preserve"> eligible for active case finding (Table 2). </w:t>
            </w:r>
          </w:p>
          <w:p w14:paraId="40D44CFB" w14:textId="77777777" w:rsidR="00B85547" w:rsidRPr="00551908" w:rsidRDefault="00B85547" w:rsidP="00152150">
            <w:pPr>
              <w:spacing w:after="0" w:line="240" w:lineRule="auto"/>
              <w:jc w:val="both"/>
              <w:rPr>
                <w:rFonts w:cs="Arial"/>
                <w:color w:val="000000"/>
                <w:sz w:val="20"/>
                <w:szCs w:val="20"/>
              </w:rPr>
            </w:pPr>
          </w:p>
          <w:p w14:paraId="43404C90" w14:textId="3679956C" w:rsidR="00197046" w:rsidRPr="00974FD7" w:rsidRDefault="00197046" w:rsidP="00197046">
            <w:pPr>
              <w:autoSpaceDE w:val="0"/>
              <w:autoSpaceDN w:val="0"/>
              <w:adjustRightInd w:val="0"/>
              <w:spacing w:after="0" w:line="240" w:lineRule="auto"/>
              <w:jc w:val="both"/>
              <w:rPr>
                <w:rFonts w:eastAsia="Times New Roman"/>
                <w:b/>
              </w:rPr>
            </w:pPr>
            <w:r w:rsidRPr="00152150">
              <w:rPr>
                <w:rFonts w:asciiTheme="minorHAnsi" w:hAnsiTheme="minorHAnsi" w:cstheme="minorHAnsi"/>
                <w:b/>
              </w:rPr>
              <w:t>Tablle 2</w:t>
            </w:r>
            <w:r w:rsidRPr="00974FD7">
              <w:rPr>
                <w:rFonts w:asciiTheme="minorHAnsi" w:hAnsiTheme="minorHAnsi" w:cstheme="minorHAnsi"/>
                <w:b/>
              </w:rPr>
              <w:t>.</w:t>
            </w:r>
            <w:r w:rsidRPr="00974FD7">
              <w:rPr>
                <w:rFonts w:asciiTheme="minorHAnsi" w:hAnsiTheme="minorHAnsi" w:cstheme="minorHAnsi"/>
                <w:b/>
                <w:i/>
              </w:rPr>
              <w:t xml:space="preserve"> </w:t>
            </w:r>
            <w:r w:rsidRPr="003A34D7">
              <w:rPr>
                <w:rFonts w:cs="Arial"/>
                <w:b/>
              </w:rPr>
              <w:t xml:space="preserve">The list of key and vulnerable population groups eligible for </w:t>
            </w:r>
            <w:r w:rsidR="00216FDE" w:rsidRPr="003A34D7">
              <w:rPr>
                <w:rFonts w:cs="Arial"/>
                <w:b/>
              </w:rPr>
              <w:t xml:space="preserve">systematic </w:t>
            </w:r>
            <w:r w:rsidR="009C3637">
              <w:rPr>
                <w:rFonts w:cs="Arial"/>
                <w:b/>
              </w:rPr>
              <w:t>TB screening</w:t>
            </w:r>
          </w:p>
          <w:p w14:paraId="14C61312" w14:textId="40EBF839" w:rsidR="00197046" w:rsidRPr="00974FD7" w:rsidRDefault="003A34D7" w:rsidP="003A34D7">
            <w:pPr>
              <w:tabs>
                <w:tab w:val="left" w:pos="7312"/>
              </w:tabs>
              <w:autoSpaceDE w:val="0"/>
              <w:autoSpaceDN w:val="0"/>
              <w:adjustRightInd w:val="0"/>
              <w:spacing w:after="0" w:line="240" w:lineRule="auto"/>
              <w:jc w:val="both"/>
              <w:rPr>
                <w:rFonts w:eastAsia="Times New Roman"/>
                <w:b/>
                <w:sz w:val="20"/>
              </w:rPr>
            </w:pPr>
            <w:r w:rsidRPr="00974FD7">
              <w:rPr>
                <w:rFonts w:eastAsia="Times New Roman"/>
                <w:b/>
                <w:sz w:val="20"/>
              </w:rPr>
              <w:tab/>
            </w:r>
          </w:p>
          <w:tbl>
            <w:tblPr>
              <w:tblStyle w:val="ListTable3-Accent51"/>
              <w:tblW w:w="0" w:type="auto"/>
              <w:tblLayout w:type="fixed"/>
              <w:tblLook w:val="04A0" w:firstRow="1" w:lastRow="0" w:firstColumn="1" w:lastColumn="0" w:noHBand="0" w:noVBand="1"/>
            </w:tblPr>
            <w:tblGrid>
              <w:gridCol w:w="3235"/>
              <w:gridCol w:w="6810"/>
            </w:tblGrid>
            <w:tr w:rsidR="00197046" w:rsidRPr="0005333B" w14:paraId="30982E7E" w14:textId="77777777" w:rsidTr="00064D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5" w:type="dxa"/>
                  <w:shd w:val="clear" w:color="auto" w:fill="0070C0"/>
                </w:tcPr>
                <w:p w14:paraId="0DD65C74" w14:textId="77777777" w:rsidR="00197046" w:rsidRPr="00974FD7" w:rsidRDefault="00197046" w:rsidP="00197046">
                  <w:pPr>
                    <w:spacing w:after="0" w:line="240" w:lineRule="auto"/>
                    <w:rPr>
                      <w:sz w:val="18"/>
                    </w:rPr>
                  </w:pPr>
                </w:p>
              </w:tc>
              <w:tc>
                <w:tcPr>
                  <w:tcW w:w="6810" w:type="dxa"/>
                  <w:shd w:val="clear" w:color="auto" w:fill="0070C0"/>
                </w:tcPr>
                <w:p w14:paraId="73A5897B" w14:textId="77777777" w:rsidR="00197046" w:rsidRPr="00974FD7" w:rsidRDefault="00197046" w:rsidP="00197046">
                  <w:pPr>
                    <w:spacing w:after="0" w:line="240" w:lineRule="auto"/>
                    <w:cnfStyle w:val="100000000000" w:firstRow="1" w:lastRow="0" w:firstColumn="0" w:lastColumn="0" w:oddVBand="0" w:evenVBand="0" w:oddHBand="0" w:evenHBand="0" w:firstRowFirstColumn="0" w:firstRowLastColumn="0" w:lastRowFirstColumn="0" w:lastRowLastColumn="0"/>
                    <w:rPr>
                      <w:sz w:val="18"/>
                    </w:rPr>
                  </w:pPr>
                </w:p>
              </w:tc>
            </w:tr>
            <w:tr w:rsidR="00197046" w:rsidRPr="0005333B" w14:paraId="7CE7E9EB" w14:textId="77777777" w:rsidTr="0006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hideMark/>
                </w:tcPr>
                <w:p w14:paraId="593C6686" w14:textId="7CB2804F" w:rsidR="00197046" w:rsidRPr="00974FD7" w:rsidRDefault="00216FDE" w:rsidP="00197046">
                  <w:pPr>
                    <w:spacing w:after="0" w:line="240" w:lineRule="auto"/>
                    <w:rPr>
                      <w:sz w:val="18"/>
                    </w:rPr>
                  </w:pPr>
                  <w:r w:rsidRPr="00974FD7">
                    <w:rPr>
                      <w:sz w:val="18"/>
                    </w:rPr>
                    <w:t>High risk population</w:t>
                  </w:r>
                </w:p>
                <w:p w14:paraId="7D35F8D8" w14:textId="07DE812B" w:rsidR="00197046" w:rsidRPr="00974FD7" w:rsidRDefault="00197046" w:rsidP="00197046">
                  <w:pPr>
                    <w:spacing w:after="0" w:line="240" w:lineRule="auto"/>
                    <w:rPr>
                      <w:sz w:val="18"/>
                    </w:rPr>
                  </w:pPr>
                  <w:r w:rsidRPr="00974FD7">
                    <w:rPr>
                      <w:sz w:val="18"/>
                    </w:rPr>
                    <w:t>(</w:t>
                  </w:r>
                  <w:proofErr w:type="gramStart"/>
                  <w:r w:rsidR="00216FDE" w:rsidRPr="00974FD7">
                    <w:rPr>
                      <w:sz w:val="18"/>
                    </w:rPr>
                    <w:t>annual</w:t>
                  </w:r>
                  <w:proofErr w:type="gramEnd"/>
                  <w:r w:rsidR="00216FDE" w:rsidRPr="00974FD7">
                    <w:rPr>
                      <w:sz w:val="18"/>
                    </w:rPr>
                    <w:t xml:space="preserve"> CXR</w:t>
                  </w:r>
                  <w:r w:rsidRPr="00974FD7">
                    <w:rPr>
                      <w:sz w:val="18"/>
                    </w:rPr>
                    <w:t>)</w:t>
                  </w:r>
                </w:p>
              </w:tc>
              <w:tc>
                <w:tcPr>
                  <w:tcW w:w="6810" w:type="dxa"/>
                  <w:hideMark/>
                </w:tcPr>
                <w:p w14:paraId="75E29240" w14:textId="6C7086C8" w:rsidR="00216FDE" w:rsidRPr="00974FD7" w:rsidRDefault="00216FDE" w:rsidP="00216FDE">
                  <w:pPr>
                    <w:spacing w:after="0"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974FD7">
                    <w:rPr>
                      <w:sz w:val="18"/>
                    </w:rPr>
                    <w:t>Close and household contacts, regardless of bacterial excretion in TB patients.</w:t>
                  </w:r>
                </w:p>
                <w:p w14:paraId="1011A940" w14:textId="1E6B9C0B" w:rsidR="00216FDE" w:rsidRPr="00974FD7" w:rsidRDefault="00216FDE" w:rsidP="00216FDE">
                  <w:pPr>
                    <w:spacing w:after="0"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974FD7">
                    <w:rPr>
                      <w:sz w:val="18"/>
                    </w:rPr>
                    <w:t>Persons registered with chronic obstructive pulmonary diseases, diabetes mellitus, alcoholism, drug addiction, HIV/</w:t>
                  </w:r>
                  <w:proofErr w:type="gramStart"/>
                  <w:r w:rsidRPr="00974FD7">
                    <w:rPr>
                      <w:sz w:val="18"/>
                    </w:rPr>
                    <w:t>AIDS</w:t>
                  </w:r>
                  <w:proofErr w:type="gramEnd"/>
                  <w:r w:rsidRPr="00974FD7">
                    <w:rPr>
                      <w:sz w:val="18"/>
                    </w:rPr>
                    <w:t xml:space="preserve"> and those under immunosuppressive therapy</w:t>
                  </w:r>
                  <w:r w:rsidR="00551908" w:rsidRPr="00974FD7">
                    <w:rPr>
                      <w:sz w:val="18"/>
                    </w:rPr>
                    <w:t>.</w:t>
                  </w:r>
                </w:p>
                <w:p w14:paraId="1096A371" w14:textId="33EFA237" w:rsidR="00216FDE" w:rsidRPr="00974FD7" w:rsidRDefault="00216FDE" w:rsidP="00216FDE">
                  <w:pPr>
                    <w:spacing w:after="0"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974FD7">
                    <w:rPr>
                      <w:sz w:val="18"/>
                    </w:rPr>
                    <w:t>Persons with residual effects in the lungs of any etiology.</w:t>
                  </w:r>
                </w:p>
                <w:p w14:paraId="069E2B18" w14:textId="0ACDAE4B" w:rsidR="00197046" w:rsidRPr="00974FD7" w:rsidRDefault="00216FDE" w:rsidP="00197046">
                  <w:pPr>
                    <w:spacing w:after="0" w:line="240" w:lineRule="auto"/>
                    <w:jc w:val="both"/>
                    <w:cnfStyle w:val="000000100000" w:firstRow="0" w:lastRow="0" w:firstColumn="0" w:lastColumn="0" w:oddVBand="0" w:evenVBand="0" w:oddHBand="1" w:evenHBand="0" w:firstRowFirstColumn="0" w:firstRowLastColumn="0" w:lastRowFirstColumn="0" w:lastRowLastColumn="0"/>
                    <w:rPr>
                      <w:sz w:val="18"/>
                    </w:rPr>
                  </w:pPr>
                  <w:r w:rsidRPr="00974FD7">
                    <w:rPr>
                      <w:sz w:val="18"/>
                    </w:rPr>
                    <w:t>Persons released from places of detention.</w:t>
                  </w:r>
                </w:p>
              </w:tc>
            </w:tr>
            <w:tr w:rsidR="00197046" w:rsidRPr="0005333B" w14:paraId="53EE336A" w14:textId="77777777" w:rsidTr="00064DD6">
              <w:tc>
                <w:tcPr>
                  <w:cnfStyle w:val="001000000000" w:firstRow="0" w:lastRow="0" w:firstColumn="1" w:lastColumn="0" w:oddVBand="0" w:evenVBand="0" w:oddHBand="0" w:evenHBand="0" w:firstRowFirstColumn="0" w:firstRowLastColumn="0" w:lastRowFirstColumn="0" w:lastRowLastColumn="0"/>
                  <w:tcW w:w="3235" w:type="dxa"/>
                  <w:hideMark/>
                </w:tcPr>
                <w:p w14:paraId="6805D108" w14:textId="78009EFD" w:rsidR="00197046" w:rsidRPr="00974FD7" w:rsidRDefault="00216FDE" w:rsidP="00197046">
                  <w:pPr>
                    <w:spacing w:after="0" w:line="240" w:lineRule="auto"/>
                    <w:rPr>
                      <w:sz w:val="18"/>
                    </w:rPr>
                  </w:pPr>
                  <w:r w:rsidRPr="00974FD7">
                    <w:rPr>
                      <w:sz w:val="18"/>
                    </w:rPr>
                    <w:t>Groups for mandatory screening</w:t>
                  </w:r>
                </w:p>
                <w:p w14:paraId="42311911" w14:textId="4FD9C943" w:rsidR="00197046" w:rsidRPr="00974FD7" w:rsidRDefault="00197046" w:rsidP="00197046">
                  <w:pPr>
                    <w:spacing w:after="0" w:line="240" w:lineRule="auto"/>
                    <w:rPr>
                      <w:bCs w:val="0"/>
                      <w:sz w:val="18"/>
                    </w:rPr>
                  </w:pPr>
                  <w:r w:rsidRPr="00974FD7">
                    <w:rPr>
                      <w:sz w:val="18"/>
                    </w:rPr>
                    <w:t>(</w:t>
                  </w:r>
                  <w:proofErr w:type="gramStart"/>
                  <w:r w:rsidR="00216FDE" w:rsidRPr="00974FD7">
                    <w:rPr>
                      <w:sz w:val="18"/>
                    </w:rPr>
                    <w:t>annual</w:t>
                  </w:r>
                  <w:proofErr w:type="gramEnd"/>
                  <w:r w:rsidR="00216FDE" w:rsidRPr="00974FD7">
                    <w:rPr>
                      <w:sz w:val="18"/>
                    </w:rPr>
                    <w:t xml:space="preserve"> or semi-annual CXR)</w:t>
                  </w:r>
                </w:p>
              </w:tc>
              <w:tc>
                <w:tcPr>
                  <w:tcW w:w="6810" w:type="dxa"/>
                </w:tcPr>
                <w:p w14:paraId="33801969" w14:textId="5384A1E9" w:rsidR="00313B11" w:rsidRPr="00974FD7" w:rsidRDefault="00313B11" w:rsidP="00313B11">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974FD7">
                    <w:rPr>
                      <w:sz w:val="18"/>
                    </w:rPr>
                    <w:t>Personnel of healthcare facilities and medico-social organizations.</w:t>
                  </w:r>
                </w:p>
                <w:p w14:paraId="545BA8E2" w14:textId="7F39CD5E" w:rsidR="00313B11" w:rsidRPr="00974FD7" w:rsidRDefault="00313B11" w:rsidP="00313B11">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974FD7">
                    <w:rPr>
                      <w:sz w:val="18"/>
                    </w:rPr>
                    <w:t>Students.</w:t>
                  </w:r>
                </w:p>
                <w:p w14:paraId="5B6ADAD7" w14:textId="22EF1C25" w:rsidR="00313B11" w:rsidRPr="00974FD7" w:rsidRDefault="00313B11" w:rsidP="00313B11">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974FD7">
                    <w:rPr>
                      <w:sz w:val="18"/>
                    </w:rPr>
                    <w:t>Adolescents aged 15-17 years.</w:t>
                  </w:r>
                </w:p>
                <w:p w14:paraId="2D5A43CC" w14:textId="3EAF481B" w:rsidR="00313B11" w:rsidRPr="00974FD7" w:rsidRDefault="00313B11" w:rsidP="00313B11">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974FD7">
                    <w:rPr>
                      <w:sz w:val="18"/>
                    </w:rPr>
                    <w:t>Women in their postdelivery period</w:t>
                  </w:r>
                  <w:r w:rsidR="00334DBE" w:rsidRPr="00974FD7">
                    <w:rPr>
                      <w:sz w:val="18"/>
                    </w:rPr>
                    <w:t>,</w:t>
                  </w:r>
                  <w:r w:rsidRPr="00974FD7">
                    <w:rPr>
                      <w:sz w:val="18"/>
                    </w:rPr>
                    <w:t xml:space="preserve"> prior discharge from the maternity hospital.</w:t>
                  </w:r>
                </w:p>
                <w:p w14:paraId="7AE7ACD7" w14:textId="77777777" w:rsidR="00313B11" w:rsidRPr="00974FD7" w:rsidRDefault="00313B11" w:rsidP="00313B11">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974FD7">
                    <w:rPr>
                      <w:sz w:val="18"/>
                    </w:rPr>
                    <w:t>The contingent of persons of inpatient medical and social institutions and neuropsychiatric dispensaries</w:t>
                  </w:r>
                </w:p>
                <w:p w14:paraId="24DEBC1A" w14:textId="656DFC7D" w:rsidR="00313B11" w:rsidRPr="00974FD7" w:rsidRDefault="00313B11" w:rsidP="00313B11">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974FD7">
                    <w:rPr>
                      <w:sz w:val="18"/>
                    </w:rPr>
                    <w:t>Persons under investigation and convicted</w:t>
                  </w:r>
                  <w:r w:rsidR="00334DBE" w:rsidRPr="00974FD7">
                    <w:rPr>
                      <w:sz w:val="18"/>
                    </w:rPr>
                    <w:t>.</w:t>
                  </w:r>
                </w:p>
                <w:p w14:paraId="0FE2FF00" w14:textId="667AD433" w:rsidR="00313B11" w:rsidRPr="00974FD7" w:rsidRDefault="00334DBE" w:rsidP="00313B11">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974FD7">
                    <w:rPr>
                      <w:sz w:val="18"/>
                    </w:rPr>
                    <w:t>Military age population</w:t>
                  </w:r>
                  <w:r w:rsidR="00313B11" w:rsidRPr="00974FD7">
                    <w:rPr>
                      <w:sz w:val="18"/>
                    </w:rPr>
                    <w:t>, empl</w:t>
                  </w:r>
                  <w:r w:rsidRPr="00974FD7">
                    <w:rPr>
                      <w:sz w:val="18"/>
                    </w:rPr>
                    <w:t>oyees of internal affairs</w:t>
                  </w:r>
                  <w:r w:rsidR="00313B11" w:rsidRPr="00974FD7">
                    <w:rPr>
                      <w:sz w:val="18"/>
                    </w:rPr>
                    <w:t>, military personnel</w:t>
                  </w:r>
                  <w:r w:rsidRPr="00974FD7">
                    <w:rPr>
                      <w:sz w:val="18"/>
                    </w:rPr>
                    <w:t>.</w:t>
                  </w:r>
                </w:p>
                <w:p w14:paraId="125D5667" w14:textId="381A5D52" w:rsidR="00313B11" w:rsidRPr="00974FD7" w:rsidRDefault="00313B11" w:rsidP="00313B11">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974FD7">
                    <w:rPr>
                      <w:sz w:val="18"/>
                    </w:rPr>
                    <w:t>Employees of preschool organizations, schools, lyceums and gymnasiums, higher and secondary specialized educational institutions</w:t>
                  </w:r>
                  <w:r w:rsidR="00334DBE" w:rsidRPr="00974FD7">
                    <w:rPr>
                      <w:sz w:val="18"/>
                    </w:rPr>
                    <w:t>.</w:t>
                  </w:r>
                </w:p>
                <w:p w14:paraId="2FE73522" w14:textId="4EEE17EE" w:rsidR="00197046" w:rsidRPr="00974FD7" w:rsidRDefault="00313B11" w:rsidP="00197046">
                  <w:pPr>
                    <w:spacing w:after="0" w:line="240" w:lineRule="auto"/>
                    <w:jc w:val="both"/>
                    <w:cnfStyle w:val="000000000000" w:firstRow="0" w:lastRow="0" w:firstColumn="0" w:lastColumn="0" w:oddVBand="0" w:evenVBand="0" w:oddHBand="0" w:evenHBand="0" w:firstRowFirstColumn="0" w:firstRowLastColumn="0" w:lastRowFirstColumn="0" w:lastRowLastColumn="0"/>
                    <w:rPr>
                      <w:sz w:val="18"/>
                    </w:rPr>
                  </w:pPr>
                  <w:r w:rsidRPr="00974FD7">
                    <w:rPr>
                      <w:sz w:val="18"/>
                    </w:rPr>
                    <w:t>Persons</w:t>
                  </w:r>
                  <w:r w:rsidR="00334DBE" w:rsidRPr="00974FD7">
                    <w:rPr>
                      <w:sz w:val="18"/>
                    </w:rPr>
                    <w:t>, arriving</w:t>
                  </w:r>
                  <w:r w:rsidRPr="00974FD7">
                    <w:rPr>
                      <w:sz w:val="18"/>
                    </w:rPr>
                    <w:t xml:space="preserve"> </w:t>
                  </w:r>
                  <w:r w:rsidR="00334DBE" w:rsidRPr="00974FD7">
                    <w:rPr>
                      <w:sz w:val="18"/>
                    </w:rPr>
                    <w:t xml:space="preserve">in </w:t>
                  </w:r>
                  <w:r w:rsidRPr="00974FD7">
                    <w:rPr>
                      <w:sz w:val="18"/>
                    </w:rPr>
                    <w:t xml:space="preserve">Kazakhstan for permanent or temporary residence, </w:t>
                  </w:r>
                  <w:r w:rsidR="00334DBE" w:rsidRPr="00974FD7">
                    <w:rPr>
                      <w:sz w:val="18"/>
                    </w:rPr>
                    <w:t xml:space="preserve">including </w:t>
                  </w:r>
                  <w:r w:rsidRPr="00974FD7">
                    <w:rPr>
                      <w:sz w:val="18"/>
                    </w:rPr>
                    <w:t>labor migrants</w:t>
                  </w:r>
                  <w:r w:rsidR="00334DBE" w:rsidRPr="00974FD7">
                    <w:rPr>
                      <w:sz w:val="18"/>
                    </w:rPr>
                    <w:t>.</w:t>
                  </w:r>
                </w:p>
              </w:tc>
            </w:tr>
          </w:tbl>
          <w:p w14:paraId="21920E82" w14:textId="7618C78C" w:rsidR="003C0AC1" w:rsidRDefault="00197046" w:rsidP="003C0AC1">
            <w:pPr>
              <w:spacing w:after="0" w:line="240" w:lineRule="auto"/>
              <w:rPr>
                <w:rFonts w:cs="Arial"/>
                <w:sz w:val="16"/>
                <w:szCs w:val="16"/>
              </w:rPr>
            </w:pPr>
            <w:r w:rsidRPr="00197046">
              <w:rPr>
                <w:i/>
                <w:sz w:val="16"/>
                <w:szCs w:val="16"/>
              </w:rPr>
              <w:t>Source:</w:t>
            </w:r>
            <w:r w:rsidRPr="00197046">
              <w:rPr>
                <w:color w:val="00B050"/>
                <w:sz w:val="16"/>
                <w:szCs w:val="16"/>
              </w:rPr>
              <w:t xml:space="preserve"> </w:t>
            </w:r>
            <w:r w:rsidRPr="00197046">
              <w:rPr>
                <w:sz w:val="16"/>
                <w:szCs w:val="16"/>
              </w:rPr>
              <w:t xml:space="preserve">MoH order </w:t>
            </w:r>
            <w:r w:rsidRPr="00197046">
              <w:rPr>
                <w:rFonts w:cs="Arial"/>
                <w:sz w:val="16"/>
                <w:szCs w:val="16"/>
              </w:rPr>
              <w:t>No. 214 dated November 30, 2020</w:t>
            </w:r>
            <w:r w:rsidR="00227F72">
              <w:rPr>
                <w:rFonts w:cs="Arial"/>
                <w:sz w:val="16"/>
                <w:szCs w:val="16"/>
              </w:rPr>
              <w:t>.</w:t>
            </w:r>
          </w:p>
          <w:p w14:paraId="60FFA46B" w14:textId="77777777" w:rsidR="003C0AC1" w:rsidRDefault="003C0AC1" w:rsidP="003C0AC1">
            <w:pPr>
              <w:spacing w:after="0" w:line="240" w:lineRule="auto"/>
              <w:rPr>
                <w:rFonts w:cs="Arial"/>
                <w:sz w:val="16"/>
                <w:szCs w:val="16"/>
              </w:rPr>
            </w:pPr>
          </w:p>
          <w:p w14:paraId="4110D37F" w14:textId="6CAB7F65" w:rsidR="00601209" w:rsidRPr="003A34D7" w:rsidRDefault="00607E20" w:rsidP="00BD7BDA">
            <w:pPr>
              <w:spacing w:after="0" w:line="240" w:lineRule="auto"/>
              <w:jc w:val="both"/>
              <w:rPr>
                <w:rFonts w:asciiTheme="majorHAnsi" w:hAnsiTheme="majorHAnsi" w:cstheme="majorHAnsi"/>
              </w:rPr>
            </w:pPr>
            <w:r w:rsidRPr="003C0AC1">
              <w:rPr>
                <w:rFonts w:asciiTheme="majorHAnsi" w:hAnsiTheme="majorHAnsi" w:cstheme="majorHAnsi"/>
              </w:rPr>
              <w:t>Conside</w:t>
            </w:r>
            <w:r w:rsidR="003A34D7">
              <w:rPr>
                <w:rFonts w:asciiTheme="majorHAnsi" w:hAnsiTheme="majorHAnsi" w:cstheme="majorHAnsi"/>
              </w:rPr>
              <w:t xml:space="preserve">ring the potential benefits, </w:t>
            </w:r>
            <w:r w:rsidRPr="003C0AC1">
              <w:rPr>
                <w:rFonts w:asciiTheme="majorHAnsi" w:hAnsiTheme="majorHAnsi" w:cstheme="majorHAnsi"/>
              </w:rPr>
              <w:t xml:space="preserve">risk of harm of </w:t>
            </w:r>
            <w:r w:rsidR="00A9211E">
              <w:rPr>
                <w:rFonts w:asciiTheme="majorHAnsi" w:hAnsiTheme="majorHAnsi" w:cstheme="majorHAnsi"/>
              </w:rPr>
              <w:t xml:space="preserve">the fluorographic </w:t>
            </w:r>
            <w:r w:rsidRPr="003C0AC1">
              <w:rPr>
                <w:rFonts w:asciiTheme="majorHAnsi" w:hAnsiTheme="majorHAnsi" w:cstheme="majorHAnsi"/>
              </w:rPr>
              <w:t>screening</w:t>
            </w:r>
            <w:r w:rsidR="00A9211E">
              <w:rPr>
                <w:rFonts w:asciiTheme="majorHAnsi" w:hAnsiTheme="majorHAnsi" w:cstheme="majorHAnsi"/>
              </w:rPr>
              <w:t>,</w:t>
            </w:r>
            <w:r w:rsidRPr="003C0AC1">
              <w:rPr>
                <w:rFonts w:asciiTheme="majorHAnsi" w:hAnsiTheme="majorHAnsi" w:cstheme="majorHAnsi"/>
              </w:rPr>
              <w:t xml:space="preserve"> and the coverage and cost </w:t>
            </w:r>
            <w:r w:rsidR="00A9211E">
              <w:rPr>
                <w:rFonts w:asciiTheme="majorHAnsi" w:hAnsiTheme="majorHAnsi" w:cstheme="majorHAnsi"/>
              </w:rPr>
              <w:t xml:space="preserve">aspects </w:t>
            </w:r>
            <w:r w:rsidRPr="003C0AC1">
              <w:rPr>
                <w:rFonts w:asciiTheme="majorHAnsi" w:hAnsiTheme="majorHAnsi" w:cstheme="majorHAnsi"/>
              </w:rPr>
              <w:t xml:space="preserve">of the program, the country </w:t>
            </w:r>
            <w:r w:rsidR="00A9211E">
              <w:rPr>
                <w:rFonts w:asciiTheme="majorHAnsi" w:hAnsiTheme="majorHAnsi" w:cstheme="majorHAnsi"/>
              </w:rPr>
              <w:t xml:space="preserve">has </w:t>
            </w:r>
            <w:r w:rsidRPr="003C0AC1">
              <w:rPr>
                <w:rFonts w:asciiTheme="majorHAnsi" w:hAnsiTheme="majorHAnsi" w:cstheme="majorHAnsi"/>
              </w:rPr>
              <w:t xml:space="preserve">identified the need to evaluate the approaches </w:t>
            </w:r>
            <w:r w:rsidR="00347480" w:rsidRPr="003C0AC1">
              <w:rPr>
                <w:rFonts w:asciiTheme="majorHAnsi" w:hAnsiTheme="majorHAnsi" w:cstheme="majorHAnsi"/>
              </w:rPr>
              <w:t xml:space="preserve">used to determine </w:t>
            </w:r>
            <w:r w:rsidR="00A9211E">
              <w:rPr>
                <w:rFonts w:asciiTheme="majorHAnsi" w:hAnsiTheme="majorHAnsi" w:cstheme="majorHAnsi"/>
              </w:rPr>
              <w:t>groups</w:t>
            </w:r>
            <w:r w:rsidR="00347480" w:rsidRPr="003C0AC1">
              <w:rPr>
                <w:rFonts w:asciiTheme="majorHAnsi" w:hAnsiTheme="majorHAnsi" w:cstheme="majorHAnsi"/>
              </w:rPr>
              <w:t xml:space="preserve"> with </w:t>
            </w:r>
            <w:r w:rsidR="005904AC">
              <w:rPr>
                <w:rFonts w:asciiTheme="majorHAnsi" w:hAnsiTheme="majorHAnsi" w:cstheme="majorHAnsi"/>
              </w:rPr>
              <w:t xml:space="preserve">a </w:t>
            </w:r>
            <w:r w:rsidR="00347480" w:rsidRPr="003C0AC1">
              <w:rPr>
                <w:rFonts w:asciiTheme="majorHAnsi" w:hAnsiTheme="majorHAnsi" w:cstheme="majorHAnsi"/>
              </w:rPr>
              <w:t>very high</w:t>
            </w:r>
            <w:r w:rsidRPr="003C0AC1">
              <w:rPr>
                <w:rFonts w:asciiTheme="majorHAnsi" w:hAnsiTheme="majorHAnsi" w:cstheme="majorHAnsi"/>
              </w:rPr>
              <w:t xml:space="preserve"> </w:t>
            </w:r>
            <w:r w:rsidR="005904AC">
              <w:rPr>
                <w:rFonts w:asciiTheme="majorHAnsi" w:hAnsiTheme="majorHAnsi" w:cstheme="majorHAnsi"/>
              </w:rPr>
              <w:t>risk of</w:t>
            </w:r>
            <w:r w:rsidR="00A9211E">
              <w:rPr>
                <w:rFonts w:asciiTheme="majorHAnsi" w:hAnsiTheme="majorHAnsi" w:cstheme="majorHAnsi"/>
              </w:rPr>
              <w:t xml:space="preserve"> disease development</w:t>
            </w:r>
            <w:r w:rsidR="00347480" w:rsidRPr="003C0AC1">
              <w:rPr>
                <w:rFonts w:asciiTheme="majorHAnsi" w:hAnsiTheme="majorHAnsi" w:cstheme="majorHAnsi"/>
              </w:rPr>
              <w:t xml:space="preserve"> </w:t>
            </w:r>
            <w:r w:rsidR="00347480" w:rsidRPr="003C0AC1">
              <w:rPr>
                <w:rFonts w:asciiTheme="majorHAnsi" w:hAnsiTheme="majorHAnsi" w:cstheme="majorHAnsi"/>
                <w:color w:val="353535"/>
              </w:rPr>
              <w:t>or severe consequences of delayed TB diagnosis</w:t>
            </w:r>
            <w:r w:rsidRPr="003C0AC1">
              <w:rPr>
                <w:rFonts w:asciiTheme="majorHAnsi" w:hAnsiTheme="majorHAnsi" w:cstheme="majorHAnsi"/>
              </w:rPr>
              <w:t xml:space="preserve"> </w:t>
            </w:r>
            <w:proofErr w:type="gramStart"/>
            <w:r w:rsidRPr="003C0AC1">
              <w:rPr>
                <w:rFonts w:asciiTheme="majorHAnsi" w:hAnsiTheme="majorHAnsi" w:cstheme="majorHAnsi"/>
              </w:rPr>
              <w:t>in light of</w:t>
            </w:r>
            <w:proofErr w:type="gramEnd"/>
            <w:r w:rsidRPr="003C0AC1">
              <w:rPr>
                <w:rFonts w:asciiTheme="majorHAnsi" w:hAnsiTheme="majorHAnsi" w:cstheme="majorHAnsi"/>
              </w:rPr>
              <w:t xml:space="preserve"> </w:t>
            </w:r>
            <w:r w:rsidR="00A9211E">
              <w:rPr>
                <w:rFonts w:asciiTheme="majorHAnsi" w:hAnsiTheme="majorHAnsi" w:cstheme="majorHAnsi"/>
              </w:rPr>
              <w:t xml:space="preserve">the </w:t>
            </w:r>
            <w:r w:rsidRPr="003C0AC1">
              <w:rPr>
                <w:rFonts w:asciiTheme="majorHAnsi" w:hAnsiTheme="majorHAnsi" w:cstheme="majorHAnsi"/>
              </w:rPr>
              <w:t>gradual decrease</w:t>
            </w:r>
            <w:r w:rsidR="00A9211E">
              <w:rPr>
                <w:rFonts w:asciiTheme="majorHAnsi" w:hAnsiTheme="majorHAnsi" w:cstheme="majorHAnsi"/>
              </w:rPr>
              <w:t xml:space="preserve"> of tuberculosis burden</w:t>
            </w:r>
            <w:r w:rsidR="005904AC">
              <w:rPr>
                <w:rFonts w:asciiTheme="majorHAnsi" w:hAnsiTheme="majorHAnsi" w:cstheme="majorHAnsi"/>
              </w:rPr>
              <w:t>. I</w:t>
            </w:r>
            <w:r w:rsidRPr="003C0AC1">
              <w:rPr>
                <w:rFonts w:asciiTheme="majorHAnsi" w:hAnsiTheme="majorHAnsi" w:cstheme="majorHAnsi"/>
              </w:rPr>
              <w:t xml:space="preserve">t </w:t>
            </w:r>
            <w:r w:rsidR="00DA1C10" w:rsidRPr="003C0AC1">
              <w:rPr>
                <w:rFonts w:asciiTheme="majorHAnsi" w:hAnsiTheme="majorHAnsi" w:cstheme="majorHAnsi"/>
              </w:rPr>
              <w:t>applied the WHO Screen TB tool</w:t>
            </w:r>
            <w:r w:rsidR="003A34D7">
              <w:rPr>
                <w:rStyle w:val="af"/>
                <w:rFonts w:asciiTheme="majorHAnsi" w:hAnsiTheme="majorHAnsi" w:cstheme="majorHAnsi"/>
              </w:rPr>
              <w:footnoteReference w:id="40"/>
            </w:r>
            <w:r w:rsidR="00956070" w:rsidRPr="003C0AC1">
              <w:rPr>
                <w:rFonts w:asciiTheme="majorHAnsi" w:hAnsiTheme="majorHAnsi" w:cstheme="majorHAnsi"/>
              </w:rPr>
              <w:t xml:space="preserve"> </w:t>
            </w:r>
            <w:r w:rsidR="00DA1C10" w:rsidRPr="003C0AC1">
              <w:rPr>
                <w:rFonts w:asciiTheme="majorHAnsi" w:hAnsiTheme="majorHAnsi" w:cstheme="majorHAnsi"/>
              </w:rPr>
              <w:t>and</w:t>
            </w:r>
            <w:r w:rsidR="00956070" w:rsidRPr="003C0AC1">
              <w:rPr>
                <w:rFonts w:asciiTheme="majorHAnsi" w:hAnsiTheme="majorHAnsi" w:cstheme="majorHAnsi"/>
              </w:rPr>
              <w:t xml:space="preserve"> </w:t>
            </w:r>
            <w:r w:rsidR="00DA1C10" w:rsidRPr="003C0AC1">
              <w:rPr>
                <w:rFonts w:asciiTheme="majorHAnsi" w:hAnsiTheme="majorHAnsi" w:cstheme="majorHAnsi"/>
              </w:rPr>
              <w:t xml:space="preserve">prioritized population groups for systematic screening. The available data allowed </w:t>
            </w:r>
            <w:r w:rsidR="001F336A" w:rsidRPr="003C0AC1">
              <w:rPr>
                <w:rFonts w:asciiTheme="majorHAnsi" w:hAnsiTheme="majorHAnsi" w:cstheme="majorHAnsi"/>
              </w:rPr>
              <w:t>generating</w:t>
            </w:r>
            <w:r w:rsidR="00DA1C10" w:rsidRPr="003C0AC1">
              <w:rPr>
                <w:rFonts w:asciiTheme="majorHAnsi" w:hAnsiTheme="majorHAnsi" w:cstheme="majorHAnsi"/>
              </w:rPr>
              <w:t xml:space="preserve"> estimates of the size and</w:t>
            </w:r>
            <w:r w:rsidR="00956070" w:rsidRPr="003C0AC1">
              <w:rPr>
                <w:rFonts w:asciiTheme="majorHAnsi" w:hAnsiTheme="majorHAnsi" w:cstheme="majorHAnsi"/>
              </w:rPr>
              <w:t xml:space="preserve"> cost</w:t>
            </w:r>
            <w:r w:rsidR="001F336A" w:rsidRPr="003C0AC1">
              <w:rPr>
                <w:rFonts w:asciiTheme="majorHAnsi" w:hAnsiTheme="majorHAnsi" w:cstheme="majorHAnsi"/>
              </w:rPr>
              <w:t>s</w:t>
            </w:r>
            <w:r w:rsidR="00956070" w:rsidRPr="003C0AC1">
              <w:rPr>
                <w:rFonts w:asciiTheme="majorHAnsi" w:hAnsiTheme="majorHAnsi" w:cstheme="majorHAnsi"/>
              </w:rPr>
              <w:t xml:space="preserve"> of </w:t>
            </w:r>
            <w:r w:rsidR="00DA1C10" w:rsidRPr="003C0AC1">
              <w:rPr>
                <w:rFonts w:asciiTheme="majorHAnsi" w:hAnsiTheme="majorHAnsi" w:cstheme="majorHAnsi"/>
              </w:rPr>
              <w:t xml:space="preserve">the </w:t>
            </w:r>
            <w:r w:rsidR="00956070" w:rsidRPr="003C0AC1">
              <w:rPr>
                <w:rFonts w:asciiTheme="majorHAnsi" w:hAnsiTheme="majorHAnsi" w:cstheme="majorHAnsi"/>
              </w:rPr>
              <w:t>screening programs specific to the target group</w:t>
            </w:r>
            <w:r w:rsidR="002A5ECB">
              <w:rPr>
                <w:rFonts w:asciiTheme="majorHAnsi" w:hAnsiTheme="majorHAnsi" w:cstheme="majorHAnsi"/>
              </w:rPr>
              <w:t>s and diagnostic</w:t>
            </w:r>
            <w:r w:rsidR="001F336A" w:rsidRPr="003C0AC1">
              <w:rPr>
                <w:rFonts w:asciiTheme="majorHAnsi" w:hAnsiTheme="majorHAnsi" w:cstheme="majorHAnsi"/>
              </w:rPr>
              <w:t xml:space="preserve"> algorithm adopted</w:t>
            </w:r>
            <w:r w:rsidRPr="003C0AC1">
              <w:rPr>
                <w:rFonts w:asciiTheme="majorHAnsi" w:hAnsiTheme="majorHAnsi" w:cstheme="majorHAnsi"/>
              </w:rPr>
              <w:t xml:space="preserve">. </w:t>
            </w:r>
            <w:r w:rsidR="00F420EB">
              <w:rPr>
                <w:rFonts w:asciiTheme="majorHAnsi" w:hAnsiTheme="majorHAnsi" w:cstheme="majorHAnsi"/>
                <w:iCs/>
              </w:rPr>
              <w:t>C</w:t>
            </w:r>
            <w:r w:rsidR="003C0AC1" w:rsidRPr="003C0AC1">
              <w:rPr>
                <w:rFonts w:asciiTheme="majorHAnsi" w:hAnsiTheme="majorHAnsi" w:cstheme="majorHAnsi"/>
                <w:iCs/>
              </w:rPr>
              <w:t>a</w:t>
            </w:r>
            <w:r w:rsidR="002A5ECB">
              <w:rPr>
                <w:rFonts w:asciiTheme="majorHAnsi" w:hAnsiTheme="majorHAnsi" w:cstheme="majorHAnsi"/>
                <w:iCs/>
              </w:rPr>
              <w:t xml:space="preserve">lculating the </w:t>
            </w:r>
            <w:r w:rsidR="00F420EB">
              <w:rPr>
                <w:rFonts w:asciiTheme="majorHAnsi" w:hAnsiTheme="majorHAnsi" w:cstheme="majorHAnsi"/>
                <w:iCs/>
              </w:rPr>
              <w:t>screening</w:t>
            </w:r>
            <w:r w:rsidR="003C0AC1" w:rsidRPr="003C0AC1">
              <w:rPr>
                <w:rFonts w:asciiTheme="majorHAnsi" w:hAnsiTheme="majorHAnsi" w:cstheme="majorHAnsi"/>
                <w:iCs/>
              </w:rPr>
              <w:t xml:space="preserve"> yields,</w:t>
            </w:r>
            <w:r w:rsidR="003C0AC1">
              <w:rPr>
                <w:rFonts w:asciiTheme="majorHAnsi" w:hAnsiTheme="majorHAnsi" w:cstheme="majorHAnsi"/>
                <w:color w:val="00B050"/>
              </w:rPr>
              <w:t xml:space="preserve"> </w:t>
            </w:r>
            <w:r w:rsidRPr="00347480">
              <w:rPr>
                <w:rFonts w:cs="Arial"/>
              </w:rPr>
              <w:t>n</w:t>
            </w:r>
            <w:r w:rsidR="00956070" w:rsidRPr="00347480">
              <w:rPr>
                <w:rFonts w:cs="Arial"/>
              </w:rPr>
              <w:t>ine groups</w:t>
            </w:r>
            <w:r w:rsidRPr="00347480">
              <w:rPr>
                <w:rStyle w:val="af"/>
                <w:rFonts w:cs="Arial"/>
              </w:rPr>
              <w:footnoteReference w:id="41"/>
            </w:r>
            <w:r w:rsidR="00956070" w:rsidRPr="00347480">
              <w:rPr>
                <w:rFonts w:cs="Arial"/>
              </w:rPr>
              <w:t xml:space="preserve"> </w:t>
            </w:r>
            <w:r w:rsidR="00601209">
              <w:rPr>
                <w:rFonts w:cs="Arial"/>
              </w:rPr>
              <w:t xml:space="preserve">(Table 3) </w:t>
            </w:r>
            <w:r w:rsidR="003C0AC1">
              <w:rPr>
                <w:rFonts w:cs="Arial"/>
              </w:rPr>
              <w:t xml:space="preserve">were determined </w:t>
            </w:r>
            <w:r w:rsidR="005904AC">
              <w:rPr>
                <w:rFonts w:cs="Arial"/>
              </w:rPr>
              <w:t>with</w:t>
            </w:r>
            <w:r w:rsidR="00E165A6">
              <w:rPr>
                <w:rFonts w:cs="Arial"/>
              </w:rPr>
              <w:t xml:space="preserve"> reported </w:t>
            </w:r>
            <w:r w:rsidR="005904AC">
              <w:rPr>
                <w:rFonts w:cs="Arial"/>
              </w:rPr>
              <w:t>rates of tuberculosis</w:t>
            </w:r>
            <w:r w:rsidR="00956070" w:rsidRPr="00956070">
              <w:rPr>
                <w:rFonts w:cs="Arial"/>
              </w:rPr>
              <w:t xml:space="preserve"> </w:t>
            </w:r>
            <w:r w:rsidR="00E165A6">
              <w:rPr>
                <w:rFonts w:cs="Arial"/>
              </w:rPr>
              <w:t>exceeding the country average</w:t>
            </w:r>
            <w:r w:rsidR="00B64869">
              <w:rPr>
                <w:rFonts w:cs="Arial"/>
              </w:rPr>
              <w:t xml:space="preserve"> estimated by the WHO</w:t>
            </w:r>
            <w:r w:rsidR="00E165A6">
              <w:rPr>
                <w:rFonts w:cs="Arial"/>
              </w:rPr>
              <w:t>. The</w:t>
            </w:r>
            <w:r>
              <w:rPr>
                <w:rFonts w:cs="Arial"/>
              </w:rPr>
              <w:t xml:space="preserve"> six groups such as PLHIV, drug users,</w:t>
            </w:r>
            <w:r w:rsidR="00956070" w:rsidRPr="00956070">
              <w:rPr>
                <w:rFonts w:cs="Arial"/>
              </w:rPr>
              <w:t xml:space="preserve"> those who have residual effects in the lung</w:t>
            </w:r>
            <w:r w:rsidR="00E165A6">
              <w:rPr>
                <w:rFonts w:cs="Arial"/>
              </w:rPr>
              <w:t>s,</w:t>
            </w:r>
            <w:r w:rsidR="00956070" w:rsidRPr="00956070">
              <w:rPr>
                <w:rFonts w:cs="Arial"/>
              </w:rPr>
              <w:t xml:space="preserve"> </w:t>
            </w:r>
            <w:r w:rsidR="005904AC">
              <w:rPr>
                <w:rFonts w:cs="Arial"/>
              </w:rPr>
              <w:t xml:space="preserve">former </w:t>
            </w:r>
            <w:r w:rsidR="00956070" w:rsidRPr="00956070">
              <w:rPr>
                <w:rFonts w:cs="Arial"/>
              </w:rPr>
              <w:t>prison</w:t>
            </w:r>
            <w:r>
              <w:rPr>
                <w:rFonts w:cs="Arial"/>
              </w:rPr>
              <w:t>ers</w:t>
            </w:r>
            <w:r w:rsidR="00E165A6">
              <w:rPr>
                <w:rFonts w:cs="Arial"/>
              </w:rPr>
              <w:t>,</w:t>
            </w:r>
            <w:r w:rsidR="00956070" w:rsidRPr="00956070">
              <w:rPr>
                <w:rFonts w:cs="Arial"/>
              </w:rPr>
              <w:t xml:space="preserve"> </w:t>
            </w:r>
            <w:r w:rsidR="00E165A6">
              <w:rPr>
                <w:rFonts w:cs="Arial"/>
              </w:rPr>
              <w:t xml:space="preserve">people with </w:t>
            </w:r>
            <w:r w:rsidR="00956070" w:rsidRPr="00956070">
              <w:rPr>
                <w:rFonts w:cs="Arial"/>
              </w:rPr>
              <w:t>registe</w:t>
            </w:r>
            <w:r w:rsidR="00E165A6">
              <w:rPr>
                <w:rFonts w:cs="Arial"/>
              </w:rPr>
              <w:t>red alcohol use disorders</w:t>
            </w:r>
            <w:r w:rsidR="00347480">
              <w:rPr>
                <w:rFonts w:cs="Arial"/>
              </w:rPr>
              <w:t>, and their contacts,</w:t>
            </w:r>
            <w:r w:rsidR="00956070" w:rsidRPr="00956070">
              <w:rPr>
                <w:rFonts w:cs="Arial"/>
              </w:rPr>
              <w:t xml:space="preserve"> </w:t>
            </w:r>
            <w:r w:rsidR="00347480">
              <w:rPr>
                <w:rFonts w:cs="Arial"/>
              </w:rPr>
              <w:t>had</w:t>
            </w:r>
            <w:r w:rsidR="00956070" w:rsidRPr="00956070">
              <w:rPr>
                <w:rFonts w:cs="Arial"/>
              </w:rPr>
              <w:t xml:space="preserve"> more than two-fold risk r</w:t>
            </w:r>
            <w:r w:rsidR="007A7F70">
              <w:rPr>
                <w:rFonts w:cs="Arial"/>
              </w:rPr>
              <w:t xml:space="preserve">atio. </w:t>
            </w:r>
            <w:r w:rsidR="0088433C">
              <w:rPr>
                <w:rFonts w:cs="Arial"/>
              </w:rPr>
              <w:t>In the remaining</w:t>
            </w:r>
            <w:r w:rsidR="0032468D" w:rsidRPr="0032468D">
              <w:rPr>
                <w:rFonts w:cs="Arial"/>
              </w:rPr>
              <w:t xml:space="preserve"> </w:t>
            </w:r>
            <w:r w:rsidR="0088433C">
              <w:rPr>
                <w:rFonts w:cs="Arial"/>
              </w:rPr>
              <w:t>populations</w:t>
            </w:r>
            <w:r w:rsidR="0032468D" w:rsidRPr="0032468D">
              <w:rPr>
                <w:rFonts w:cs="Arial"/>
              </w:rPr>
              <w:t xml:space="preserve">, the </w:t>
            </w:r>
            <w:r w:rsidR="00BD7BDA">
              <w:rPr>
                <w:rFonts w:cs="Arial"/>
              </w:rPr>
              <w:t>probability of TB detection did</w:t>
            </w:r>
            <w:r w:rsidR="0032468D" w:rsidRPr="0032468D">
              <w:rPr>
                <w:rFonts w:cs="Arial"/>
              </w:rPr>
              <w:t xml:space="preserve"> not exceed the same indicator for the general population, </w:t>
            </w:r>
            <w:r w:rsidR="005F4F00" w:rsidRPr="0032468D">
              <w:rPr>
                <w:rFonts w:cs="Arial"/>
              </w:rPr>
              <w:t>demonstrating</w:t>
            </w:r>
            <w:r w:rsidR="0032468D" w:rsidRPr="0032468D">
              <w:rPr>
                <w:rFonts w:cs="Arial"/>
              </w:rPr>
              <w:t xml:space="preserve"> </w:t>
            </w:r>
            <w:r w:rsidR="0032468D">
              <w:rPr>
                <w:rFonts w:cs="Arial"/>
              </w:rPr>
              <w:t>that the screening in these g</w:t>
            </w:r>
            <w:r w:rsidR="00BD7BDA">
              <w:rPr>
                <w:rFonts w:cs="Arial"/>
              </w:rPr>
              <w:t>roups is</w:t>
            </w:r>
            <w:r w:rsidR="0032468D">
              <w:rPr>
                <w:rFonts w:cs="Arial"/>
              </w:rPr>
              <w:t xml:space="preserve"> not epidemiologically justified. </w:t>
            </w:r>
          </w:p>
          <w:p w14:paraId="51998298" w14:textId="77777777" w:rsidR="001D5B4B" w:rsidRPr="001D5B4B" w:rsidRDefault="001D5B4B" w:rsidP="001D5B4B">
            <w:pPr>
              <w:spacing w:after="0" w:line="240" w:lineRule="auto"/>
              <w:jc w:val="both"/>
              <w:rPr>
                <w:rFonts w:asciiTheme="majorHAnsi" w:hAnsiTheme="majorHAnsi" w:cstheme="majorHAnsi"/>
                <w:color w:val="00B050"/>
              </w:rPr>
            </w:pPr>
          </w:p>
          <w:p w14:paraId="40592BEA" w14:textId="45B71593" w:rsidR="00601209" w:rsidRPr="00974FD7" w:rsidRDefault="00601209" w:rsidP="005F4F00">
            <w:pPr>
              <w:pStyle w:val="aff5"/>
              <w:rPr>
                <w:i w:val="0"/>
                <w:color w:val="00B050"/>
                <w:sz w:val="20"/>
              </w:rPr>
            </w:pPr>
            <w:r w:rsidRPr="00FC63BF">
              <w:rPr>
                <w:rFonts w:asciiTheme="minorHAnsi" w:hAnsiTheme="minorHAnsi" w:cstheme="minorHAnsi"/>
                <w:b/>
                <w:i w:val="0"/>
                <w:color w:val="auto"/>
                <w:sz w:val="20"/>
                <w:szCs w:val="20"/>
              </w:rPr>
              <w:t>Ta</w:t>
            </w:r>
            <w:r w:rsidRPr="00FC63BF">
              <w:rPr>
                <w:rFonts w:asciiTheme="minorHAnsi" w:hAnsiTheme="minorHAnsi" w:cstheme="minorHAnsi"/>
                <w:b/>
                <w:i w:val="0"/>
                <w:color w:val="auto"/>
                <w:sz w:val="22"/>
                <w:szCs w:val="22"/>
              </w:rPr>
              <w:t>ble</w:t>
            </w:r>
            <w:r w:rsidRPr="00974FD7">
              <w:rPr>
                <w:rFonts w:asciiTheme="minorHAnsi" w:hAnsiTheme="minorHAnsi" w:cstheme="minorHAnsi"/>
                <w:b/>
                <w:i w:val="0"/>
                <w:color w:val="auto"/>
                <w:sz w:val="22"/>
                <w:szCs w:val="22"/>
              </w:rPr>
              <w:t xml:space="preserve"> 3.</w:t>
            </w:r>
            <w:bookmarkStart w:id="1" w:name="_Ref66966211"/>
            <w:r w:rsidR="00FC63BF" w:rsidRPr="00974FD7">
              <w:rPr>
                <w:b/>
                <w:i w:val="0"/>
                <w:color w:val="auto"/>
                <w:sz w:val="22"/>
                <w:szCs w:val="22"/>
              </w:rPr>
              <w:t xml:space="preserve"> </w:t>
            </w:r>
            <w:r w:rsidR="005F4F00" w:rsidRPr="005F4F00">
              <w:rPr>
                <w:b/>
                <w:i w:val="0"/>
                <w:color w:val="auto"/>
                <w:sz w:val="22"/>
                <w:szCs w:val="22"/>
              </w:rPr>
              <w:t>Risk ratios of TB in high-risk population groups, notified during mandatory screenings, Kazakhstan, 2019</w:t>
            </w:r>
            <w:bookmarkEnd w:id="1"/>
          </w:p>
          <w:tbl>
            <w:tblPr>
              <w:tblStyle w:val="aa"/>
              <w:tblW w:w="9748" w:type="dxa"/>
              <w:tblBorders>
                <w:insideH w:val="none" w:sz="0" w:space="0" w:color="auto"/>
              </w:tblBorders>
              <w:tblLayout w:type="fixed"/>
              <w:tblLook w:val="04A0" w:firstRow="1" w:lastRow="0" w:firstColumn="1" w:lastColumn="0" w:noHBand="0" w:noVBand="1"/>
            </w:tblPr>
            <w:tblGrid>
              <w:gridCol w:w="6374"/>
              <w:gridCol w:w="2096"/>
              <w:gridCol w:w="1278"/>
            </w:tblGrid>
            <w:tr w:rsidR="00601209" w:rsidRPr="006A1D5E" w14:paraId="19667701" w14:textId="77777777" w:rsidTr="00064DD6">
              <w:trPr>
                <w:trHeight w:val="20"/>
              </w:trPr>
              <w:tc>
                <w:tcPr>
                  <w:tcW w:w="6374" w:type="dxa"/>
                  <w:shd w:val="clear" w:color="auto" w:fill="D9D9D9" w:themeFill="background1" w:themeFillShade="D9"/>
                  <w:noWrap/>
                  <w:vAlign w:val="center"/>
                  <w:hideMark/>
                </w:tcPr>
                <w:p w14:paraId="1DEACA5C" w14:textId="20ADF16B" w:rsidR="00601209" w:rsidRPr="00BD7BDA" w:rsidRDefault="00064DD6" w:rsidP="00064DD6">
                  <w:pPr>
                    <w:pStyle w:val="af0"/>
                    <w:rPr>
                      <w:rFonts w:asciiTheme="majorHAnsi" w:hAnsiTheme="majorHAnsi" w:cstheme="majorHAnsi"/>
                      <w:b/>
                      <w:bCs/>
                      <w:sz w:val="18"/>
                      <w:szCs w:val="18"/>
                    </w:rPr>
                  </w:pPr>
                  <w:r w:rsidRPr="00BD7BDA">
                    <w:rPr>
                      <w:rFonts w:asciiTheme="majorHAnsi" w:hAnsiTheme="majorHAnsi" w:cstheme="majorHAnsi"/>
                      <w:b/>
                      <w:bCs/>
                      <w:sz w:val="18"/>
                      <w:szCs w:val="18"/>
                      <w:lang w:val="ru-RU"/>
                    </w:rPr>
                    <w:t>Target g</w:t>
                  </w:r>
                  <w:r w:rsidR="005F4F00" w:rsidRPr="00BD7BDA">
                    <w:rPr>
                      <w:rFonts w:asciiTheme="majorHAnsi" w:hAnsiTheme="majorHAnsi" w:cstheme="majorHAnsi"/>
                      <w:b/>
                      <w:bCs/>
                      <w:sz w:val="18"/>
                      <w:szCs w:val="18"/>
                      <w:lang w:val="ru-RU"/>
                    </w:rPr>
                    <w:t>roup</w:t>
                  </w:r>
                </w:p>
              </w:tc>
              <w:tc>
                <w:tcPr>
                  <w:tcW w:w="2096" w:type="dxa"/>
                  <w:shd w:val="clear" w:color="auto" w:fill="D9D9D9" w:themeFill="background1" w:themeFillShade="D9"/>
                  <w:vAlign w:val="center"/>
                  <w:hideMark/>
                </w:tcPr>
                <w:p w14:paraId="5361F108" w14:textId="3033E4AF" w:rsidR="00601209" w:rsidRPr="00BD7BDA" w:rsidRDefault="005F4F00" w:rsidP="00064DD6">
                  <w:pPr>
                    <w:pStyle w:val="af0"/>
                    <w:rPr>
                      <w:rFonts w:asciiTheme="majorHAnsi" w:hAnsiTheme="majorHAnsi" w:cstheme="majorHAnsi"/>
                      <w:b/>
                      <w:bCs/>
                      <w:sz w:val="18"/>
                      <w:szCs w:val="18"/>
                      <w:lang w:val="ru-RU"/>
                    </w:rPr>
                  </w:pPr>
                  <w:r w:rsidRPr="00BD7BDA">
                    <w:rPr>
                      <w:rFonts w:asciiTheme="majorHAnsi" w:hAnsiTheme="majorHAnsi" w:cstheme="majorHAnsi"/>
                      <w:b/>
                      <w:bCs/>
                      <w:sz w:val="18"/>
                      <w:szCs w:val="18"/>
                      <w:lang w:val="ru-RU"/>
                    </w:rPr>
                    <w:t>Cases per 100,000 population</w:t>
                  </w:r>
                </w:p>
              </w:tc>
              <w:tc>
                <w:tcPr>
                  <w:tcW w:w="1278" w:type="dxa"/>
                  <w:shd w:val="clear" w:color="auto" w:fill="D9D9D9" w:themeFill="background1" w:themeFillShade="D9"/>
                  <w:vAlign w:val="center"/>
                  <w:hideMark/>
                </w:tcPr>
                <w:p w14:paraId="6F688FED" w14:textId="6EF33D3C" w:rsidR="00601209" w:rsidRPr="00BD7BDA" w:rsidRDefault="00064DD6" w:rsidP="00064DD6">
                  <w:pPr>
                    <w:pStyle w:val="af0"/>
                    <w:rPr>
                      <w:rFonts w:asciiTheme="majorHAnsi" w:hAnsiTheme="majorHAnsi" w:cstheme="majorHAnsi"/>
                      <w:b/>
                      <w:bCs/>
                      <w:sz w:val="18"/>
                      <w:szCs w:val="18"/>
                      <w:lang w:val="ru-RU"/>
                    </w:rPr>
                  </w:pPr>
                  <w:r w:rsidRPr="00BD7BDA">
                    <w:rPr>
                      <w:rFonts w:asciiTheme="majorHAnsi" w:hAnsiTheme="majorHAnsi" w:cstheme="majorHAnsi"/>
                      <w:b/>
                      <w:bCs/>
                      <w:sz w:val="18"/>
                      <w:szCs w:val="18"/>
                      <w:lang w:val="ru-RU"/>
                    </w:rPr>
                    <w:t>Risk ratio</w:t>
                  </w:r>
                </w:p>
              </w:tc>
            </w:tr>
            <w:tr w:rsidR="00601209" w:rsidRPr="006A1D5E" w14:paraId="47E4A24A" w14:textId="77777777" w:rsidTr="00064DD6">
              <w:trPr>
                <w:trHeight w:val="20"/>
              </w:trPr>
              <w:tc>
                <w:tcPr>
                  <w:tcW w:w="6374" w:type="dxa"/>
                  <w:noWrap/>
                  <w:hideMark/>
                </w:tcPr>
                <w:p w14:paraId="0AF0173E" w14:textId="075289F4" w:rsidR="00601209" w:rsidRPr="00BD7BDA" w:rsidRDefault="00064DD6" w:rsidP="001D5B4B">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General population (WHO estimate, 2019)</w:t>
                  </w:r>
                </w:p>
              </w:tc>
              <w:tc>
                <w:tcPr>
                  <w:tcW w:w="2096" w:type="dxa"/>
                  <w:shd w:val="clear" w:color="auto" w:fill="auto"/>
                  <w:noWrap/>
                  <w:vAlign w:val="bottom"/>
                  <w:hideMark/>
                </w:tcPr>
                <w:p w14:paraId="37B849A4" w14:textId="7C73DE53" w:rsidR="00601209" w:rsidRPr="00BD7BDA" w:rsidRDefault="008205E5"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98.</w:t>
                  </w:r>
                  <w:r w:rsidR="00601209" w:rsidRPr="00BD7BDA">
                    <w:rPr>
                      <w:rFonts w:asciiTheme="majorHAnsi" w:hAnsiTheme="majorHAnsi" w:cstheme="majorHAnsi"/>
                      <w:sz w:val="18"/>
                      <w:szCs w:val="18"/>
                      <w:lang w:val="ru-RU"/>
                    </w:rPr>
                    <w:t>0</w:t>
                  </w:r>
                </w:p>
              </w:tc>
              <w:tc>
                <w:tcPr>
                  <w:tcW w:w="1278" w:type="dxa"/>
                  <w:shd w:val="clear" w:color="auto" w:fill="auto"/>
                  <w:noWrap/>
                  <w:vAlign w:val="bottom"/>
                  <w:hideMark/>
                </w:tcPr>
                <w:p w14:paraId="33EDE12F" w14:textId="77777777" w:rsidR="00601209" w:rsidRPr="00BD7BDA" w:rsidRDefault="00601209"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1</w:t>
                  </w:r>
                </w:p>
              </w:tc>
            </w:tr>
            <w:tr w:rsidR="00601209" w:rsidRPr="006A1D5E" w14:paraId="1285D996" w14:textId="77777777" w:rsidTr="00064DD6">
              <w:trPr>
                <w:trHeight w:val="20"/>
              </w:trPr>
              <w:tc>
                <w:tcPr>
                  <w:tcW w:w="6374" w:type="dxa"/>
                  <w:noWrap/>
                  <w:hideMark/>
                </w:tcPr>
                <w:p w14:paraId="2932BF09" w14:textId="1E4ACBC8" w:rsidR="00601209" w:rsidRPr="00BD7BDA" w:rsidRDefault="00064DD6" w:rsidP="006A0E08">
                  <w:pPr>
                    <w:pStyle w:val="af0"/>
                    <w:numPr>
                      <w:ilvl w:val="0"/>
                      <w:numId w:val="25"/>
                    </w:numPr>
                    <w:rPr>
                      <w:rFonts w:asciiTheme="majorHAnsi" w:hAnsiTheme="majorHAnsi" w:cstheme="majorHAnsi"/>
                      <w:sz w:val="18"/>
                      <w:szCs w:val="18"/>
                      <w:lang w:val="ru-RU"/>
                    </w:rPr>
                  </w:pPr>
                  <w:r w:rsidRPr="00BD7BDA">
                    <w:rPr>
                      <w:rFonts w:asciiTheme="majorHAnsi" w:hAnsiTheme="majorHAnsi" w:cstheme="majorHAnsi"/>
                      <w:sz w:val="18"/>
                      <w:szCs w:val="18"/>
                      <w:lang w:val="ru-RU"/>
                    </w:rPr>
                    <w:t>PLHIV on dispenser care.</w:t>
                  </w:r>
                </w:p>
              </w:tc>
              <w:tc>
                <w:tcPr>
                  <w:tcW w:w="2096" w:type="dxa"/>
                  <w:shd w:val="clear" w:color="auto" w:fill="auto"/>
                  <w:noWrap/>
                  <w:vAlign w:val="bottom"/>
                  <w:hideMark/>
                </w:tcPr>
                <w:p w14:paraId="1AD7810E" w14:textId="6BB37F57" w:rsidR="00601209" w:rsidRPr="00BD7BDA" w:rsidRDefault="008205E5"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1,271.</w:t>
                  </w:r>
                  <w:r w:rsidR="00601209" w:rsidRPr="00BD7BDA">
                    <w:rPr>
                      <w:rFonts w:asciiTheme="majorHAnsi" w:hAnsiTheme="majorHAnsi" w:cstheme="majorHAnsi"/>
                      <w:sz w:val="18"/>
                      <w:szCs w:val="18"/>
                      <w:lang w:val="ru-RU"/>
                    </w:rPr>
                    <w:t>3</w:t>
                  </w:r>
                </w:p>
              </w:tc>
              <w:tc>
                <w:tcPr>
                  <w:tcW w:w="1278" w:type="dxa"/>
                  <w:shd w:val="clear" w:color="auto" w:fill="auto"/>
                  <w:noWrap/>
                  <w:vAlign w:val="bottom"/>
                  <w:hideMark/>
                </w:tcPr>
                <w:p w14:paraId="587EC62F" w14:textId="1BB9CE2A"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13.</w:t>
                  </w:r>
                  <w:r w:rsidR="00601209" w:rsidRPr="00BD7BDA">
                    <w:rPr>
                      <w:rFonts w:asciiTheme="majorHAnsi" w:hAnsiTheme="majorHAnsi" w:cstheme="majorHAnsi"/>
                      <w:sz w:val="18"/>
                      <w:szCs w:val="18"/>
                      <w:lang w:val="ru-RU"/>
                    </w:rPr>
                    <w:t>0</w:t>
                  </w:r>
                </w:p>
              </w:tc>
            </w:tr>
            <w:tr w:rsidR="00601209" w:rsidRPr="006A1D5E" w14:paraId="279C85A7" w14:textId="77777777" w:rsidTr="00064DD6">
              <w:trPr>
                <w:trHeight w:val="20"/>
              </w:trPr>
              <w:tc>
                <w:tcPr>
                  <w:tcW w:w="6374" w:type="dxa"/>
                  <w:noWrap/>
                  <w:hideMark/>
                </w:tcPr>
                <w:p w14:paraId="33F9012C" w14:textId="26D25488" w:rsidR="00601209" w:rsidRPr="00974FD7" w:rsidRDefault="00064DD6" w:rsidP="006A0E08">
                  <w:pPr>
                    <w:pStyle w:val="af0"/>
                    <w:numPr>
                      <w:ilvl w:val="0"/>
                      <w:numId w:val="25"/>
                    </w:numPr>
                    <w:rPr>
                      <w:rFonts w:asciiTheme="majorHAnsi" w:hAnsiTheme="majorHAnsi" w:cstheme="majorHAnsi"/>
                      <w:sz w:val="18"/>
                      <w:szCs w:val="18"/>
                    </w:rPr>
                  </w:pPr>
                  <w:r w:rsidRPr="00974FD7">
                    <w:rPr>
                      <w:rFonts w:asciiTheme="majorHAnsi" w:hAnsiTheme="majorHAnsi" w:cstheme="majorHAnsi"/>
                      <w:sz w:val="18"/>
                      <w:szCs w:val="18"/>
                    </w:rPr>
                    <w:t>Drug addicted on dispenser care.</w:t>
                  </w:r>
                </w:p>
              </w:tc>
              <w:tc>
                <w:tcPr>
                  <w:tcW w:w="2096" w:type="dxa"/>
                  <w:shd w:val="clear" w:color="auto" w:fill="auto"/>
                  <w:noWrap/>
                  <w:vAlign w:val="bottom"/>
                  <w:hideMark/>
                </w:tcPr>
                <w:p w14:paraId="72AEB8DE" w14:textId="267AD504" w:rsidR="00601209" w:rsidRPr="00BD7BDA" w:rsidRDefault="008205E5"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618.</w:t>
                  </w:r>
                  <w:r w:rsidR="00601209" w:rsidRPr="00BD7BDA">
                    <w:rPr>
                      <w:rFonts w:asciiTheme="majorHAnsi" w:hAnsiTheme="majorHAnsi" w:cstheme="majorHAnsi"/>
                      <w:sz w:val="18"/>
                      <w:szCs w:val="18"/>
                      <w:lang w:val="ru-RU"/>
                    </w:rPr>
                    <w:t>3</w:t>
                  </w:r>
                </w:p>
              </w:tc>
              <w:tc>
                <w:tcPr>
                  <w:tcW w:w="1278" w:type="dxa"/>
                  <w:shd w:val="clear" w:color="auto" w:fill="auto"/>
                  <w:noWrap/>
                  <w:vAlign w:val="bottom"/>
                  <w:hideMark/>
                </w:tcPr>
                <w:p w14:paraId="33F70C38" w14:textId="6668A5B8"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6.</w:t>
                  </w:r>
                  <w:r w:rsidR="00601209" w:rsidRPr="00BD7BDA">
                    <w:rPr>
                      <w:rFonts w:asciiTheme="majorHAnsi" w:hAnsiTheme="majorHAnsi" w:cstheme="majorHAnsi"/>
                      <w:sz w:val="18"/>
                      <w:szCs w:val="18"/>
                      <w:lang w:val="ru-RU"/>
                    </w:rPr>
                    <w:t>3</w:t>
                  </w:r>
                </w:p>
              </w:tc>
            </w:tr>
            <w:tr w:rsidR="00601209" w:rsidRPr="006A1D5E" w14:paraId="2670951E" w14:textId="77777777" w:rsidTr="00064DD6">
              <w:trPr>
                <w:trHeight w:val="20"/>
              </w:trPr>
              <w:tc>
                <w:tcPr>
                  <w:tcW w:w="6374" w:type="dxa"/>
                  <w:noWrap/>
                  <w:hideMark/>
                </w:tcPr>
                <w:p w14:paraId="3AC0322F" w14:textId="56EA4E66" w:rsidR="00601209" w:rsidRPr="00974FD7" w:rsidRDefault="00064DD6" w:rsidP="006A0E08">
                  <w:pPr>
                    <w:pStyle w:val="af0"/>
                    <w:numPr>
                      <w:ilvl w:val="0"/>
                      <w:numId w:val="25"/>
                    </w:numPr>
                    <w:rPr>
                      <w:rFonts w:asciiTheme="majorHAnsi" w:hAnsiTheme="majorHAnsi" w:cstheme="majorHAnsi"/>
                      <w:sz w:val="18"/>
                      <w:szCs w:val="18"/>
                    </w:rPr>
                  </w:pPr>
                  <w:r w:rsidRPr="00974FD7">
                    <w:rPr>
                      <w:rFonts w:asciiTheme="majorHAnsi" w:hAnsiTheme="majorHAnsi" w:cstheme="majorHAnsi"/>
                      <w:sz w:val="18"/>
                      <w:szCs w:val="18"/>
                    </w:rPr>
                    <w:t>Persons with residual effects in the lungs of any etiology.</w:t>
                  </w:r>
                </w:p>
              </w:tc>
              <w:tc>
                <w:tcPr>
                  <w:tcW w:w="2096" w:type="dxa"/>
                  <w:shd w:val="clear" w:color="auto" w:fill="auto"/>
                  <w:noWrap/>
                  <w:vAlign w:val="bottom"/>
                  <w:hideMark/>
                </w:tcPr>
                <w:p w14:paraId="7A51F8BB" w14:textId="24511D82"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456.</w:t>
                  </w:r>
                  <w:r w:rsidR="00601209" w:rsidRPr="00BD7BDA">
                    <w:rPr>
                      <w:rFonts w:asciiTheme="majorHAnsi" w:hAnsiTheme="majorHAnsi" w:cstheme="majorHAnsi"/>
                      <w:sz w:val="18"/>
                      <w:szCs w:val="18"/>
                      <w:lang w:val="ru-RU"/>
                    </w:rPr>
                    <w:t>0</w:t>
                  </w:r>
                </w:p>
              </w:tc>
              <w:tc>
                <w:tcPr>
                  <w:tcW w:w="1278" w:type="dxa"/>
                  <w:shd w:val="clear" w:color="auto" w:fill="auto"/>
                  <w:noWrap/>
                  <w:vAlign w:val="bottom"/>
                  <w:hideMark/>
                </w:tcPr>
                <w:p w14:paraId="35C01EF6" w14:textId="3E712D64"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4.</w:t>
                  </w:r>
                  <w:r w:rsidR="00601209" w:rsidRPr="00BD7BDA">
                    <w:rPr>
                      <w:rFonts w:asciiTheme="majorHAnsi" w:hAnsiTheme="majorHAnsi" w:cstheme="majorHAnsi"/>
                      <w:sz w:val="18"/>
                      <w:szCs w:val="18"/>
                      <w:lang w:val="ru-RU"/>
                    </w:rPr>
                    <w:t>7</w:t>
                  </w:r>
                </w:p>
              </w:tc>
            </w:tr>
            <w:tr w:rsidR="00601209" w:rsidRPr="006A1D5E" w14:paraId="3ECA1E1E" w14:textId="77777777" w:rsidTr="001D5B4B">
              <w:trPr>
                <w:trHeight w:val="84"/>
              </w:trPr>
              <w:tc>
                <w:tcPr>
                  <w:tcW w:w="6374" w:type="dxa"/>
                  <w:noWrap/>
                  <w:hideMark/>
                </w:tcPr>
                <w:p w14:paraId="481559E5" w14:textId="6FA5CC6D" w:rsidR="00601209" w:rsidRPr="00BD7BDA" w:rsidRDefault="00146068" w:rsidP="006A0E08">
                  <w:pPr>
                    <w:pStyle w:val="af0"/>
                    <w:numPr>
                      <w:ilvl w:val="0"/>
                      <w:numId w:val="25"/>
                    </w:numPr>
                    <w:rPr>
                      <w:rFonts w:asciiTheme="majorHAnsi" w:hAnsiTheme="majorHAnsi" w:cstheme="majorHAnsi"/>
                      <w:sz w:val="18"/>
                      <w:szCs w:val="18"/>
                      <w:lang w:val="ru-RU"/>
                    </w:rPr>
                  </w:pPr>
                  <w:r w:rsidRPr="00BD7BDA">
                    <w:rPr>
                      <w:rFonts w:asciiTheme="majorHAnsi" w:hAnsiTheme="majorHAnsi" w:cstheme="majorHAnsi"/>
                      <w:sz w:val="18"/>
                      <w:szCs w:val="18"/>
                      <w:lang w:val="ru-RU"/>
                    </w:rPr>
                    <w:t xml:space="preserve">Former </w:t>
                  </w:r>
                  <w:r w:rsidR="00064DD6" w:rsidRPr="00BD7BDA">
                    <w:rPr>
                      <w:rFonts w:asciiTheme="majorHAnsi" w:hAnsiTheme="majorHAnsi" w:cstheme="majorHAnsi"/>
                      <w:sz w:val="18"/>
                      <w:szCs w:val="18"/>
                      <w:lang w:val="ru-RU"/>
                    </w:rPr>
                    <w:t>prisoners.</w:t>
                  </w:r>
                </w:p>
              </w:tc>
              <w:tc>
                <w:tcPr>
                  <w:tcW w:w="2096" w:type="dxa"/>
                  <w:shd w:val="clear" w:color="auto" w:fill="auto"/>
                  <w:noWrap/>
                  <w:vAlign w:val="bottom"/>
                  <w:hideMark/>
                </w:tcPr>
                <w:p w14:paraId="7626704B" w14:textId="4ABEACC5"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446.</w:t>
                  </w:r>
                  <w:r w:rsidR="00601209" w:rsidRPr="00BD7BDA">
                    <w:rPr>
                      <w:rFonts w:asciiTheme="majorHAnsi" w:hAnsiTheme="majorHAnsi" w:cstheme="majorHAnsi"/>
                      <w:sz w:val="18"/>
                      <w:szCs w:val="18"/>
                      <w:lang w:val="ru-RU"/>
                    </w:rPr>
                    <w:t>6</w:t>
                  </w:r>
                </w:p>
              </w:tc>
              <w:tc>
                <w:tcPr>
                  <w:tcW w:w="1278" w:type="dxa"/>
                  <w:shd w:val="clear" w:color="auto" w:fill="auto"/>
                  <w:noWrap/>
                  <w:vAlign w:val="bottom"/>
                  <w:hideMark/>
                </w:tcPr>
                <w:p w14:paraId="3BAEDFBD" w14:textId="3FBB62C4"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4.</w:t>
                  </w:r>
                  <w:r w:rsidR="00601209" w:rsidRPr="00BD7BDA">
                    <w:rPr>
                      <w:rFonts w:asciiTheme="majorHAnsi" w:hAnsiTheme="majorHAnsi" w:cstheme="majorHAnsi"/>
                      <w:sz w:val="18"/>
                      <w:szCs w:val="18"/>
                      <w:lang w:val="ru-RU"/>
                    </w:rPr>
                    <w:t>6</w:t>
                  </w:r>
                </w:p>
              </w:tc>
            </w:tr>
            <w:tr w:rsidR="00601209" w:rsidRPr="006A1D5E" w14:paraId="6AC14876" w14:textId="77777777" w:rsidTr="00064DD6">
              <w:trPr>
                <w:trHeight w:val="20"/>
              </w:trPr>
              <w:tc>
                <w:tcPr>
                  <w:tcW w:w="6374" w:type="dxa"/>
                  <w:noWrap/>
                  <w:hideMark/>
                </w:tcPr>
                <w:p w14:paraId="6AF2312C" w14:textId="715C1B69" w:rsidR="00601209" w:rsidRPr="00974FD7" w:rsidRDefault="00064DD6" w:rsidP="006A0E08">
                  <w:pPr>
                    <w:pStyle w:val="af0"/>
                    <w:numPr>
                      <w:ilvl w:val="0"/>
                      <w:numId w:val="25"/>
                    </w:numPr>
                    <w:rPr>
                      <w:rFonts w:asciiTheme="majorHAnsi" w:hAnsiTheme="majorHAnsi" w:cstheme="majorHAnsi"/>
                      <w:sz w:val="18"/>
                      <w:szCs w:val="18"/>
                    </w:rPr>
                  </w:pPr>
                  <w:r w:rsidRPr="00BD7BDA">
                    <w:rPr>
                      <w:rFonts w:asciiTheme="majorHAnsi" w:hAnsiTheme="majorHAnsi" w:cstheme="majorHAnsi"/>
                      <w:sz w:val="18"/>
                      <w:szCs w:val="18"/>
                    </w:rPr>
                    <w:t>Persons with alcohol use disorders on dispenser care.</w:t>
                  </w:r>
                </w:p>
              </w:tc>
              <w:tc>
                <w:tcPr>
                  <w:tcW w:w="2096" w:type="dxa"/>
                  <w:shd w:val="clear" w:color="auto" w:fill="auto"/>
                  <w:noWrap/>
                  <w:vAlign w:val="bottom"/>
                  <w:hideMark/>
                </w:tcPr>
                <w:p w14:paraId="685561BD" w14:textId="0E993BF2"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406.</w:t>
                  </w:r>
                  <w:r w:rsidR="00601209" w:rsidRPr="00BD7BDA">
                    <w:rPr>
                      <w:rFonts w:asciiTheme="majorHAnsi" w:hAnsiTheme="majorHAnsi" w:cstheme="majorHAnsi"/>
                      <w:sz w:val="18"/>
                      <w:szCs w:val="18"/>
                      <w:lang w:val="ru-RU"/>
                    </w:rPr>
                    <w:t>8</w:t>
                  </w:r>
                </w:p>
              </w:tc>
              <w:tc>
                <w:tcPr>
                  <w:tcW w:w="1278" w:type="dxa"/>
                  <w:shd w:val="clear" w:color="auto" w:fill="auto"/>
                  <w:noWrap/>
                  <w:vAlign w:val="bottom"/>
                  <w:hideMark/>
                </w:tcPr>
                <w:p w14:paraId="2E937A22" w14:textId="3BFF0E0F"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4.</w:t>
                  </w:r>
                  <w:r w:rsidR="00601209" w:rsidRPr="00BD7BDA">
                    <w:rPr>
                      <w:rFonts w:asciiTheme="majorHAnsi" w:hAnsiTheme="majorHAnsi" w:cstheme="majorHAnsi"/>
                      <w:sz w:val="18"/>
                      <w:szCs w:val="18"/>
                      <w:lang w:val="ru-RU"/>
                    </w:rPr>
                    <w:t>2</w:t>
                  </w:r>
                </w:p>
              </w:tc>
            </w:tr>
            <w:tr w:rsidR="00601209" w:rsidRPr="006A1D5E" w14:paraId="3AFCA5BC" w14:textId="77777777" w:rsidTr="001D5B4B">
              <w:trPr>
                <w:trHeight w:val="84"/>
              </w:trPr>
              <w:tc>
                <w:tcPr>
                  <w:tcW w:w="6374" w:type="dxa"/>
                  <w:noWrap/>
                  <w:hideMark/>
                </w:tcPr>
                <w:p w14:paraId="1405B61B" w14:textId="105A4012" w:rsidR="00601209" w:rsidRPr="00974FD7" w:rsidRDefault="009D159E" w:rsidP="006A0E08">
                  <w:pPr>
                    <w:pStyle w:val="af0"/>
                    <w:numPr>
                      <w:ilvl w:val="0"/>
                      <w:numId w:val="25"/>
                    </w:numPr>
                    <w:rPr>
                      <w:rFonts w:asciiTheme="majorHAnsi" w:hAnsiTheme="majorHAnsi" w:cstheme="majorHAnsi"/>
                      <w:sz w:val="18"/>
                      <w:szCs w:val="18"/>
                    </w:rPr>
                  </w:pPr>
                  <w:r w:rsidRPr="00974FD7">
                    <w:rPr>
                      <w:rFonts w:asciiTheme="majorHAnsi" w:hAnsiTheme="majorHAnsi" w:cstheme="majorHAnsi"/>
                      <w:sz w:val="18"/>
                      <w:szCs w:val="18"/>
                    </w:rPr>
                    <w:t>Persons with hystory of close c</w:t>
                  </w:r>
                  <w:r w:rsidR="00064DD6" w:rsidRPr="00974FD7">
                    <w:rPr>
                      <w:rFonts w:asciiTheme="majorHAnsi" w:hAnsiTheme="majorHAnsi" w:cstheme="majorHAnsi"/>
                      <w:sz w:val="18"/>
                      <w:szCs w:val="18"/>
                    </w:rPr>
                    <w:t>ontacts</w:t>
                  </w:r>
                  <w:r w:rsidRPr="00974FD7">
                    <w:rPr>
                      <w:rFonts w:asciiTheme="majorHAnsi" w:hAnsiTheme="majorHAnsi" w:cstheme="majorHAnsi"/>
                      <w:sz w:val="18"/>
                      <w:szCs w:val="18"/>
                    </w:rPr>
                    <w:t xml:space="preserve"> with </w:t>
                  </w:r>
                  <w:r w:rsidR="0040184B" w:rsidRPr="00974FD7">
                    <w:rPr>
                      <w:rFonts w:asciiTheme="majorHAnsi" w:hAnsiTheme="majorHAnsi" w:cstheme="majorHAnsi"/>
                      <w:sz w:val="18"/>
                      <w:szCs w:val="18"/>
                    </w:rPr>
                    <w:t>a TB patient</w:t>
                  </w:r>
                  <w:r w:rsidRPr="00974FD7">
                    <w:rPr>
                      <w:rFonts w:asciiTheme="majorHAnsi" w:hAnsiTheme="majorHAnsi" w:cstheme="majorHAnsi"/>
                      <w:sz w:val="18"/>
                      <w:szCs w:val="18"/>
                    </w:rPr>
                    <w:t xml:space="preserve"> regardless of </w:t>
                  </w:r>
                  <w:proofErr w:type="gramStart"/>
                  <w:r w:rsidR="0040184B" w:rsidRPr="00974FD7">
                    <w:rPr>
                      <w:rFonts w:asciiTheme="majorHAnsi" w:hAnsiTheme="majorHAnsi" w:cstheme="majorHAnsi"/>
                      <w:sz w:val="18"/>
                      <w:szCs w:val="18"/>
                    </w:rPr>
                    <w:t>it's</w:t>
                  </w:r>
                  <w:proofErr w:type="gramEnd"/>
                  <w:r w:rsidR="0040184B" w:rsidRPr="00974FD7">
                    <w:rPr>
                      <w:rFonts w:asciiTheme="majorHAnsi" w:hAnsiTheme="majorHAnsi" w:cstheme="majorHAnsi"/>
                      <w:sz w:val="18"/>
                      <w:szCs w:val="18"/>
                    </w:rPr>
                    <w:t xml:space="preserve"> </w:t>
                  </w:r>
                  <w:r w:rsidRPr="00974FD7">
                    <w:rPr>
                      <w:rFonts w:asciiTheme="majorHAnsi" w:hAnsiTheme="majorHAnsi" w:cstheme="majorHAnsi"/>
                      <w:sz w:val="18"/>
                      <w:szCs w:val="18"/>
                    </w:rPr>
                    <w:t>bacterial excretion</w:t>
                  </w:r>
                  <w:r w:rsidR="0040184B" w:rsidRPr="00974FD7">
                    <w:rPr>
                      <w:rFonts w:asciiTheme="majorHAnsi" w:hAnsiTheme="majorHAnsi" w:cstheme="majorHAnsi"/>
                      <w:sz w:val="18"/>
                      <w:szCs w:val="18"/>
                    </w:rPr>
                    <w:t xml:space="preserve"> status.</w:t>
                  </w:r>
                </w:p>
              </w:tc>
              <w:tc>
                <w:tcPr>
                  <w:tcW w:w="2096" w:type="dxa"/>
                  <w:shd w:val="clear" w:color="auto" w:fill="auto"/>
                  <w:noWrap/>
                  <w:vAlign w:val="bottom"/>
                  <w:hideMark/>
                </w:tcPr>
                <w:p w14:paraId="3A27D81D" w14:textId="5C3CFE32"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348.</w:t>
                  </w:r>
                  <w:r w:rsidR="00601209" w:rsidRPr="00BD7BDA">
                    <w:rPr>
                      <w:rFonts w:asciiTheme="majorHAnsi" w:hAnsiTheme="majorHAnsi" w:cstheme="majorHAnsi"/>
                      <w:sz w:val="18"/>
                      <w:szCs w:val="18"/>
                      <w:lang w:val="ru-RU"/>
                    </w:rPr>
                    <w:t>6</w:t>
                  </w:r>
                </w:p>
              </w:tc>
              <w:tc>
                <w:tcPr>
                  <w:tcW w:w="1278" w:type="dxa"/>
                  <w:shd w:val="clear" w:color="auto" w:fill="auto"/>
                  <w:noWrap/>
                  <w:vAlign w:val="bottom"/>
                  <w:hideMark/>
                </w:tcPr>
                <w:p w14:paraId="259AB41E" w14:textId="0691AAB1"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3.</w:t>
                  </w:r>
                  <w:r w:rsidR="00601209" w:rsidRPr="00BD7BDA">
                    <w:rPr>
                      <w:rFonts w:asciiTheme="majorHAnsi" w:hAnsiTheme="majorHAnsi" w:cstheme="majorHAnsi"/>
                      <w:sz w:val="18"/>
                      <w:szCs w:val="18"/>
                      <w:lang w:val="ru-RU"/>
                    </w:rPr>
                    <w:t>6</w:t>
                  </w:r>
                </w:p>
              </w:tc>
            </w:tr>
            <w:tr w:rsidR="00601209" w:rsidRPr="006A1D5E" w14:paraId="33D829B8" w14:textId="77777777" w:rsidTr="00064DD6">
              <w:trPr>
                <w:trHeight w:val="20"/>
              </w:trPr>
              <w:tc>
                <w:tcPr>
                  <w:tcW w:w="6374" w:type="dxa"/>
                  <w:noWrap/>
                  <w:hideMark/>
                </w:tcPr>
                <w:p w14:paraId="096EF80A" w14:textId="0A43B78D" w:rsidR="00601209" w:rsidRPr="00BD7BDA" w:rsidRDefault="0040184B" w:rsidP="006A0E08">
                  <w:pPr>
                    <w:pStyle w:val="af0"/>
                    <w:numPr>
                      <w:ilvl w:val="0"/>
                      <w:numId w:val="25"/>
                    </w:numPr>
                    <w:rPr>
                      <w:rFonts w:asciiTheme="majorHAnsi" w:hAnsiTheme="majorHAnsi" w:cstheme="majorHAnsi"/>
                      <w:sz w:val="18"/>
                      <w:szCs w:val="18"/>
                      <w:lang w:val="ru-RU"/>
                    </w:rPr>
                  </w:pPr>
                  <w:r w:rsidRPr="00BD7BDA">
                    <w:rPr>
                      <w:rFonts w:asciiTheme="majorHAnsi" w:hAnsiTheme="majorHAnsi" w:cstheme="majorHAnsi"/>
                      <w:sz w:val="18"/>
                      <w:szCs w:val="18"/>
                      <w:lang w:val="ru-RU"/>
                    </w:rPr>
                    <w:t>Individuals receiving immunosuppressive therapy.</w:t>
                  </w:r>
                </w:p>
              </w:tc>
              <w:tc>
                <w:tcPr>
                  <w:tcW w:w="2096" w:type="dxa"/>
                  <w:shd w:val="clear" w:color="auto" w:fill="auto"/>
                  <w:noWrap/>
                  <w:vAlign w:val="bottom"/>
                  <w:hideMark/>
                </w:tcPr>
                <w:p w14:paraId="012E49D7" w14:textId="7099081B"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129.</w:t>
                  </w:r>
                  <w:r w:rsidR="00601209" w:rsidRPr="00BD7BDA">
                    <w:rPr>
                      <w:rFonts w:asciiTheme="majorHAnsi" w:hAnsiTheme="majorHAnsi" w:cstheme="majorHAnsi"/>
                      <w:sz w:val="18"/>
                      <w:szCs w:val="18"/>
                      <w:lang w:val="ru-RU"/>
                    </w:rPr>
                    <w:t>8</w:t>
                  </w:r>
                </w:p>
              </w:tc>
              <w:tc>
                <w:tcPr>
                  <w:tcW w:w="1278" w:type="dxa"/>
                  <w:shd w:val="clear" w:color="auto" w:fill="auto"/>
                  <w:noWrap/>
                  <w:vAlign w:val="bottom"/>
                  <w:hideMark/>
                </w:tcPr>
                <w:p w14:paraId="67D3650A" w14:textId="51345052"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1.</w:t>
                  </w:r>
                  <w:r w:rsidR="00601209" w:rsidRPr="00BD7BDA">
                    <w:rPr>
                      <w:rFonts w:asciiTheme="majorHAnsi" w:hAnsiTheme="majorHAnsi" w:cstheme="majorHAnsi"/>
                      <w:sz w:val="18"/>
                      <w:szCs w:val="18"/>
                      <w:lang w:val="ru-RU"/>
                    </w:rPr>
                    <w:t>3</w:t>
                  </w:r>
                </w:p>
              </w:tc>
            </w:tr>
            <w:tr w:rsidR="00601209" w:rsidRPr="006A1D5E" w14:paraId="08264A62" w14:textId="77777777" w:rsidTr="001D5B4B">
              <w:trPr>
                <w:trHeight w:val="84"/>
              </w:trPr>
              <w:tc>
                <w:tcPr>
                  <w:tcW w:w="6374" w:type="dxa"/>
                  <w:noWrap/>
                  <w:hideMark/>
                </w:tcPr>
                <w:p w14:paraId="06C54B2B" w14:textId="658EE636" w:rsidR="00601209" w:rsidRPr="00974FD7" w:rsidRDefault="0040184B" w:rsidP="006A0E08">
                  <w:pPr>
                    <w:pStyle w:val="af0"/>
                    <w:numPr>
                      <w:ilvl w:val="0"/>
                      <w:numId w:val="25"/>
                    </w:numPr>
                    <w:rPr>
                      <w:rFonts w:asciiTheme="majorHAnsi" w:hAnsiTheme="majorHAnsi" w:cstheme="majorHAnsi"/>
                      <w:sz w:val="18"/>
                      <w:szCs w:val="18"/>
                    </w:rPr>
                  </w:pPr>
                  <w:r w:rsidRPr="00974FD7">
                    <w:rPr>
                      <w:rFonts w:asciiTheme="majorHAnsi" w:hAnsiTheme="majorHAnsi" w:cstheme="majorHAnsi"/>
                      <w:sz w:val="18"/>
                      <w:szCs w:val="18"/>
                    </w:rPr>
                    <w:t>Patients with diabetes melitus under dispenser care.</w:t>
                  </w:r>
                </w:p>
              </w:tc>
              <w:tc>
                <w:tcPr>
                  <w:tcW w:w="2096" w:type="dxa"/>
                  <w:shd w:val="clear" w:color="auto" w:fill="auto"/>
                  <w:noWrap/>
                  <w:vAlign w:val="bottom"/>
                  <w:hideMark/>
                </w:tcPr>
                <w:p w14:paraId="59E1637F" w14:textId="4E72BE53"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128.</w:t>
                  </w:r>
                  <w:r w:rsidR="00601209" w:rsidRPr="00BD7BDA">
                    <w:rPr>
                      <w:rFonts w:asciiTheme="majorHAnsi" w:hAnsiTheme="majorHAnsi" w:cstheme="majorHAnsi"/>
                      <w:sz w:val="18"/>
                      <w:szCs w:val="18"/>
                      <w:lang w:val="ru-RU"/>
                    </w:rPr>
                    <w:t>7</w:t>
                  </w:r>
                </w:p>
              </w:tc>
              <w:tc>
                <w:tcPr>
                  <w:tcW w:w="1278" w:type="dxa"/>
                  <w:shd w:val="clear" w:color="auto" w:fill="auto"/>
                  <w:noWrap/>
                  <w:vAlign w:val="bottom"/>
                  <w:hideMark/>
                </w:tcPr>
                <w:p w14:paraId="36B2E5CA" w14:textId="41C08076" w:rsidR="00601209" w:rsidRPr="00BD7BDA" w:rsidRDefault="004A3E1A" w:rsidP="00064DD6">
                  <w:pPr>
                    <w:pStyle w:val="af0"/>
                    <w:rPr>
                      <w:rFonts w:asciiTheme="majorHAnsi" w:hAnsiTheme="majorHAnsi" w:cstheme="majorHAnsi"/>
                      <w:sz w:val="18"/>
                      <w:szCs w:val="18"/>
                      <w:lang w:val="ru-RU"/>
                    </w:rPr>
                  </w:pPr>
                  <w:r w:rsidRPr="00BD7BDA">
                    <w:rPr>
                      <w:rFonts w:asciiTheme="majorHAnsi" w:hAnsiTheme="majorHAnsi" w:cstheme="majorHAnsi"/>
                      <w:sz w:val="18"/>
                      <w:szCs w:val="18"/>
                      <w:lang w:val="ru-RU"/>
                    </w:rPr>
                    <w:t>1.</w:t>
                  </w:r>
                  <w:r w:rsidR="00601209" w:rsidRPr="00BD7BDA">
                    <w:rPr>
                      <w:rFonts w:asciiTheme="majorHAnsi" w:hAnsiTheme="majorHAnsi" w:cstheme="majorHAnsi"/>
                      <w:sz w:val="18"/>
                      <w:szCs w:val="18"/>
                      <w:lang w:val="ru-RU"/>
                    </w:rPr>
                    <w:t>3</w:t>
                  </w:r>
                </w:p>
              </w:tc>
            </w:tr>
            <w:tr w:rsidR="00601209" w:rsidRPr="0005333B" w14:paraId="28811D74" w14:textId="77777777" w:rsidTr="00064DD6">
              <w:trPr>
                <w:trHeight w:val="20"/>
              </w:trPr>
              <w:tc>
                <w:tcPr>
                  <w:tcW w:w="6374" w:type="dxa"/>
                  <w:noWrap/>
                </w:tcPr>
                <w:p w14:paraId="40003677" w14:textId="1A9999E7" w:rsidR="00601209" w:rsidRPr="00974FD7" w:rsidRDefault="0040184B" w:rsidP="006A0E08">
                  <w:pPr>
                    <w:pStyle w:val="af0"/>
                    <w:numPr>
                      <w:ilvl w:val="0"/>
                      <w:numId w:val="25"/>
                    </w:numPr>
                    <w:rPr>
                      <w:rFonts w:asciiTheme="majorHAnsi" w:hAnsiTheme="majorHAnsi" w:cstheme="majorHAnsi"/>
                      <w:sz w:val="18"/>
                      <w:szCs w:val="18"/>
                    </w:rPr>
                  </w:pPr>
                  <w:r w:rsidRPr="00974FD7">
                    <w:rPr>
                      <w:rFonts w:asciiTheme="majorHAnsi" w:hAnsiTheme="majorHAnsi" w:cstheme="majorHAnsi"/>
                      <w:sz w:val="18"/>
                      <w:szCs w:val="18"/>
                    </w:rPr>
                    <w:t>Persons seeking permanent residence in Kazakhstan.</w:t>
                  </w:r>
                </w:p>
              </w:tc>
              <w:tc>
                <w:tcPr>
                  <w:tcW w:w="2096" w:type="dxa"/>
                  <w:shd w:val="clear" w:color="auto" w:fill="auto"/>
                  <w:noWrap/>
                  <w:vAlign w:val="bottom"/>
                </w:tcPr>
                <w:p w14:paraId="63365B27" w14:textId="42F4C7B3" w:rsidR="00601209" w:rsidRPr="00974FD7" w:rsidRDefault="004A3E1A" w:rsidP="0040184B">
                  <w:pPr>
                    <w:pStyle w:val="af0"/>
                    <w:rPr>
                      <w:rFonts w:asciiTheme="majorHAnsi" w:hAnsiTheme="majorHAnsi" w:cstheme="majorHAnsi"/>
                      <w:sz w:val="18"/>
                      <w:szCs w:val="18"/>
                    </w:rPr>
                  </w:pPr>
                  <w:r w:rsidRPr="00974FD7">
                    <w:rPr>
                      <w:rFonts w:asciiTheme="majorHAnsi" w:hAnsiTheme="majorHAnsi" w:cstheme="majorHAnsi"/>
                      <w:sz w:val="18"/>
                      <w:szCs w:val="18"/>
                    </w:rPr>
                    <w:t>110.</w:t>
                  </w:r>
                  <w:r w:rsidR="00601209" w:rsidRPr="00974FD7">
                    <w:rPr>
                      <w:rFonts w:asciiTheme="majorHAnsi" w:hAnsiTheme="majorHAnsi" w:cstheme="majorHAnsi"/>
                      <w:sz w:val="18"/>
                      <w:szCs w:val="18"/>
                    </w:rPr>
                    <w:t>2</w:t>
                  </w:r>
                </w:p>
              </w:tc>
              <w:tc>
                <w:tcPr>
                  <w:tcW w:w="1278" w:type="dxa"/>
                  <w:shd w:val="clear" w:color="auto" w:fill="auto"/>
                  <w:noWrap/>
                  <w:vAlign w:val="bottom"/>
                </w:tcPr>
                <w:p w14:paraId="3753E4E6" w14:textId="3908DC79" w:rsidR="00601209" w:rsidRPr="00974FD7" w:rsidRDefault="004A3E1A" w:rsidP="0040184B">
                  <w:pPr>
                    <w:pStyle w:val="af0"/>
                    <w:rPr>
                      <w:rFonts w:asciiTheme="majorHAnsi" w:hAnsiTheme="majorHAnsi" w:cstheme="majorHAnsi"/>
                      <w:sz w:val="18"/>
                      <w:szCs w:val="18"/>
                    </w:rPr>
                  </w:pPr>
                  <w:r w:rsidRPr="00974FD7">
                    <w:rPr>
                      <w:rFonts w:asciiTheme="majorHAnsi" w:hAnsiTheme="majorHAnsi" w:cstheme="majorHAnsi"/>
                      <w:sz w:val="18"/>
                      <w:szCs w:val="18"/>
                    </w:rPr>
                    <w:t>1.</w:t>
                  </w:r>
                  <w:r w:rsidR="00601209" w:rsidRPr="00974FD7">
                    <w:rPr>
                      <w:rFonts w:asciiTheme="majorHAnsi" w:hAnsiTheme="majorHAnsi" w:cstheme="majorHAnsi"/>
                      <w:sz w:val="18"/>
                      <w:szCs w:val="18"/>
                    </w:rPr>
                    <w:t>1</w:t>
                  </w:r>
                </w:p>
              </w:tc>
            </w:tr>
          </w:tbl>
          <w:p w14:paraId="090D463A" w14:textId="77777777" w:rsidR="00956070" w:rsidRDefault="00956070" w:rsidP="00071463">
            <w:pPr>
              <w:spacing w:after="0" w:line="240" w:lineRule="auto"/>
              <w:rPr>
                <w:rFonts w:cs="Arial"/>
              </w:rPr>
            </w:pPr>
          </w:p>
          <w:p w14:paraId="1D83DF73" w14:textId="50F45E7D" w:rsidR="00DD1768" w:rsidRDefault="00DD1768" w:rsidP="00071463">
            <w:pPr>
              <w:spacing w:after="0" w:line="240" w:lineRule="auto"/>
              <w:jc w:val="both"/>
              <w:rPr>
                <w:rFonts w:asciiTheme="majorHAnsi" w:hAnsiTheme="majorHAnsi" w:cstheme="majorHAnsi"/>
              </w:rPr>
            </w:pPr>
            <w:r>
              <w:rPr>
                <w:rFonts w:cs="Arial"/>
              </w:rPr>
              <w:t xml:space="preserve">Its worth mentioning, that with the support </w:t>
            </w:r>
            <w:r w:rsidR="00071463">
              <w:rPr>
                <w:rFonts w:cs="Arial"/>
              </w:rPr>
              <w:t>of</w:t>
            </w:r>
            <w:r w:rsidRPr="00B06C18">
              <w:rPr>
                <w:rFonts w:cs="Arial"/>
              </w:rPr>
              <w:t xml:space="preserve"> </w:t>
            </w:r>
            <w:r>
              <w:rPr>
                <w:rFonts w:cs="Arial"/>
              </w:rPr>
              <w:t xml:space="preserve">the </w:t>
            </w:r>
            <w:r w:rsidRPr="00B06C18">
              <w:rPr>
                <w:rFonts w:cs="Arial"/>
              </w:rPr>
              <w:t xml:space="preserve">WHO EURO, the </w:t>
            </w:r>
            <w:r>
              <w:rPr>
                <w:rFonts w:cs="Arial"/>
              </w:rPr>
              <w:t xml:space="preserve">US-funded </w:t>
            </w:r>
            <w:r w:rsidRPr="00B06C18">
              <w:rPr>
                <w:rFonts w:cs="Arial"/>
              </w:rPr>
              <w:t>ETICA project, and a group of international and local consul</w:t>
            </w:r>
            <w:r>
              <w:rPr>
                <w:rFonts w:cs="Arial"/>
              </w:rPr>
              <w:t>tants, the country is preparing a new national guide</w:t>
            </w:r>
            <w:r w:rsidRPr="00B06C18">
              <w:rPr>
                <w:rFonts w:cs="Arial"/>
              </w:rPr>
              <w:t xml:space="preserve"> on </w:t>
            </w:r>
            <w:r>
              <w:rPr>
                <w:rFonts w:cs="Arial"/>
              </w:rPr>
              <w:t xml:space="preserve">TB </w:t>
            </w:r>
            <w:r w:rsidRPr="00B06C18">
              <w:rPr>
                <w:rFonts w:cs="Arial"/>
              </w:rPr>
              <w:t>systematic screening and preventive treatment</w:t>
            </w:r>
            <w:r w:rsidR="00071463">
              <w:rPr>
                <w:rFonts w:cs="Arial"/>
              </w:rPr>
              <w:t>. It</w:t>
            </w:r>
            <w:r w:rsidRPr="00B06C18">
              <w:rPr>
                <w:rFonts w:cs="Arial"/>
              </w:rPr>
              <w:t xml:space="preserve"> </w:t>
            </w:r>
            <w:r w:rsidR="00071463">
              <w:rPr>
                <w:rFonts w:cs="Arial"/>
              </w:rPr>
              <w:t>will be</w:t>
            </w:r>
            <w:r>
              <w:rPr>
                <w:rFonts w:cs="Arial"/>
              </w:rPr>
              <w:t xml:space="preserve"> in line with </w:t>
            </w:r>
            <w:r w:rsidR="00146068">
              <w:rPr>
                <w:rFonts w:cs="Arial"/>
              </w:rPr>
              <w:t>the latest WHO</w:t>
            </w:r>
            <w:r w:rsidRPr="00B06C18">
              <w:rPr>
                <w:rFonts w:cs="Arial"/>
              </w:rPr>
              <w:t xml:space="preserve"> </w:t>
            </w:r>
            <w:r>
              <w:rPr>
                <w:rFonts w:asciiTheme="majorHAnsi" w:hAnsiTheme="majorHAnsi" w:cstheme="majorHAnsi"/>
              </w:rPr>
              <w:t xml:space="preserve">recommendations </w:t>
            </w:r>
            <w:r w:rsidR="00071463">
              <w:rPr>
                <w:rFonts w:asciiTheme="majorHAnsi" w:hAnsiTheme="majorHAnsi" w:cstheme="majorHAnsi"/>
              </w:rPr>
              <w:t>planned</w:t>
            </w:r>
            <w:r>
              <w:rPr>
                <w:rFonts w:asciiTheme="majorHAnsi" w:hAnsiTheme="majorHAnsi" w:cstheme="majorHAnsi"/>
              </w:rPr>
              <w:t xml:space="preserve"> </w:t>
            </w:r>
            <w:r w:rsidR="00071463">
              <w:rPr>
                <w:rFonts w:asciiTheme="majorHAnsi" w:hAnsiTheme="majorHAnsi" w:cstheme="majorHAnsi"/>
              </w:rPr>
              <w:t xml:space="preserve">to </w:t>
            </w:r>
            <w:r>
              <w:rPr>
                <w:rFonts w:asciiTheme="majorHAnsi" w:hAnsiTheme="majorHAnsi" w:cstheme="majorHAnsi"/>
              </w:rPr>
              <w:t>be finalized during the first quarter of 2022.</w:t>
            </w:r>
            <w:r w:rsidRPr="003C0AC1">
              <w:rPr>
                <w:rFonts w:asciiTheme="majorHAnsi" w:hAnsiTheme="majorHAnsi" w:cstheme="majorHAnsi"/>
              </w:rPr>
              <w:t xml:space="preserve"> </w:t>
            </w:r>
            <w:r>
              <w:rPr>
                <w:rFonts w:asciiTheme="majorHAnsi" w:hAnsiTheme="majorHAnsi" w:cstheme="majorHAnsi"/>
              </w:rPr>
              <w:t xml:space="preserve">The </w:t>
            </w:r>
            <w:r w:rsidR="00185259">
              <w:rPr>
                <w:rFonts w:asciiTheme="majorHAnsi" w:hAnsiTheme="majorHAnsi" w:cstheme="majorHAnsi"/>
              </w:rPr>
              <w:t xml:space="preserve">national </w:t>
            </w:r>
            <w:r>
              <w:rPr>
                <w:rFonts w:asciiTheme="majorHAnsi" w:hAnsiTheme="majorHAnsi" w:cstheme="majorHAnsi"/>
              </w:rPr>
              <w:t>guide</w:t>
            </w:r>
            <w:r w:rsidR="00185259">
              <w:rPr>
                <w:rFonts w:asciiTheme="majorHAnsi" w:hAnsiTheme="majorHAnsi" w:cstheme="majorHAnsi"/>
              </w:rPr>
              <w:t>line</w:t>
            </w:r>
            <w:r>
              <w:rPr>
                <w:rFonts w:asciiTheme="majorHAnsi" w:hAnsiTheme="majorHAnsi" w:cstheme="majorHAnsi"/>
              </w:rPr>
              <w:t xml:space="preserve"> will reflect the </w:t>
            </w:r>
            <w:r w:rsidR="00185259">
              <w:rPr>
                <w:rFonts w:asciiTheme="majorHAnsi" w:hAnsiTheme="majorHAnsi" w:cstheme="majorHAnsi"/>
              </w:rPr>
              <w:t>findings of the Screen TB tool, by prioritizing populati</w:t>
            </w:r>
            <w:r w:rsidR="0088433C">
              <w:rPr>
                <w:rFonts w:asciiTheme="majorHAnsi" w:hAnsiTheme="majorHAnsi" w:cstheme="majorHAnsi"/>
              </w:rPr>
              <w:t>ons</w:t>
            </w:r>
            <w:r w:rsidR="00185259">
              <w:rPr>
                <w:rFonts w:asciiTheme="majorHAnsi" w:hAnsiTheme="majorHAnsi" w:cstheme="majorHAnsi"/>
              </w:rPr>
              <w:t xml:space="preserve"> for TB screening programs, </w:t>
            </w:r>
            <w:r w:rsidR="00071463">
              <w:rPr>
                <w:rFonts w:asciiTheme="majorHAnsi" w:hAnsiTheme="majorHAnsi" w:cstheme="majorHAnsi"/>
              </w:rPr>
              <w:t>and specify</w:t>
            </w:r>
            <w:r w:rsidR="00146068">
              <w:rPr>
                <w:rFonts w:asciiTheme="majorHAnsi" w:hAnsiTheme="majorHAnsi" w:cstheme="majorHAnsi"/>
              </w:rPr>
              <w:t xml:space="preserve"> the</w:t>
            </w:r>
            <w:r w:rsidR="00185259">
              <w:rPr>
                <w:rFonts w:asciiTheme="majorHAnsi" w:hAnsiTheme="majorHAnsi" w:cstheme="majorHAnsi"/>
              </w:rPr>
              <w:t xml:space="preserve"> frequency of screenings. </w:t>
            </w:r>
          </w:p>
          <w:p w14:paraId="598882FC" w14:textId="77777777" w:rsidR="00146068" w:rsidRPr="00DD1768" w:rsidRDefault="00146068" w:rsidP="00071463">
            <w:pPr>
              <w:spacing w:after="0" w:line="240" w:lineRule="auto"/>
              <w:jc w:val="both"/>
              <w:rPr>
                <w:rFonts w:cs="Arial"/>
              </w:rPr>
            </w:pPr>
          </w:p>
          <w:p w14:paraId="74A61741" w14:textId="2DA9355B" w:rsidR="00007BFF" w:rsidRDefault="00185259" w:rsidP="00CD000A">
            <w:pPr>
              <w:spacing w:after="0" w:line="240" w:lineRule="auto"/>
              <w:rPr>
                <w:rFonts w:cs="Arial"/>
              </w:rPr>
            </w:pPr>
            <w:r>
              <w:rPr>
                <w:rFonts w:cs="Arial"/>
              </w:rPr>
              <w:t xml:space="preserve">The </w:t>
            </w:r>
            <w:r w:rsidR="00DD1768" w:rsidRPr="00DD1768">
              <w:rPr>
                <w:rFonts w:cs="Arial"/>
              </w:rPr>
              <w:t xml:space="preserve">active </w:t>
            </w:r>
            <w:r>
              <w:rPr>
                <w:rFonts w:cs="Arial"/>
              </w:rPr>
              <w:t xml:space="preserve">TB </w:t>
            </w:r>
            <w:r w:rsidR="00DD1768" w:rsidRPr="00DD1768">
              <w:rPr>
                <w:rFonts w:cs="Arial"/>
              </w:rPr>
              <w:t xml:space="preserve">detection </w:t>
            </w:r>
            <w:r>
              <w:rPr>
                <w:rFonts w:cs="Arial"/>
              </w:rPr>
              <w:t>in</w:t>
            </w:r>
            <w:r w:rsidR="00DD1768" w:rsidRPr="00DD1768">
              <w:rPr>
                <w:rFonts w:cs="Arial"/>
              </w:rPr>
              <w:t xml:space="preserve"> key and vulnerable </w:t>
            </w:r>
            <w:r w:rsidR="00540811">
              <w:rPr>
                <w:rFonts w:cs="Arial"/>
              </w:rPr>
              <w:t xml:space="preserve">populations </w:t>
            </w:r>
            <w:r>
              <w:rPr>
                <w:rFonts w:cs="Arial"/>
              </w:rPr>
              <w:t>is</w:t>
            </w:r>
            <w:r w:rsidR="00DD1768" w:rsidRPr="00DD1768">
              <w:rPr>
                <w:rFonts w:cs="Arial"/>
              </w:rPr>
              <w:t xml:space="preserve"> discussed </w:t>
            </w:r>
            <w:r>
              <w:rPr>
                <w:rFonts w:cs="Arial"/>
              </w:rPr>
              <w:t xml:space="preserve">in sections </w:t>
            </w:r>
            <w:r w:rsidR="00DD1768" w:rsidRPr="00DD1768">
              <w:rPr>
                <w:rFonts w:cs="Arial"/>
              </w:rPr>
              <w:t>below</w:t>
            </w:r>
            <w:r>
              <w:rPr>
                <w:rFonts w:cs="Arial"/>
              </w:rPr>
              <w:t xml:space="preserve">, underlining the role of NGO sector in </w:t>
            </w:r>
            <w:r w:rsidR="00DD1768" w:rsidRPr="00DD1768">
              <w:rPr>
                <w:rFonts w:cs="Arial"/>
              </w:rPr>
              <w:t>tuberc</w:t>
            </w:r>
            <w:r w:rsidR="00BE5632">
              <w:rPr>
                <w:rFonts w:cs="Arial"/>
              </w:rPr>
              <w:t>ulosis</w:t>
            </w:r>
            <w:r>
              <w:rPr>
                <w:rFonts w:cs="Arial"/>
              </w:rPr>
              <w:t xml:space="preserve"> control. </w:t>
            </w:r>
          </w:p>
          <w:p w14:paraId="314FCBDD" w14:textId="6EB71E73" w:rsidR="00147B20" w:rsidRPr="00F231A6" w:rsidRDefault="00007BFF" w:rsidP="00450256">
            <w:pPr>
              <w:spacing w:before="240" w:line="240" w:lineRule="auto"/>
              <w:rPr>
                <w:rFonts w:eastAsia="Times New Roman" w:cstheme="minorHAnsi"/>
                <w:szCs w:val="20"/>
              </w:rPr>
            </w:pPr>
            <w:r w:rsidRPr="001940C1">
              <w:rPr>
                <w:rFonts w:eastAsia="Times New Roman" w:cstheme="minorHAnsi"/>
                <w:b/>
                <w:szCs w:val="20"/>
              </w:rPr>
              <w:t>People in detention</w:t>
            </w:r>
          </w:p>
          <w:p w14:paraId="0A938771" w14:textId="7D013FC7" w:rsidR="0051641E" w:rsidRDefault="00F04E4D" w:rsidP="00D93095">
            <w:pPr>
              <w:spacing w:after="0" w:line="240" w:lineRule="auto"/>
              <w:jc w:val="both"/>
              <w:rPr>
                <w:rFonts w:asciiTheme="majorHAnsi" w:hAnsiTheme="majorHAnsi" w:cstheme="majorHAnsi"/>
              </w:rPr>
            </w:pPr>
            <w:r w:rsidRPr="00F04E4D">
              <w:rPr>
                <w:rFonts w:asciiTheme="majorHAnsi" w:hAnsiTheme="majorHAnsi" w:cstheme="majorHAnsi"/>
              </w:rPr>
              <w:t>Globally, prisoners are at higher risk of contracting TB and HIV compared to the general population based on reported incidence data. Kazakhstan has leaped forward on the prison index, moving from the third-ranked country in the world in terms of per capita prisoners’ number and dropping to 78th place in 2017. The total prison population made up 34,000 in 2020 or red</w:t>
            </w:r>
            <w:r w:rsidR="00146068">
              <w:rPr>
                <w:rFonts w:asciiTheme="majorHAnsi" w:hAnsiTheme="majorHAnsi" w:cstheme="majorHAnsi"/>
              </w:rPr>
              <w:t>uced by nearly twice compared with</w:t>
            </w:r>
            <w:r w:rsidRPr="00F04E4D">
              <w:rPr>
                <w:rFonts w:asciiTheme="majorHAnsi" w:hAnsiTheme="majorHAnsi" w:cstheme="majorHAnsi"/>
              </w:rPr>
              <w:t xml:space="preserve"> 2002 data. The </w:t>
            </w:r>
            <w:r w:rsidR="00146068">
              <w:rPr>
                <w:rFonts w:asciiTheme="majorHAnsi" w:hAnsiTheme="majorHAnsi" w:cstheme="majorHAnsi"/>
              </w:rPr>
              <w:t>TB incidence</w:t>
            </w:r>
            <w:r w:rsidRPr="00F04E4D">
              <w:rPr>
                <w:rFonts w:asciiTheme="majorHAnsi" w:hAnsiTheme="majorHAnsi" w:cstheme="majorHAnsi"/>
              </w:rPr>
              <w:t xml:space="preserve"> </w:t>
            </w:r>
            <w:r w:rsidR="00550F74">
              <w:rPr>
                <w:rFonts w:asciiTheme="majorHAnsi" w:hAnsiTheme="majorHAnsi" w:cstheme="majorHAnsi"/>
              </w:rPr>
              <w:t xml:space="preserve">in penitentiary system has </w:t>
            </w:r>
            <w:r w:rsidR="00146068">
              <w:rPr>
                <w:rFonts w:asciiTheme="majorHAnsi" w:hAnsiTheme="majorHAnsi" w:cstheme="majorHAnsi"/>
              </w:rPr>
              <w:t xml:space="preserve">accounted for </w:t>
            </w:r>
            <w:r w:rsidR="00146068" w:rsidRPr="00F04E4D">
              <w:rPr>
                <w:rFonts w:asciiTheme="majorHAnsi" w:hAnsiTheme="majorHAnsi" w:cstheme="majorHAnsi"/>
              </w:rPr>
              <w:t>147 per 100,000 pop</w:t>
            </w:r>
            <w:r w:rsidR="00146068">
              <w:rPr>
                <w:rFonts w:asciiTheme="majorHAnsi" w:hAnsiTheme="majorHAnsi" w:cstheme="majorHAnsi"/>
              </w:rPr>
              <w:t xml:space="preserve">ulation (108 patients) in 2020 compared with </w:t>
            </w:r>
            <w:r w:rsidRPr="00F04E4D">
              <w:rPr>
                <w:rFonts w:asciiTheme="majorHAnsi" w:hAnsiTheme="majorHAnsi" w:cstheme="majorHAnsi"/>
              </w:rPr>
              <w:t>941.1 per 100,000 population (1,554 patients) in 2012</w:t>
            </w:r>
            <w:r w:rsidR="0089046C">
              <w:rPr>
                <w:rFonts w:asciiTheme="majorHAnsi" w:hAnsiTheme="majorHAnsi" w:cstheme="majorHAnsi"/>
              </w:rPr>
              <w:t xml:space="preserve"> (Figure 22)</w:t>
            </w:r>
            <w:r w:rsidR="00146068">
              <w:rPr>
                <w:rFonts w:asciiTheme="majorHAnsi" w:hAnsiTheme="majorHAnsi" w:cstheme="majorHAnsi"/>
              </w:rPr>
              <w:t xml:space="preserve">. </w:t>
            </w:r>
            <w:r w:rsidRPr="00F04E4D">
              <w:rPr>
                <w:rFonts w:asciiTheme="majorHAnsi" w:hAnsiTheme="majorHAnsi" w:cstheme="majorHAnsi"/>
              </w:rPr>
              <w:t xml:space="preserve">Over the same period, the death rate from tuberculosis decreased from 94 per 100,000 population to 20 </w:t>
            </w:r>
            <w:r w:rsidR="0089046C">
              <w:rPr>
                <w:rFonts w:asciiTheme="majorHAnsi" w:hAnsiTheme="majorHAnsi" w:cstheme="majorHAnsi"/>
              </w:rPr>
              <w:t>per 100,000 population</w:t>
            </w:r>
            <w:r w:rsidRPr="00F04E4D">
              <w:rPr>
                <w:rFonts w:asciiTheme="majorHAnsi" w:hAnsiTheme="majorHAnsi" w:cstheme="majorHAnsi"/>
              </w:rPr>
              <w:t xml:space="preserve">. </w:t>
            </w:r>
            <w:r w:rsidR="00C552BF" w:rsidRPr="00C552BF">
              <w:rPr>
                <w:rFonts w:asciiTheme="majorHAnsi" w:hAnsiTheme="majorHAnsi" w:cstheme="majorHAnsi"/>
              </w:rPr>
              <w:t>The burden of MDR-TB</w:t>
            </w:r>
            <w:r w:rsidR="009F7182">
              <w:rPr>
                <w:rFonts w:asciiTheme="majorHAnsi" w:hAnsiTheme="majorHAnsi" w:cstheme="majorHAnsi"/>
              </w:rPr>
              <w:t xml:space="preserve"> in the penitentiary system </w:t>
            </w:r>
            <w:r w:rsidR="00C552BF" w:rsidRPr="00C552BF">
              <w:rPr>
                <w:rFonts w:asciiTheme="majorHAnsi" w:hAnsiTheme="majorHAnsi" w:cstheme="majorHAnsi"/>
              </w:rPr>
              <w:t xml:space="preserve">declined from 599 </w:t>
            </w:r>
            <w:r w:rsidR="00EA7BF2">
              <w:rPr>
                <w:rFonts w:asciiTheme="majorHAnsi" w:hAnsiTheme="majorHAnsi" w:cstheme="majorHAnsi"/>
              </w:rPr>
              <w:t>patients in 2013 to 181 in 2020</w:t>
            </w:r>
            <w:r w:rsidR="0089046C">
              <w:rPr>
                <w:rFonts w:asciiTheme="majorHAnsi" w:hAnsiTheme="majorHAnsi" w:cstheme="majorHAnsi"/>
              </w:rPr>
              <w:t xml:space="preserve"> (Figure 23)</w:t>
            </w:r>
            <w:r w:rsidR="00EA7BF2">
              <w:rPr>
                <w:rFonts w:asciiTheme="majorHAnsi" w:hAnsiTheme="majorHAnsi" w:cstheme="majorHAnsi"/>
              </w:rPr>
              <w:t xml:space="preserve">. </w:t>
            </w:r>
            <w:r w:rsidR="0051641E">
              <w:rPr>
                <w:rFonts w:asciiTheme="majorHAnsi" w:hAnsiTheme="majorHAnsi" w:cstheme="majorHAnsi"/>
              </w:rPr>
              <w:t>However</w:t>
            </w:r>
            <w:r w:rsidR="00EA7BF2">
              <w:rPr>
                <w:rFonts w:asciiTheme="majorHAnsi" w:hAnsiTheme="majorHAnsi" w:cstheme="majorHAnsi"/>
              </w:rPr>
              <w:t>, the MDR-TB prevalence among new TB notifications</w:t>
            </w:r>
            <w:r w:rsidR="00E06FB1">
              <w:rPr>
                <w:rFonts w:asciiTheme="majorHAnsi" w:hAnsiTheme="majorHAnsi" w:cstheme="majorHAnsi"/>
              </w:rPr>
              <w:t xml:space="preserve"> </w:t>
            </w:r>
            <w:r w:rsidR="009F7182">
              <w:rPr>
                <w:rFonts w:asciiTheme="majorHAnsi" w:hAnsiTheme="majorHAnsi" w:cstheme="majorHAnsi"/>
              </w:rPr>
              <w:t>in 2020 was</w:t>
            </w:r>
            <w:r w:rsidR="00E06FB1">
              <w:rPr>
                <w:rFonts w:asciiTheme="majorHAnsi" w:hAnsiTheme="majorHAnsi" w:cstheme="majorHAnsi"/>
              </w:rPr>
              <w:t xml:space="preserve"> </w:t>
            </w:r>
            <w:r w:rsidR="009F7182">
              <w:rPr>
                <w:rFonts w:asciiTheme="majorHAnsi" w:hAnsiTheme="majorHAnsi" w:cstheme="majorHAnsi"/>
              </w:rPr>
              <w:t>prevailed</w:t>
            </w:r>
            <w:r w:rsidR="00EA7BF2">
              <w:rPr>
                <w:rFonts w:asciiTheme="majorHAnsi" w:hAnsiTheme="majorHAnsi" w:cstheme="majorHAnsi"/>
              </w:rPr>
              <w:t xml:space="preserve"> </w:t>
            </w:r>
            <w:r w:rsidR="00EA7BF2" w:rsidRPr="00C552BF">
              <w:rPr>
                <w:rFonts w:asciiTheme="majorHAnsi" w:hAnsiTheme="majorHAnsi" w:cstheme="majorHAnsi"/>
              </w:rPr>
              <w:t>(62.3%)</w:t>
            </w:r>
            <w:r w:rsidR="00EA7BF2">
              <w:rPr>
                <w:rFonts w:asciiTheme="majorHAnsi" w:hAnsiTheme="majorHAnsi" w:cstheme="majorHAnsi"/>
              </w:rPr>
              <w:t>.</w:t>
            </w:r>
          </w:p>
          <w:p w14:paraId="31F473CC" w14:textId="77777777" w:rsidR="00D93095" w:rsidRPr="0051641E" w:rsidRDefault="00D93095" w:rsidP="00D93095">
            <w:pPr>
              <w:spacing w:after="0" w:line="240" w:lineRule="auto"/>
              <w:jc w:val="both"/>
              <w:rPr>
                <w:rFonts w:asciiTheme="majorHAnsi" w:hAnsiTheme="majorHAnsi" w:cstheme="majorHAnsi"/>
              </w:rPr>
            </w:pPr>
          </w:p>
          <w:p w14:paraId="17016D17" w14:textId="6E3F5F15" w:rsidR="00BB24B8" w:rsidRPr="00974FD7" w:rsidRDefault="00BB24B8" w:rsidP="00D93095">
            <w:pPr>
              <w:spacing w:after="0" w:line="240" w:lineRule="auto"/>
              <w:jc w:val="both"/>
              <w:rPr>
                <w:rFonts w:cs="Arial"/>
                <w:i/>
              </w:rPr>
            </w:pPr>
            <w:r w:rsidRPr="00BB24B8">
              <w:rPr>
                <w:rFonts w:asciiTheme="majorHAnsi" w:hAnsiTheme="majorHAnsi" w:cstheme="majorHAnsi"/>
              </w:rPr>
              <w:t xml:space="preserve">The services to manage and follow-up patients on TB treatment in the penitentiary and civil healthcare systems are </w:t>
            </w:r>
            <w:r w:rsidR="00A41230">
              <w:rPr>
                <w:rFonts w:asciiTheme="majorHAnsi" w:hAnsiTheme="majorHAnsi" w:cstheme="majorHAnsi"/>
              </w:rPr>
              <w:t xml:space="preserve">detailed in the section </w:t>
            </w:r>
            <w:r w:rsidR="00A41230" w:rsidRPr="00974FD7">
              <w:rPr>
                <w:rFonts w:cs="Arial"/>
                <w:i/>
              </w:rPr>
              <w:t>TB Control in Penitentiary System.</w:t>
            </w:r>
          </w:p>
          <w:p w14:paraId="4F20B505" w14:textId="77777777" w:rsidR="00450256" w:rsidRPr="00974FD7" w:rsidRDefault="00450256" w:rsidP="00D93095">
            <w:pPr>
              <w:spacing w:after="0" w:line="240" w:lineRule="auto"/>
              <w:jc w:val="both"/>
              <w:rPr>
                <w:rFonts w:cs="Arial"/>
                <w:b/>
              </w:rPr>
            </w:pPr>
          </w:p>
          <w:tbl>
            <w:tblPr>
              <w:tblStyle w:val="aa"/>
              <w:tblW w:w="0" w:type="auto"/>
              <w:tblLayout w:type="fixed"/>
              <w:tblLook w:val="04A0" w:firstRow="1" w:lastRow="0" w:firstColumn="1" w:lastColumn="0" w:noHBand="0" w:noVBand="1"/>
            </w:tblPr>
            <w:tblGrid>
              <w:gridCol w:w="5115"/>
              <w:gridCol w:w="5370"/>
            </w:tblGrid>
            <w:tr w:rsidR="0051641E" w:rsidRPr="006A1EEB" w14:paraId="23E90705" w14:textId="77777777" w:rsidTr="00FB4B6F">
              <w:tc>
                <w:tcPr>
                  <w:tcW w:w="5115" w:type="dxa"/>
                </w:tcPr>
                <w:p w14:paraId="4B8AF00F" w14:textId="0A8FB247" w:rsidR="0051641E" w:rsidRPr="00384D7D" w:rsidRDefault="00550F74" w:rsidP="0051641E">
                  <w:pPr>
                    <w:jc w:val="both"/>
                    <w:rPr>
                      <w:rFonts w:cs="Arial"/>
                      <w:b/>
                      <w:sz w:val="20"/>
                    </w:rPr>
                  </w:pPr>
                  <w:r>
                    <w:rPr>
                      <w:rFonts w:cs="Arial"/>
                      <w:b/>
                      <w:sz w:val="20"/>
                    </w:rPr>
                    <w:t>Figure 22</w:t>
                  </w:r>
                  <w:r w:rsidR="0051641E" w:rsidRPr="00384D7D">
                    <w:rPr>
                      <w:rFonts w:cs="Arial"/>
                      <w:b/>
                      <w:sz w:val="20"/>
                    </w:rPr>
                    <w:t>. TB notification and mortality rates in penitentiary sector, Kazakhstan, 2010-2020</w:t>
                  </w:r>
                </w:p>
              </w:tc>
              <w:tc>
                <w:tcPr>
                  <w:tcW w:w="5370" w:type="dxa"/>
                </w:tcPr>
                <w:p w14:paraId="2C285F9E" w14:textId="15E197F8" w:rsidR="0051641E" w:rsidRPr="00384D7D" w:rsidRDefault="00550F74" w:rsidP="0051641E">
                  <w:pPr>
                    <w:jc w:val="both"/>
                    <w:rPr>
                      <w:rFonts w:cs="Arial"/>
                      <w:b/>
                      <w:sz w:val="20"/>
                    </w:rPr>
                  </w:pPr>
                  <w:r>
                    <w:rPr>
                      <w:rFonts w:cs="Arial"/>
                      <w:b/>
                      <w:sz w:val="20"/>
                    </w:rPr>
                    <w:t>Figure 23</w:t>
                  </w:r>
                  <w:r w:rsidR="0051641E" w:rsidRPr="00550F74">
                    <w:rPr>
                      <w:rFonts w:cs="Arial"/>
                      <w:b/>
                      <w:sz w:val="20"/>
                    </w:rPr>
                    <w:t>.</w:t>
                  </w:r>
                  <w:r w:rsidR="0051641E" w:rsidRPr="00384D7D">
                    <w:rPr>
                      <w:rFonts w:cs="Arial"/>
                      <w:b/>
                      <w:sz w:val="20"/>
                    </w:rPr>
                    <w:t xml:space="preserve"> Number (abs.) of TB cases registered in penitentiary sector, Kazakhstan, 2012-2020</w:t>
                  </w:r>
                </w:p>
              </w:tc>
            </w:tr>
            <w:tr w:rsidR="0051641E" w:rsidRPr="006A1EEB" w14:paraId="08E7FE81" w14:textId="77777777" w:rsidTr="00BE5632">
              <w:trPr>
                <w:trHeight w:val="3173"/>
              </w:trPr>
              <w:tc>
                <w:tcPr>
                  <w:tcW w:w="5115" w:type="dxa"/>
                </w:tcPr>
                <w:p w14:paraId="3DBEFD65" w14:textId="77777777" w:rsidR="0051641E" w:rsidRPr="006A1EEB" w:rsidRDefault="0051641E" w:rsidP="0051641E">
                  <w:pPr>
                    <w:jc w:val="both"/>
                    <w:rPr>
                      <w:rFonts w:cs="Arial"/>
                      <w:color w:val="FF0000"/>
                    </w:rPr>
                  </w:pPr>
                </w:p>
                <w:p w14:paraId="630BD678" w14:textId="77777777" w:rsidR="0051641E" w:rsidRPr="006A1EEB" w:rsidRDefault="0051641E" w:rsidP="0051641E">
                  <w:pPr>
                    <w:jc w:val="both"/>
                    <w:rPr>
                      <w:rFonts w:cs="Arial"/>
                      <w:color w:val="FF0000"/>
                    </w:rPr>
                  </w:pPr>
                  <w:r w:rsidRPr="00DA087D">
                    <w:rPr>
                      <w:rFonts w:cs="Arial"/>
                      <w:noProof/>
                      <w:color w:val="FF0000"/>
                    </w:rPr>
                    <w:drawing>
                      <wp:inline distT="0" distB="0" distL="0" distR="0" wp14:anchorId="7ED8137A" wp14:editId="6317C1D7">
                        <wp:extent cx="3101340" cy="1755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01340" cy="1755140"/>
                                </a:xfrm>
                                <a:prstGeom prst="rect">
                                  <a:avLst/>
                                </a:prstGeom>
                                <a:noFill/>
                                <a:ln>
                                  <a:noFill/>
                                </a:ln>
                              </pic:spPr>
                            </pic:pic>
                          </a:graphicData>
                        </a:graphic>
                      </wp:inline>
                    </w:drawing>
                  </w:r>
                </w:p>
              </w:tc>
              <w:tc>
                <w:tcPr>
                  <w:tcW w:w="5370" w:type="dxa"/>
                </w:tcPr>
                <w:p w14:paraId="582F9E12" w14:textId="77777777" w:rsidR="0051641E" w:rsidRPr="006A1EEB" w:rsidRDefault="0051641E" w:rsidP="0051641E">
                  <w:pPr>
                    <w:jc w:val="both"/>
                    <w:rPr>
                      <w:rFonts w:cs="Arial"/>
                      <w:color w:val="FF0000"/>
                    </w:rPr>
                  </w:pPr>
                </w:p>
                <w:p w14:paraId="35D008A2" w14:textId="77777777" w:rsidR="0051641E" w:rsidRPr="006A1EEB" w:rsidRDefault="0051641E" w:rsidP="0051641E">
                  <w:pPr>
                    <w:jc w:val="both"/>
                    <w:rPr>
                      <w:rFonts w:cs="Arial"/>
                      <w:color w:val="FF0000"/>
                    </w:rPr>
                  </w:pPr>
                  <w:r w:rsidRPr="00DA087D">
                    <w:rPr>
                      <w:rFonts w:cs="Arial"/>
                      <w:noProof/>
                      <w:color w:val="FF0000"/>
                    </w:rPr>
                    <w:drawing>
                      <wp:inline distT="0" distB="0" distL="0" distR="0" wp14:anchorId="658871AA" wp14:editId="055BF8D7">
                        <wp:extent cx="3191510" cy="1755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91510" cy="1755140"/>
                                </a:xfrm>
                                <a:prstGeom prst="rect">
                                  <a:avLst/>
                                </a:prstGeom>
                                <a:noFill/>
                                <a:ln>
                                  <a:noFill/>
                                </a:ln>
                              </pic:spPr>
                            </pic:pic>
                          </a:graphicData>
                        </a:graphic>
                      </wp:inline>
                    </w:drawing>
                  </w:r>
                </w:p>
              </w:tc>
            </w:tr>
          </w:tbl>
          <w:p w14:paraId="1C63B934" w14:textId="787D8AD0" w:rsidR="00713F75" w:rsidRPr="00A8113A" w:rsidRDefault="0051641E" w:rsidP="00713F75">
            <w:pPr>
              <w:spacing w:after="0" w:line="240" w:lineRule="auto"/>
              <w:rPr>
                <w:rFonts w:cs="Arial"/>
                <w:sz w:val="16"/>
                <w:szCs w:val="16"/>
              </w:rPr>
            </w:pPr>
            <w:r w:rsidRPr="00713F75">
              <w:rPr>
                <w:i/>
                <w:sz w:val="16"/>
                <w:szCs w:val="16"/>
              </w:rPr>
              <w:t>Source</w:t>
            </w:r>
            <w:r w:rsidRPr="00713F75">
              <w:rPr>
                <w:sz w:val="16"/>
                <w:szCs w:val="16"/>
              </w:rPr>
              <w:t xml:space="preserve">: </w:t>
            </w:r>
            <w:r w:rsidR="00713F75" w:rsidRPr="00A8113A">
              <w:rPr>
                <w:rFonts w:cs="Arial"/>
                <w:sz w:val="16"/>
                <w:szCs w:val="16"/>
              </w:rPr>
              <w:t xml:space="preserve">Committee of the </w:t>
            </w:r>
            <w:proofErr w:type="gramStart"/>
            <w:r w:rsidR="00713F75" w:rsidRPr="00A8113A">
              <w:rPr>
                <w:rFonts w:cs="Arial"/>
                <w:sz w:val="16"/>
                <w:szCs w:val="16"/>
              </w:rPr>
              <w:t>criminally-executive</w:t>
            </w:r>
            <w:proofErr w:type="gramEnd"/>
            <w:r w:rsidR="00713F75" w:rsidRPr="00A8113A">
              <w:rPr>
                <w:rFonts w:cs="Arial"/>
                <w:sz w:val="16"/>
                <w:szCs w:val="16"/>
              </w:rPr>
              <w:t xml:space="preserve"> system at t</w:t>
            </w:r>
            <w:r w:rsidR="00035C86" w:rsidRPr="00A8113A">
              <w:rPr>
                <w:rFonts w:cs="Arial"/>
                <w:sz w:val="16"/>
                <w:szCs w:val="16"/>
              </w:rPr>
              <w:t>he Ministry of Internal Affairs.</w:t>
            </w:r>
          </w:p>
          <w:p w14:paraId="6A5188A2" w14:textId="03434F7E" w:rsidR="00070798" w:rsidRPr="00CE092A" w:rsidRDefault="00070798" w:rsidP="00CE092A">
            <w:pPr>
              <w:spacing w:before="240" w:line="240" w:lineRule="auto"/>
              <w:rPr>
                <w:rFonts w:asciiTheme="majorHAnsi" w:hAnsiTheme="majorHAnsi" w:cstheme="majorHAnsi"/>
                <w:b/>
              </w:rPr>
            </w:pPr>
            <w:r w:rsidRPr="00CE092A">
              <w:rPr>
                <w:rFonts w:asciiTheme="majorHAnsi" w:eastAsia="Times New Roman" w:hAnsiTheme="majorHAnsi" w:cstheme="majorHAnsi"/>
                <w:b/>
                <w:shd w:val="clear" w:color="auto" w:fill="FFFFFF"/>
              </w:rPr>
              <w:t>P</w:t>
            </w:r>
            <w:r w:rsidRPr="00070798">
              <w:rPr>
                <w:rFonts w:asciiTheme="majorHAnsi" w:eastAsia="Times New Roman" w:hAnsiTheme="majorHAnsi" w:cstheme="majorHAnsi"/>
                <w:b/>
                <w:shd w:val="clear" w:color="auto" w:fill="FFFFFF"/>
              </w:rPr>
              <w:t>eople living with HIV</w:t>
            </w:r>
            <w:r w:rsidRPr="00CE092A">
              <w:rPr>
                <w:rFonts w:asciiTheme="majorHAnsi" w:eastAsia="Times New Roman" w:hAnsiTheme="majorHAnsi" w:cstheme="majorHAnsi"/>
                <w:b/>
              </w:rPr>
              <w:t xml:space="preserve"> (</w:t>
            </w:r>
            <w:r w:rsidR="00007BFF" w:rsidRPr="00CE092A">
              <w:rPr>
                <w:rFonts w:asciiTheme="majorHAnsi" w:hAnsiTheme="majorHAnsi" w:cstheme="majorHAnsi"/>
                <w:b/>
              </w:rPr>
              <w:t>PLHIV</w:t>
            </w:r>
            <w:r w:rsidRPr="00CE092A">
              <w:rPr>
                <w:rFonts w:asciiTheme="majorHAnsi" w:hAnsiTheme="majorHAnsi" w:cstheme="majorHAnsi"/>
                <w:b/>
              </w:rPr>
              <w:t>)</w:t>
            </w:r>
          </w:p>
          <w:p w14:paraId="4686196A" w14:textId="1979BC88" w:rsidR="00D364F2" w:rsidRDefault="00A22D2D" w:rsidP="004100F9">
            <w:pPr>
              <w:spacing w:after="0" w:line="240" w:lineRule="auto"/>
              <w:jc w:val="both"/>
              <w:rPr>
                <w:rFonts w:cs="Arial"/>
              </w:rPr>
            </w:pPr>
            <w:r>
              <w:rPr>
                <w:rFonts w:cs="Arial"/>
              </w:rPr>
              <w:t>I</w:t>
            </w:r>
            <w:r w:rsidRPr="00A22D2D">
              <w:rPr>
                <w:rFonts w:cs="Arial"/>
              </w:rPr>
              <w:t xml:space="preserve">n 2020, 3,343 citizens of Kazakhstan were newly infected with HIV, or 17.9 people per 100,000 population. </w:t>
            </w:r>
            <w:r w:rsidR="00975B59" w:rsidRPr="00975B59">
              <w:rPr>
                <w:rFonts w:cs="Arial"/>
              </w:rPr>
              <w:t xml:space="preserve">The annual increase in HIV incidence was registered over the past ten years, but not in 2020, possibly owing to disruption of testing services during lockdowns as a reason. </w:t>
            </w:r>
            <w:r w:rsidR="006531A0" w:rsidRPr="006531A0">
              <w:rPr>
                <w:rFonts w:cs="Arial"/>
              </w:rPr>
              <w:t>Tuberculosis is th</w:t>
            </w:r>
            <w:r w:rsidR="00C46DC7">
              <w:rPr>
                <w:rFonts w:cs="Arial"/>
              </w:rPr>
              <w:t>e most common co-infection in</w:t>
            </w:r>
            <w:r w:rsidR="006531A0" w:rsidRPr="006531A0">
              <w:rPr>
                <w:rFonts w:cs="Arial"/>
              </w:rPr>
              <w:t xml:space="preserve"> PLHIV and the leading cause of death among HIV patien</w:t>
            </w:r>
            <w:r w:rsidR="00975B59">
              <w:rPr>
                <w:rFonts w:cs="Arial"/>
              </w:rPr>
              <w:t xml:space="preserve">ts. </w:t>
            </w:r>
            <w:r w:rsidR="00E27935">
              <w:rPr>
                <w:rFonts w:cs="Arial"/>
              </w:rPr>
              <w:t>The peak of TB/</w:t>
            </w:r>
            <w:r w:rsidR="00E27935" w:rsidRPr="00E27935">
              <w:rPr>
                <w:rFonts w:cs="Arial"/>
              </w:rPr>
              <w:t>HIV co-infection</w:t>
            </w:r>
            <w:r w:rsidR="0015536A">
              <w:rPr>
                <w:rFonts w:cs="Arial"/>
              </w:rPr>
              <w:t xml:space="preserve"> detection was observed in 2016, amounting</w:t>
            </w:r>
            <w:r w:rsidR="00E27935" w:rsidRPr="00E27935">
              <w:rPr>
                <w:rFonts w:cs="Arial"/>
              </w:rPr>
              <w:t xml:space="preserve"> to 7.2% of the total number of detected HIV ca</w:t>
            </w:r>
            <w:r w:rsidR="00E27935">
              <w:rPr>
                <w:rFonts w:cs="Arial"/>
              </w:rPr>
              <w:t xml:space="preserve">ses. Over the past five years, </w:t>
            </w:r>
            <w:r w:rsidR="00E27935" w:rsidRPr="00E27935">
              <w:rPr>
                <w:rFonts w:cs="Arial"/>
              </w:rPr>
              <w:t>the co-infection preva</w:t>
            </w:r>
            <w:r w:rsidR="00E27935">
              <w:rPr>
                <w:rFonts w:cs="Arial"/>
              </w:rPr>
              <w:t>lence in case notifications</w:t>
            </w:r>
            <w:r w:rsidR="0015536A">
              <w:rPr>
                <w:rFonts w:cs="Arial"/>
              </w:rPr>
              <w:t xml:space="preserve"> was declined</w:t>
            </w:r>
            <w:r w:rsidR="00E27935" w:rsidRPr="00E27935">
              <w:rPr>
                <w:rFonts w:cs="Arial"/>
              </w:rPr>
              <w:t xml:space="preserve">. At the end of 2020, among 3,343 </w:t>
            </w:r>
            <w:r w:rsidR="00E27935">
              <w:rPr>
                <w:rFonts w:cs="Arial"/>
              </w:rPr>
              <w:t xml:space="preserve">new </w:t>
            </w:r>
            <w:r w:rsidR="00E27935" w:rsidRPr="00E27935">
              <w:rPr>
                <w:rFonts w:cs="Arial"/>
              </w:rPr>
              <w:t xml:space="preserve">HIV cases, 134 people </w:t>
            </w:r>
            <w:r w:rsidR="0015536A">
              <w:rPr>
                <w:rFonts w:cs="Arial"/>
              </w:rPr>
              <w:t xml:space="preserve">were reported to be </w:t>
            </w:r>
            <w:r w:rsidR="00E27935" w:rsidRPr="00E27935">
              <w:rPr>
                <w:rFonts w:cs="Arial"/>
              </w:rPr>
              <w:t>with TB/HIV co-</w:t>
            </w:r>
            <w:r w:rsidR="00E27935">
              <w:rPr>
                <w:rFonts w:cs="Arial"/>
              </w:rPr>
              <w:t xml:space="preserve">infection (4.0%) </w:t>
            </w:r>
            <w:r w:rsidR="006531A0" w:rsidRPr="006531A0">
              <w:rPr>
                <w:rFonts w:cs="Arial"/>
              </w:rPr>
              <w:t xml:space="preserve">(Figure </w:t>
            </w:r>
            <w:r w:rsidR="004100F9">
              <w:rPr>
                <w:rFonts w:cs="Arial"/>
              </w:rPr>
              <w:t>24</w:t>
            </w:r>
            <w:r w:rsidR="006531A0" w:rsidRPr="004100F9">
              <w:rPr>
                <w:rFonts w:cs="Arial"/>
              </w:rPr>
              <w:t>)</w:t>
            </w:r>
            <w:r w:rsidR="006531A0" w:rsidRPr="006531A0">
              <w:rPr>
                <w:rFonts w:cs="Arial"/>
              </w:rPr>
              <w:t>.</w:t>
            </w:r>
          </w:p>
          <w:p w14:paraId="3B3BC5B7" w14:textId="77777777" w:rsidR="004100F9" w:rsidRPr="006531A0" w:rsidRDefault="004100F9" w:rsidP="004100F9">
            <w:pPr>
              <w:spacing w:after="0" w:line="240" w:lineRule="auto"/>
              <w:jc w:val="both"/>
              <w:rPr>
                <w:rFonts w:cs="Arial"/>
              </w:rPr>
            </w:pPr>
          </w:p>
          <w:p w14:paraId="3DB87D72" w14:textId="675613A2" w:rsidR="00FE4C15" w:rsidRPr="008C4E79" w:rsidRDefault="007D713B" w:rsidP="008C4E79">
            <w:pPr>
              <w:rPr>
                <w:rFonts w:cs="Arial"/>
                <w:b/>
              </w:rPr>
            </w:pPr>
            <w:r>
              <w:rPr>
                <w:rFonts w:cs="Arial"/>
                <w:b/>
              </w:rPr>
              <w:t>Figure 24</w:t>
            </w:r>
            <w:r w:rsidR="006531A0" w:rsidRPr="00E27935">
              <w:rPr>
                <w:rFonts w:cs="Arial"/>
                <w:b/>
              </w:rPr>
              <w:t>. HIV notification and TB / HIV co</w:t>
            </w:r>
            <w:r w:rsidR="00E27935" w:rsidRPr="00E27935">
              <w:rPr>
                <w:rFonts w:cs="Arial"/>
                <w:b/>
              </w:rPr>
              <w:t>-</w:t>
            </w:r>
            <w:r w:rsidR="006531A0" w:rsidRPr="00E27935">
              <w:rPr>
                <w:rFonts w:cs="Arial"/>
                <w:b/>
              </w:rPr>
              <w:t>infection rates, Kazakhstan, 2011-2020</w:t>
            </w:r>
          </w:p>
          <w:p w14:paraId="69B165BD" w14:textId="77777777" w:rsidR="00FE4C15" w:rsidRDefault="00FE4C15" w:rsidP="00FE4C15">
            <w:pPr>
              <w:jc w:val="center"/>
              <w:rPr>
                <w:rFonts w:cs="Arial"/>
                <w:color w:val="FF0000"/>
                <w:lang w:val="ru-RU"/>
              </w:rPr>
            </w:pPr>
            <w:r>
              <w:rPr>
                <w:noProof/>
              </w:rPr>
              <w:drawing>
                <wp:inline distT="0" distB="0" distL="0" distR="0" wp14:anchorId="0ED2215F" wp14:editId="2FFF9BD9">
                  <wp:extent cx="6367780" cy="1313180"/>
                  <wp:effectExtent l="0" t="0" r="33020" b="330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277713A" w14:textId="5D265F4D" w:rsidR="009E6060" w:rsidRPr="00974FD7" w:rsidRDefault="002045F2" w:rsidP="009E6060">
            <w:pPr>
              <w:spacing w:after="0" w:line="240" w:lineRule="auto"/>
              <w:rPr>
                <w:sz w:val="16"/>
                <w:szCs w:val="16"/>
              </w:rPr>
            </w:pPr>
            <w:r w:rsidRPr="00200A5E">
              <w:rPr>
                <w:i/>
                <w:sz w:val="16"/>
                <w:szCs w:val="16"/>
              </w:rPr>
              <w:t xml:space="preserve">     </w:t>
            </w:r>
            <w:r w:rsidR="00FE4C15" w:rsidRPr="00200A5E">
              <w:rPr>
                <w:i/>
                <w:sz w:val="16"/>
                <w:szCs w:val="16"/>
              </w:rPr>
              <w:t>Source</w:t>
            </w:r>
            <w:r w:rsidR="00FE4C15" w:rsidRPr="00974FD7">
              <w:rPr>
                <w:i/>
                <w:sz w:val="16"/>
                <w:szCs w:val="16"/>
              </w:rPr>
              <w:t>:</w:t>
            </w:r>
            <w:r w:rsidR="00FE4C15" w:rsidRPr="00974FD7">
              <w:rPr>
                <w:sz w:val="16"/>
                <w:szCs w:val="16"/>
              </w:rPr>
              <w:t xml:space="preserve"> </w:t>
            </w:r>
            <w:r w:rsidR="00200A5E" w:rsidRPr="00200A5E">
              <w:rPr>
                <w:rFonts w:cs="Arial"/>
                <w:sz w:val="16"/>
                <w:szCs w:val="16"/>
              </w:rPr>
              <w:t>Kazakh Scientific Center of Dermatology and Infectious Diseases</w:t>
            </w:r>
            <w:r w:rsidR="00200A5E">
              <w:rPr>
                <w:rFonts w:cs="Arial"/>
                <w:sz w:val="16"/>
                <w:szCs w:val="16"/>
              </w:rPr>
              <w:t>.</w:t>
            </w:r>
          </w:p>
          <w:p w14:paraId="63991556" w14:textId="77777777" w:rsidR="00CD000A" w:rsidRPr="007B2FF3" w:rsidRDefault="00CD000A" w:rsidP="00123C75">
            <w:pPr>
              <w:widowControl w:val="0"/>
              <w:autoSpaceDE w:val="0"/>
              <w:autoSpaceDN w:val="0"/>
              <w:adjustRightInd w:val="0"/>
              <w:spacing w:before="240" w:line="240" w:lineRule="auto"/>
              <w:jc w:val="both"/>
              <w:rPr>
                <w:rFonts w:asciiTheme="majorHAnsi" w:hAnsiTheme="majorHAnsi" w:cs="Arial"/>
                <w:b/>
              </w:rPr>
            </w:pPr>
            <w:r w:rsidRPr="007B2FF3">
              <w:rPr>
                <w:rFonts w:asciiTheme="majorHAnsi" w:hAnsiTheme="majorHAnsi" w:cs="Arial"/>
                <w:b/>
              </w:rPr>
              <w:t>Migrants</w:t>
            </w:r>
          </w:p>
          <w:p w14:paraId="0EEDB73B" w14:textId="75442137" w:rsidR="00036341" w:rsidRPr="00036341" w:rsidRDefault="00CD000A" w:rsidP="00036341">
            <w:pPr>
              <w:autoSpaceDE w:val="0"/>
              <w:autoSpaceDN w:val="0"/>
              <w:adjustRightInd w:val="0"/>
              <w:spacing w:after="0" w:line="240" w:lineRule="auto"/>
              <w:jc w:val="both"/>
              <w:rPr>
                <w:rFonts w:asciiTheme="majorHAnsi" w:hAnsiTheme="majorHAnsi"/>
              </w:rPr>
            </w:pPr>
            <w:r w:rsidRPr="007E12AF">
              <w:rPr>
                <w:rFonts w:asciiTheme="majorHAnsi" w:hAnsiTheme="majorHAnsi" w:cs="Arial"/>
              </w:rPr>
              <w:t>The majo</w:t>
            </w:r>
            <w:r>
              <w:rPr>
                <w:rFonts w:asciiTheme="majorHAnsi" w:hAnsiTheme="majorHAnsi" w:cs="Arial"/>
              </w:rPr>
              <w:t>r migration trends in Kazakhstan</w:t>
            </w:r>
            <w:r w:rsidRPr="007E12AF">
              <w:rPr>
                <w:rFonts w:asciiTheme="majorHAnsi" w:hAnsiTheme="majorHAnsi" w:cs="Arial"/>
              </w:rPr>
              <w:t xml:space="preserve"> include labor migration from countries of Central Asia; immigration; internal migration, mainly resettlement of the population from rural areas, small and medium-sized cities to the me</w:t>
            </w:r>
            <w:r>
              <w:rPr>
                <w:rFonts w:asciiTheme="majorHAnsi" w:hAnsiTheme="majorHAnsi" w:cs="Arial"/>
              </w:rPr>
              <w:t>p</w:t>
            </w:r>
            <w:r w:rsidRPr="007E12AF">
              <w:rPr>
                <w:rFonts w:asciiTheme="majorHAnsi" w:hAnsiTheme="majorHAnsi" w:cs="Arial"/>
              </w:rPr>
              <w:t>tropolis.</w:t>
            </w:r>
            <w:r w:rsidRPr="007E12AF">
              <w:rPr>
                <w:rFonts w:asciiTheme="majorHAnsi" w:hAnsiTheme="majorHAnsi" w:cs="Arial" w:hint="eastAsia"/>
                <w:vertAlign w:val="superscript"/>
              </w:rPr>
              <w:footnoteReference w:id="42"/>
            </w:r>
            <w:r w:rsidRPr="007E12AF">
              <w:rPr>
                <w:rFonts w:asciiTheme="majorHAnsi" w:hAnsiTheme="majorHAnsi" w:cs="Arial"/>
                <w:vertAlign w:val="superscript"/>
              </w:rPr>
              <w:t xml:space="preserve"> </w:t>
            </w:r>
            <w:r>
              <w:rPr>
                <w:rFonts w:asciiTheme="majorHAnsi" w:hAnsiTheme="majorHAnsi" w:cs="Arial"/>
              </w:rPr>
              <w:t>T</w:t>
            </w:r>
            <w:r w:rsidRPr="00AA1485">
              <w:rPr>
                <w:rFonts w:asciiTheme="majorHAnsi" w:hAnsiTheme="majorHAnsi" w:cs="Arial"/>
              </w:rPr>
              <w:t>he national and international legal instruments shape the social and health protection of migrants</w:t>
            </w:r>
            <w:r>
              <w:rPr>
                <w:rFonts w:asciiTheme="majorHAnsi" w:hAnsiTheme="majorHAnsi" w:cs="Arial"/>
              </w:rPr>
              <w:t xml:space="preserve"> in the country</w:t>
            </w:r>
            <w:r w:rsidRPr="00AA1485">
              <w:rPr>
                <w:rFonts w:asciiTheme="majorHAnsi" w:hAnsiTheme="majorHAnsi" w:cs="Arial"/>
              </w:rPr>
              <w:t>.</w:t>
            </w:r>
            <w:r>
              <w:rPr>
                <w:rFonts w:asciiTheme="majorHAnsi" w:hAnsiTheme="majorHAnsi" w:cs="Arial"/>
              </w:rPr>
              <w:t xml:space="preserve"> </w:t>
            </w:r>
            <w:r w:rsidRPr="00AA1485">
              <w:rPr>
                <w:rFonts w:asciiTheme="majorHAnsi" w:hAnsiTheme="majorHAnsi" w:cs="Arial"/>
              </w:rPr>
              <w:t xml:space="preserve">Kazakhstan is a signatory to </w:t>
            </w:r>
            <w:r>
              <w:rPr>
                <w:rFonts w:asciiTheme="majorHAnsi" w:hAnsiTheme="majorHAnsi" w:cs="Arial"/>
              </w:rPr>
              <w:t xml:space="preserve">the </w:t>
            </w:r>
            <w:r w:rsidRPr="00AA1485">
              <w:rPr>
                <w:rFonts w:asciiTheme="majorHAnsi" w:hAnsiTheme="majorHAnsi" w:cs="Arial"/>
              </w:rPr>
              <w:t>1951 Refugee Convention and its Protocol</w:t>
            </w:r>
            <w:r w:rsidRPr="00AA1485">
              <w:rPr>
                <w:rStyle w:val="af"/>
                <w:rFonts w:asciiTheme="majorHAnsi" w:hAnsiTheme="majorHAnsi"/>
              </w:rPr>
              <w:footnoteReference w:id="43"/>
            </w:r>
            <w:r w:rsidRPr="00AA1485">
              <w:rPr>
                <w:rFonts w:asciiTheme="majorHAnsi" w:hAnsiTheme="majorHAnsi" w:cs="Arial"/>
              </w:rPr>
              <w:t xml:space="preserve"> and party to most human rights treaties</w:t>
            </w:r>
            <w:r w:rsidRPr="00AA1485">
              <w:rPr>
                <w:rFonts w:asciiTheme="majorHAnsi" w:hAnsiTheme="majorHAnsi" w:cs="Arial"/>
                <w:vertAlign w:val="superscript"/>
              </w:rPr>
              <w:footnoteReference w:id="44"/>
            </w:r>
            <w:r w:rsidRPr="00AA1485">
              <w:rPr>
                <w:rFonts w:asciiTheme="majorHAnsi" w:hAnsiTheme="majorHAnsi" w:cs="Arial"/>
              </w:rPr>
              <w:t>, women’s rights, children’s rights, disabled and migrants’ rights</w:t>
            </w:r>
            <w:r>
              <w:t>,</w:t>
            </w:r>
            <w:r w:rsidRPr="00AA1485">
              <w:rPr>
                <w:rFonts w:asciiTheme="majorHAnsi" w:hAnsiTheme="majorHAnsi" w:cs="Arial"/>
              </w:rPr>
              <w:t xml:space="preserve"> as well as to agreements on international goals regarding education, health</w:t>
            </w:r>
            <w:r>
              <w:rPr>
                <w:rFonts w:asciiTheme="majorHAnsi" w:hAnsiTheme="majorHAnsi" w:cs="Arial"/>
              </w:rPr>
              <w:t>,</w:t>
            </w:r>
            <w:r w:rsidRPr="00AA1485">
              <w:rPr>
                <w:rFonts w:asciiTheme="majorHAnsi" w:hAnsiTheme="majorHAnsi" w:cs="Arial"/>
              </w:rPr>
              <w:t xml:space="preserve"> and poverty eradication. The country also </w:t>
            </w:r>
            <w:r w:rsidRPr="00AA1485">
              <w:rPr>
                <w:rFonts w:asciiTheme="majorHAnsi" w:hAnsiTheme="majorHAnsi"/>
                <w:color w:val="212326"/>
              </w:rPr>
              <w:t>shares the objectives of the Universal Declaration</w:t>
            </w:r>
            <w:r>
              <w:rPr>
                <w:rFonts w:asciiTheme="majorHAnsi" w:hAnsiTheme="majorHAnsi"/>
                <w:color w:val="212326"/>
              </w:rPr>
              <w:t xml:space="preserve"> of Human Rights </w:t>
            </w:r>
            <w:r w:rsidRPr="00AA1485">
              <w:rPr>
                <w:rFonts w:asciiTheme="majorHAnsi" w:hAnsiTheme="majorHAnsi"/>
                <w:color w:val="212326"/>
              </w:rPr>
              <w:t>that</w:t>
            </w:r>
            <w:r>
              <w:rPr>
                <w:rFonts w:asciiTheme="majorHAnsi" w:hAnsiTheme="majorHAnsi"/>
                <w:color w:val="212326"/>
              </w:rPr>
              <w:t xml:space="preserve"> </w:t>
            </w:r>
            <w:r w:rsidRPr="00AA1485">
              <w:rPr>
                <w:rFonts w:asciiTheme="majorHAnsi" w:hAnsiTheme="majorHAnsi"/>
                <w:color w:val="212326"/>
              </w:rPr>
              <w:t xml:space="preserve">forms the context of </w:t>
            </w:r>
            <w:r>
              <w:rPr>
                <w:rFonts w:asciiTheme="majorHAnsi" w:hAnsiTheme="majorHAnsi"/>
                <w:color w:val="212326"/>
              </w:rPr>
              <w:t xml:space="preserve">its legal system. In 2018, it adopted the Declaration of the United Nations High-Level Meeting on Tuberculosis. </w:t>
            </w:r>
            <w:r>
              <w:rPr>
                <w:rFonts w:asciiTheme="majorHAnsi" w:hAnsiTheme="majorHAnsi" w:cs="Arial"/>
              </w:rPr>
              <w:t>The s</w:t>
            </w:r>
            <w:r w:rsidRPr="009367F0">
              <w:rPr>
                <w:rFonts w:asciiTheme="majorHAnsi" w:hAnsiTheme="majorHAnsi" w:cs="Arial"/>
              </w:rPr>
              <w:t>ignatory to several reg</w:t>
            </w:r>
            <w:r>
              <w:rPr>
                <w:rFonts w:asciiTheme="majorHAnsi" w:hAnsiTheme="majorHAnsi" w:cs="Arial"/>
              </w:rPr>
              <w:t xml:space="preserve">ional international instruments, including the Treaty on the Eurasian Economic Union, CIS </w:t>
            </w:r>
            <w:proofErr w:type="gramStart"/>
            <w:r>
              <w:rPr>
                <w:rFonts w:asciiTheme="majorHAnsi" w:hAnsiTheme="majorHAnsi" w:cs="Arial"/>
              </w:rPr>
              <w:t>Agreements</w:t>
            </w:r>
            <w:proofErr w:type="gramEnd"/>
            <w:r>
              <w:rPr>
                <w:rFonts w:asciiTheme="majorHAnsi" w:hAnsiTheme="majorHAnsi" w:cs="Arial"/>
              </w:rPr>
              <w:t xml:space="preserve"> and bilateral agreements in the field of labor migration, guarantee access of migrants and their family members to social protection and social security schemes. </w:t>
            </w:r>
            <w:r>
              <w:rPr>
                <w:rFonts w:asciiTheme="majorHAnsi" w:eastAsia="Times New Roman" w:hAnsiTheme="majorHAnsi" w:cs="Times New Roman"/>
                <w:color w:val="222222"/>
                <w:shd w:val="clear" w:color="auto" w:fill="FFFFFF"/>
              </w:rPr>
              <w:t>Domestic instruments, including Constitution of RK, Laws</w:t>
            </w:r>
            <w:r>
              <w:rPr>
                <w:rStyle w:val="af"/>
                <w:rFonts w:asciiTheme="majorHAnsi" w:eastAsia="Times New Roman" w:hAnsiTheme="majorHAnsi" w:cs="Times New Roman"/>
                <w:color w:val="222222"/>
                <w:shd w:val="clear" w:color="auto" w:fill="FFFFFF"/>
              </w:rPr>
              <w:footnoteReference w:id="45"/>
            </w:r>
            <w:r w:rsidR="00905AC7">
              <w:rPr>
                <w:rFonts w:asciiTheme="majorHAnsi" w:eastAsia="Times New Roman" w:hAnsiTheme="majorHAnsi" w:cs="Times New Roman"/>
                <w:color w:val="222222"/>
                <w:shd w:val="clear" w:color="auto" w:fill="FFFFFF"/>
              </w:rPr>
              <w:t>, Code on h</w:t>
            </w:r>
            <w:r>
              <w:rPr>
                <w:rFonts w:asciiTheme="majorHAnsi" w:eastAsia="Times New Roman" w:hAnsiTheme="majorHAnsi" w:cs="Times New Roman"/>
                <w:color w:val="222222"/>
                <w:shd w:val="clear" w:color="auto" w:fill="FFFFFF"/>
              </w:rPr>
              <w:t xml:space="preserve">ealth </w:t>
            </w:r>
            <w:r w:rsidR="00905AC7">
              <w:rPr>
                <w:rFonts w:asciiTheme="majorHAnsi" w:eastAsia="Times New Roman" w:hAnsiTheme="majorHAnsi" w:cs="Times New Roman"/>
                <w:color w:val="222222"/>
                <w:shd w:val="clear" w:color="auto" w:fill="FFFFFF"/>
              </w:rPr>
              <w:t>and healthcare s</w:t>
            </w:r>
            <w:r>
              <w:rPr>
                <w:rFonts w:asciiTheme="majorHAnsi" w:eastAsia="Times New Roman" w:hAnsiTheme="majorHAnsi" w:cs="Times New Roman"/>
                <w:color w:val="222222"/>
                <w:shd w:val="clear" w:color="auto" w:fill="FFFFFF"/>
              </w:rPr>
              <w:t xml:space="preserve">ystem, and respective orders of the MoH, ensure the same rights as citizens </w:t>
            </w:r>
            <w:proofErr w:type="gramStart"/>
            <w:r>
              <w:rPr>
                <w:rFonts w:asciiTheme="majorHAnsi" w:eastAsia="Times New Roman" w:hAnsiTheme="majorHAnsi" w:cs="Times New Roman"/>
                <w:color w:val="222222"/>
                <w:shd w:val="clear" w:color="auto" w:fill="FFFFFF"/>
              </w:rPr>
              <w:t>have to</w:t>
            </w:r>
            <w:proofErr w:type="gramEnd"/>
            <w:r>
              <w:rPr>
                <w:rFonts w:asciiTheme="majorHAnsi" w:eastAsia="Times New Roman" w:hAnsiTheme="majorHAnsi" w:cs="Times New Roman"/>
                <w:color w:val="222222"/>
                <w:shd w:val="clear" w:color="auto" w:fill="FFFFFF"/>
              </w:rPr>
              <w:t xml:space="preserve"> </w:t>
            </w:r>
            <w:r w:rsidRPr="0045786C">
              <w:rPr>
                <w:rFonts w:asciiTheme="majorHAnsi" w:hAnsiTheme="majorHAnsi"/>
              </w:rPr>
              <w:t>oralmans, refugees, as well as foreigners and stateless persons</w:t>
            </w:r>
            <w:r>
              <w:rPr>
                <w:rFonts w:asciiTheme="majorHAnsi" w:eastAsia="Times New Roman" w:hAnsiTheme="majorHAnsi" w:cs="Times New Roman"/>
                <w:color w:val="222222"/>
                <w:shd w:val="clear" w:color="auto" w:fill="FFFFFF"/>
              </w:rPr>
              <w:t xml:space="preserve"> </w:t>
            </w:r>
            <w:r w:rsidRPr="0045786C">
              <w:rPr>
                <w:rFonts w:asciiTheme="majorHAnsi" w:hAnsiTheme="majorHAnsi"/>
              </w:rPr>
              <w:t xml:space="preserve">permanently residing in </w:t>
            </w:r>
            <w:r>
              <w:rPr>
                <w:rFonts w:asciiTheme="majorHAnsi" w:hAnsiTheme="majorHAnsi"/>
              </w:rPr>
              <w:t>the country</w:t>
            </w:r>
            <w:r>
              <w:rPr>
                <w:rFonts w:asciiTheme="majorHAnsi" w:eastAsia="Times New Roman" w:hAnsiTheme="majorHAnsi" w:cs="Times New Roman"/>
                <w:color w:val="222222"/>
                <w:shd w:val="clear" w:color="auto" w:fill="FFFFFF"/>
              </w:rPr>
              <w:t xml:space="preserve"> in accessing the volume of free medical care</w:t>
            </w:r>
            <w:r>
              <w:rPr>
                <w:rFonts w:asciiTheme="majorHAnsi" w:hAnsiTheme="majorHAnsi"/>
              </w:rPr>
              <w:t>. For temporarily residing population groups,</w:t>
            </w:r>
            <w:r w:rsidRPr="0045786C">
              <w:rPr>
                <w:rFonts w:asciiTheme="majorHAnsi" w:hAnsiTheme="majorHAnsi"/>
              </w:rPr>
              <w:t xml:space="preserve"> a guaranteed volume of free medical care </w:t>
            </w:r>
            <w:r>
              <w:rPr>
                <w:rFonts w:asciiTheme="majorHAnsi" w:hAnsiTheme="majorHAnsi"/>
              </w:rPr>
              <w:t xml:space="preserve">is limited to the treatment of </w:t>
            </w:r>
            <w:r w:rsidRPr="0045786C">
              <w:rPr>
                <w:rFonts w:asciiTheme="majorHAnsi" w:hAnsiTheme="majorHAnsi"/>
              </w:rPr>
              <w:t>diseas</w:t>
            </w:r>
            <w:r>
              <w:rPr>
                <w:rFonts w:asciiTheme="majorHAnsi" w:hAnsiTheme="majorHAnsi"/>
              </w:rPr>
              <w:t>es that pose a health risk to others, including tuberculosis.</w:t>
            </w:r>
            <w:r w:rsidR="00036341">
              <w:rPr>
                <w:rFonts w:asciiTheme="majorHAnsi" w:hAnsiTheme="majorHAnsi"/>
              </w:rPr>
              <w:t xml:space="preserve"> </w:t>
            </w:r>
            <w:r w:rsidR="00036341" w:rsidRPr="008B2411">
              <w:rPr>
                <w:rFonts w:cs="Arial"/>
              </w:rPr>
              <w:t>Foreigners and non-residents, who are permanently residing in the country and returnees, enjoy similar rights and bear the s</w:t>
            </w:r>
            <w:r w:rsidR="00036341">
              <w:rPr>
                <w:rFonts w:cs="Arial"/>
              </w:rPr>
              <w:t xml:space="preserve">ame obligations as citizens of </w:t>
            </w:r>
            <w:r w:rsidR="00E87894">
              <w:rPr>
                <w:rFonts w:cs="Arial"/>
              </w:rPr>
              <w:t xml:space="preserve">the </w:t>
            </w:r>
            <w:r w:rsidR="00036341">
              <w:rPr>
                <w:rFonts w:cs="Arial"/>
              </w:rPr>
              <w:t>RK in accessing the services in the system of CSHI</w:t>
            </w:r>
            <w:r w:rsidR="00036341" w:rsidRPr="008B2411">
              <w:rPr>
                <w:rFonts w:cs="Arial"/>
              </w:rPr>
              <w:t>.</w:t>
            </w:r>
          </w:p>
          <w:p w14:paraId="0D5D8154" w14:textId="77777777" w:rsidR="004075D4" w:rsidRDefault="004075D4" w:rsidP="00CD000A">
            <w:pPr>
              <w:autoSpaceDE w:val="0"/>
              <w:autoSpaceDN w:val="0"/>
              <w:adjustRightInd w:val="0"/>
              <w:spacing w:after="0" w:line="240" w:lineRule="auto"/>
              <w:jc w:val="both"/>
              <w:rPr>
                <w:rFonts w:asciiTheme="majorHAnsi" w:hAnsiTheme="majorHAnsi"/>
              </w:rPr>
            </w:pPr>
          </w:p>
          <w:p w14:paraId="22C85F24" w14:textId="7500D0A2" w:rsidR="007A2B94" w:rsidRDefault="007A2B94" w:rsidP="00711695">
            <w:pPr>
              <w:autoSpaceDE w:val="0"/>
              <w:autoSpaceDN w:val="0"/>
              <w:adjustRightInd w:val="0"/>
              <w:spacing w:after="0" w:line="240" w:lineRule="auto"/>
              <w:jc w:val="both"/>
              <w:rPr>
                <w:rFonts w:asciiTheme="majorHAnsi" w:hAnsiTheme="majorHAnsi"/>
              </w:rPr>
            </w:pPr>
            <w:r w:rsidRPr="009D76E1">
              <w:rPr>
                <w:rFonts w:asciiTheme="majorHAnsi" w:hAnsiTheme="majorHAnsi"/>
              </w:rPr>
              <w:t xml:space="preserve">A range of projects has been implemented in migration health through the NGO network. The interventions aimed to facilitate migrants and refugees' better access to healthcare services, including TB service, and promote their rights to health, prevent communicable and NCD diseases and cross border infection transmission. Poor living conditions, low educational background, restrictive laws and policies, low awareness of services available and registration requirements, and inadequate access to care make migrants vulnerable to pulmonary TB. </w:t>
            </w:r>
            <w:r w:rsidR="00711695" w:rsidRPr="004075D4">
              <w:rPr>
                <w:rFonts w:asciiTheme="majorHAnsi" w:hAnsiTheme="majorHAnsi"/>
              </w:rPr>
              <w:t>The number of new cases of tuberculosis detected in foreign-born persons made up 11</w:t>
            </w:r>
            <w:r w:rsidR="00B017B3">
              <w:rPr>
                <w:rFonts w:asciiTheme="majorHAnsi" w:hAnsiTheme="majorHAnsi"/>
              </w:rPr>
              <w:t>8 in nine months of 2021 and 178 in 2020 compared to</w:t>
            </w:r>
            <w:r w:rsidR="00711695" w:rsidRPr="004075D4">
              <w:rPr>
                <w:rFonts w:asciiTheme="majorHAnsi" w:hAnsiTheme="majorHAnsi"/>
              </w:rPr>
              <w:t xml:space="preserve"> 187 in 2019.</w:t>
            </w:r>
          </w:p>
          <w:p w14:paraId="38BEBC2C" w14:textId="1F399F6C" w:rsidR="00007BFF" w:rsidRPr="0009615F" w:rsidRDefault="0009615F" w:rsidP="0009615F">
            <w:pPr>
              <w:spacing w:before="360" w:after="240" w:line="240" w:lineRule="auto"/>
              <w:rPr>
                <w:rFonts w:cs="Arial"/>
                <w:b/>
                <w:bCs/>
                <w:smallCaps/>
              </w:rPr>
            </w:pPr>
            <w:r>
              <w:rPr>
                <w:rFonts w:cs="Arial"/>
                <w:b/>
                <w:bCs/>
                <w:smallCaps/>
              </w:rPr>
              <w:t>TB Response: Progress, Challenges and O</w:t>
            </w:r>
            <w:r w:rsidR="00007BFF" w:rsidRPr="0009615F">
              <w:rPr>
                <w:rFonts w:cs="Arial"/>
                <w:b/>
                <w:bCs/>
                <w:smallCaps/>
              </w:rPr>
              <w:t>pportunities</w:t>
            </w:r>
          </w:p>
          <w:p w14:paraId="25288651" w14:textId="757656CD" w:rsidR="00A12359" w:rsidRDefault="00A12359" w:rsidP="009E6060">
            <w:pPr>
              <w:spacing w:after="0" w:line="240" w:lineRule="auto"/>
              <w:jc w:val="both"/>
              <w:rPr>
                <w:rFonts w:cs="Arial"/>
              </w:rPr>
            </w:pPr>
            <w:r w:rsidRPr="00A12359">
              <w:rPr>
                <w:rFonts w:cs="Arial"/>
              </w:rPr>
              <w:t>The Ministry of Heal</w:t>
            </w:r>
            <w:r w:rsidR="00E87894">
              <w:rPr>
                <w:rFonts w:cs="Arial"/>
              </w:rPr>
              <w:t>th of the RK</w:t>
            </w:r>
            <w:r w:rsidRPr="00A12359">
              <w:rPr>
                <w:rFonts w:cs="Arial"/>
              </w:rPr>
              <w:t xml:space="preserve"> bears primary responsibility for</w:t>
            </w:r>
            <w:r w:rsidR="006E7902">
              <w:rPr>
                <w:rFonts w:cs="Arial"/>
              </w:rPr>
              <w:t xml:space="preserve"> TB response and recognizes tuberculosis</w:t>
            </w:r>
            <w:r w:rsidRPr="00A12359">
              <w:rPr>
                <w:rFonts w:cs="Arial"/>
              </w:rPr>
              <w:t xml:space="preserve"> as</w:t>
            </w:r>
            <w:r w:rsidR="0040172B">
              <w:rPr>
                <w:rFonts w:cs="Arial"/>
              </w:rPr>
              <w:t xml:space="preserve"> a public health priority. The national TB</w:t>
            </w:r>
            <w:r w:rsidRPr="00A12359">
              <w:rPr>
                <w:rFonts w:cs="Arial"/>
              </w:rPr>
              <w:t xml:space="preserve"> </w:t>
            </w:r>
            <w:r w:rsidR="0040172B">
              <w:rPr>
                <w:rFonts w:cs="Arial"/>
              </w:rPr>
              <w:t>program</w:t>
            </w:r>
            <w:r w:rsidRPr="00A12359">
              <w:rPr>
                <w:rFonts w:cs="Arial"/>
              </w:rPr>
              <w:t xml:space="preserve"> implementation is coordinated by the National Scientific</w:t>
            </w:r>
            <w:r w:rsidR="00246261">
              <w:rPr>
                <w:rFonts w:cs="Arial"/>
              </w:rPr>
              <w:t xml:space="preserve"> Center of Phthisiopulmonology</w:t>
            </w:r>
            <w:r w:rsidR="00A22ABD">
              <w:rPr>
                <w:rFonts w:cs="Arial"/>
              </w:rPr>
              <w:t>. In past</w:t>
            </w:r>
            <w:r w:rsidRPr="00A12359">
              <w:rPr>
                <w:rFonts w:cs="Arial"/>
              </w:rPr>
              <w:t xml:space="preserve"> year</w:t>
            </w:r>
            <w:r w:rsidR="0015536A">
              <w:rPr>
                <w:rFonts w:cs="Arial"/>
              </w:rPr>
              <w:t>s, national measures to combat t</w:t>
            </w:r>
            <w:r w:rsidRPr="00A12359">
              <w:rPr>
                <w:rFonts w:cs="Arial"/>
              </w:rPr>
              <w:t>uberculosis have been determined by the Comprehensive Plan to Control Tuberculosis in the Republic of Kazakhstan for 2014-2020. This plan was built on the progress made in the national tuberculosis control programs since 1998, aligned with the WHO Tuberculosis Strategy, and focused on strategic interve</w:t>
            </w:r>
            <w:r w:rsidR="0015536A">
              <w:rPr>
                <w:rFonts w:cs="Arial"/>
              </w:rPr>
              <w:t>ntions to reduce the burden of tuberculosis and</w:t>
            </w:r>
            <w:r w:rsidRPr="00A12359">
              <w:rPr>
                <w:rFonts w:cs="Arial"/>
              </w:rPr>
              <w:t xml:space="preserve"> on </w:t>
            </w:r>
            <w:r w:rsidR="0015536A">
              <w:rPr>
                <w:rFonts w:cs="Arial"/>
              </w:rPr>
              <w:t xml:space="preserve">organization of the </w:t>
            </w:r>
            <w:r w:rsidRPr="00A12359">
              <w:rPr>
                <w:rFonts w:cs="Arial"/>
              </w:rPr>
              <w:t xml:space="preserve">patient-centered </w:t>
            </w:r>
            <w:r w:rsidR="0015536A">
              <w:rPr>
                <w:rFonts w:cs="Arial"/>
              </w:rPr>
              <w:t xml:space="preserve">care. The </w:t>
            </w:r>
            <w:r w:rsidR="0015536A" w:rsidRPr="00A12359">
              <w:rPr>
                <w:rFonts w:cs="Arial"/>
              </w:rPr>
              <w:t>specific</w:t>
            </w:r>
            <w:r w:rsidRPr="00A12359">
              <w:rPr>
                <w:rFonts w:cs="Arial"/>
              </w:rPr>
              <w:t xml:space="preserve"> interventions </w:t>
            </w:r>
            <w:r w:rsidR="0015536A">
              <w:rPr>
                <w:rFonts w:cs="Arial"/>
              </w:rPr>
              <w:t>were grouped</w:t>
            </w:r>
            <w:r>
              <w:rPr>
                <w:rFonts w:cs="Arial"/>
              </w:rPr>
              <w:t xml:space="preserve"> around the following objectives</w:t>
            </w:r>
            <w:r w:rsidRPr="00A12359">
              <w:rPr>
                <w:rFonts w:cs="Arial"/>
              </w:rPr>
              <w:t>:</w:t>
            </w:r>
          </w:p>
          <w:p w14:paraId="53A218CD" w14:textId="77777777" w:rsidR="0015536A" w:rsidRDefault="0015536A" w:rsidP="009E6060">
            <w:pPr>
              <w:spacing w:after="0" w:line="240" w:lineRule="auto"/>
              <w:jc w:val="both"/>
              <w:rPr>
                <w:rFonts w:cs="Arial"/>
              </w:rPr>
            </w:pPr>
          </w:p>
          <w:p w14:paraId="1AB79D9D" w14:textId="77777777" w:rsidR="0000281B" w:rsidRDefault="00FF157C" w:rsidP="006A0E08">
            <w:pPr>
              <w:pStyle w:val="affff3"/>
              <w:numPr>
                <w:ilvl w:val="0"/>
                <w:numId w:val="47"/>
              </w:numPr>
              <w:spacing w:after="0" w:line="240" w:lineRule="auto"/>
              <w:jc w:val="both"/>
              <w:rPr>
                <w:rFonts w:cs="Arial"/>
              </w:rPr>
            </w:pPr>
            <w:r w:rsidRPr="0000281B">
              <w:rPr>
                <w:rFonts w:cs="Arial"/>
              </w:rPr>
              <w:t>Reform</w:t>
            </w:r>
            <w:r w:rsidR="0000281B" w:rsidRPr="0000281B">
              <w:rPr>
                <w:rFonts w:cs="Arial"/>
              </w:rPr>
              <w:t>ing TB Services</w:t>
            </w:r>
            <w:r w:rsidRPr="0000281B">
              <w:rPr>
                <w:rFonts w:cs="Arial"/>
              </w:rPr>
              <w:t xml:space="preserve"> in the civil and penitentiary sectors with </w:t>
            </w:r>
            <w:r w:rsidR="0000281B" w:rsidRPr="0000281B">
              <w:rPr>
                <w:rFonts w:cs="Arial"/>
              </w:rPr>
              <w:t>the expansion of outpatient and hospital-replacing</w:t>
            </w:r>
            <w:r w:rsidR="001F6430" w:rsidRPr="0000281B">
              <w:rPr>
                <w:rFonts w:cs="Arial"/>
              </w:rPr>
              <w:t xml:space="preserve"> care for TB and M/</w:t>
            </w:r>
            <w:r w:rsidR="0000281B">
              <w:rPr>
                <w:rFonts w:cs="Arial"/>
              </w:rPr>
              <w:t>XDR-TB patients.</w:t>
            </w:r>
          </w:p>
          <w:p w14:paraId="1549D8D9" w14:textId="25F64089" w:rsidR="00443373" w:rsidRDefault="00443373" w:rsidP="006A0E08">
            <w:pPr>
              <w:pStyle w:val="affff3"/>
              <w:numPr>
                <w:ilvl w:val="0"/>
                <w:numId w:val="47"/>
              </w:numPr>
              <w:spacing w:after="0" w:line="240" w:lineRule="auto"/>
              <w:jc w:val="both"/>
              <w:rPr>
                <w:rFonts w:cs="Arial"/>
              </w:rPr>
            </w:pPr>
            <w:r>
              <w:rPr>
                <w:rFonts w:cs="Arial"/>
              </w:rPr>
              <w:t>Improving access to advanced</w:t>
            </w:r>
            <w:r w:rsidR="00FF157C" w:rsidRPr="0000281B">
              <w:rPr>
                <w:rFonts w:cs="Arial"/>
              </w:rPr>
              <w:t xml:space="preserve"> technologies </w:t>
            </w:r>
            <w:r>
              <w:rPr>
                <w:rFonts w:cs="Arial"/>
              </w:rPr>
              <w:t>effective for diagnosis and treatment of TB and M/</w:t>
            </w:r>
            <w:r w:rsidR="00FF157C" w:rsidRPr="0000281B">
              <w:rPr>
                <w:rFonts w:cs="Arial"/>
              </w:rPr>
              <w:t xml:space="preserve">XDR-TB, as well as improving preventive measures, </w:t>
            </w:r>
            <w:r>
              <w:rPr>
                <w:rFonts w:cs="Arial"/>
              </w:rPr>
              <w:t xml:space="preserve">including those for </w:t>
            </w:r>
            <w:r w:rsidR="00B37E91">
              <w:rPr>
                <w:rFonts w:cs="Arial"/>
              </w:rPr>
              <w:t xml:space="preserve">the </w:t>
            </w:r>
            <w:r w:rsidR="00FF157C" w:rsidRPr="0000281B">
              <w:rPr>
                <w:rFonts w:cs="Arial"/>
              </w:rPr>
              <w:t>p</w:t>
            </w:r>
            <w:r>
              <w:rPr>
                <w:rFonts w:cs="Arial"/>
              </w:rPr>
              <w:t>enitentiary sector and migrants.</w:t>
            </w:r>
          </w:p>
          <w:p w14:paraId="583FBA54" w14:textId="098DF4D5" w:rsidR="00FF157C" w:rsidRDefault="00FF157C" w:rsidP="006A0E08">
            <w:pPr>
              <w:pStyle w:val="affff3"/>
              <w:numPr>
                <w:ilvl w:val="0"/>
                <w:numId w:val="47"/>
              </w:numPr>
              <w:spacing w:after="0" w:line="240" w:lineRule="auto"/>
              <w:jc w:val="both"/>
              <w:rPr>
                <w:rFonts w:cs="Arial"/>
              </w:rPr>
            </w:pPr>
            <w:r w:rsidRPr="00443373">
              <w:rPr>
                <w:rFonts w:cs="Arial"/>
              </w:rPr>
              <w:t>Strengthening infection</w:t>
            </w:r>
            <w:r w:rsidR="00443373">
              <w:rPr>
                <w:rFonts w:cs="Arial"/>
              </w:rPr>
              <w:t xml:space="preserve"> prevention and</w:t>
            </w:r>
            <w:r w:rsidRPr="00443373">
              <w:rPr>
                <w:rFonts w:cs="Arial"/>
              </w:rPr>
              <w:t xml:space="preserve"> control</w:t>
            </w:r>
            <w:r w:rsidR="00443373">
              <w:rPr>
                <w:rFonts w:cs="Arial"/>
              </w:rPr>
              <w:t xml:space="preserve"> system, </w:t>
            </w:r>
            <w:r w:rsidRPr="00443373">
              <w:rPr>
                <w:rFonts w:cs="Arial"/>
              </w:rPr>
              <w:t xml:space="preserve">monitoring and evaluation </w:t>
            </w:r>
            <w:r w:rsidR="00B37E91">
              <w:rPr>
                <w:rFonts w:cs="Arial"/>
              </w:rPr>
              <w:t xml:space="preserve">of </w:t>
            </w:r>
            <w:r w:rsidR="00443373">
              <w:rPr>
                <w:rFonts w:cs="Arial"/>
              </w:rPr>
              <w:t>TB</w:t>
            </w:r>
            <w:r w:rsidRPr="00443373">
              <w:rPr>
                <w:rFonts w:cs="Arial"/>
              </w:rPr>
              <w:t xml:space="preserve"> measures, including </w:t>
            </w:r>
            <w:r w:rsidR="00443373">
              <w:rPr>
                <w:rFonts w:cs="Arial"/>
              </w:rPr>
              <w:t>those in the penitentiary sector.</w:t>
            </w:r>
          </w:p>
          <w:p w14:paraId="57FC9B97" w14:textId="3C344124" w:rsidR="00FF157C" w:rsidRPr="00443373" w:rsidRDefault="00FF157C" w:rsidP="006A0E08">
            <w:pPr>
              <w:pStyle w:val="affff3"/>
              <w:numPr>
                <w:ilvl w:val="0"/>
                <w:numId w:val="47"/>
              </w:numPr>
              <w:spacing w:after="0" w:line="240" w:lineRule="auto"/>
              <w:jc w:val="both"/>
              <w:rPr>
                <w:rFonts w:cs="Arial"/>
              </w:rPr>
            </w:pPr>
            <w:r w:rsidRPr="00443373">
              <w:rPr>
                <w:rFonts w:cs="Arial"/>
              </w:rPr>
              <w:t xml:space="preserve">Strengthening interagency and intersectoral collaboration in TB </w:t>
            </w:r>
            <w:r w:rsidR="00443373">
              <w:rPr>
                <w:rFonts w:cs="Arial"/>
              </w:rPr>
              <w:t xml:space="preserve">prevention and </w:t>
            </w:r>
            <w:r w:rsidRPr="00443373">
              <w:rPr>
                <w:rFonts w:cs="Arial"/>
              </w:rPr>
              <w:t>control.</w:t>
            </w:r>
          </w:p>
          <w:p w14:paraId="0C9E5029" w14:textId="77777777" w:rsidR="0015536A" w:rsidRDefault="0015536A" w:rsidP="009E6060">
            <w:pPr>
              <w:spacing w:after="0" w:line="240" w:lineRule="auto"/>
              <w:jc w:val="both"/>
              <w:rPr>
                <w:rFonts w:cs="Arial"/>
              </w:rPr>
            </w:pPr>
          </w:p>
          <w:p w14:paraId="4AD5B47B" w14:textId="437FD2B4" w:rsidR="00123C75" w:rsidRDefault="00FF157C" w:rsidP="009E6060">
            <w:pPr>
              <w:spacing w:after="0" w:line="240" w:lineRule="auto"/>
              <w:jc w:val="both"/>
              <w:rPr>
                <w:rFonts w:cs="Arial"/>
              </w:rPr>
            </w:pPr>
            <w:r w:rsidRPr="00FF157C">
              <w:rPr>
                <w:rFonts w:cs="Arial"/>
              </w:rPr>
              <w:t xml:space="preserve">In 2020, </w:t>
            </w:r>
            <w:r w:rsidR="00443373">
              <w:rPr>
                <w:rFonts w:cs="Arial"/>
              </w:rPr>
              <w:t xml:space="preserve">the </w:t>
            </w:r>
            <w:r w:rsidRPr="00FF157C">
              <w:rPr>
                <w:rFonts w:cs="Arial"/>
              </w:rPr>
              <w:t xml:space="preserve">work </w:t>
            </w:r>
            <w:r w:rsidR="00136494">
              <w:rPr>
                <w:rFonts w:cs="Arial"/>
              </w:rPr>
              <w:t xml:space="preserve">has </w:t>
            </w:r>
            <w:r w:rsidR="00443373" w:rsidRPr="00FF157C">
              <w:rPr>
                <w:rFonts w:cs="Arial"/>
              </w:rPr>
              <w:t>commenced</w:t>
            </w:r>
            <w:r w:rsidR="00B37E91">
              <w:rPr>
                <w:rFonts w:cs="Arial"/>
              </w:rPr>
              <w:t xml:space="preserve"> developing of a n</w:t>
            </w:r>
            <w:r w:rsidRPr="00FF157C">
              <w:rPr>
                <w:rFonts w:cs="Arial"/>
              </w:rPr>
              <w:t xml:space="preserve">ew Strategic Plan for Tuberculosis Control for 2021-2025. </w:t>
            </w:r>
            <w:r w:rsidR="0015536A">
              <w:rPr>
                <w:rFonts w:cs="Arial"/>
              </w:rPr>
              <w:t>However, i</w:t>
            </w:r>
            <w:r w:rsidRPr="00FF157C">
              <w:rPr>
                <w:rFonts w:cs="Arial"/>
              </w:rPr>
              <w:t>n the</w:t>
            </w:r>
            <w:r w:rsidR="00443373">
              <w:rPr>
                <w:rFonts w:cs="Arial"/>
              </w:rPr>
              <w:t xml:space="preserve"> document development</w:t>
            </w:r>
            <w:r w:rsidRPr="00FF157C">
              <w:rPr>
                <w:rFonts w:cs="Arial"/>
              </w:rPr>
              <w:t xml:space="preserve"> process</w:t>
            </w:r>
            <w:r w:rsidR="00443373">
              <w:rPr>
                <w:rFonts w:cs="Arial"/>
              </w:rPr>
              <w:t>,</w:t>
            </w:r>
            <w:r w:rsidRPr="00FF157C">
              <w:rPr>
                <w:rFonts w:cs="Arial"/>
              </w:rPr>
              <w:t xml:space="preserve"> the </w:t>
            </w:r>
            <w:r w:rsidR="00B37E91">
              <w:rPr>
                <w:rFonts w:cs="Arial"/>
              </w:rPr>
              <w:t xml:space="preserve">country has shifted an </w:t>
            </w:r>
            <w:r w:rsidRPr="00FF157C">
              <w:rPr>
                <w:rFonts w:cs="Arial"/>
              </w:rPr>
              <w:t xml:space="preserve">emphasis towards the </w:t>
            </w:r>
            <w:r w:rsidR="00B37E91">
              <w:rPr>
                <w:rFonts w:cs="Arial"/>
              </w:rPr>
              <w:t xml:space="preserve">elaboration of a </w:t>
            </w:r>
            <w:r w:rsidR="0015536A">
              <w:rPr>
                <w:rFonts w:cs="Arial"/>
              </w:rPr>
              <w:t xml:space="preserve">2022-2026 </w:t>
            </w:r>
            <w:r w:rsidR="00B37E91">
              <w:rPr>
                <w:rFonts w:cs="Arial"/>
              </w:rPr>
              <w:t xml:space="preserve">Comprehensive Plan </w:t>
            </w:r>
            <w:r w:rsidR="00B6645B">
              <w:rPr>
                <w:rFonts w:cs="Arial"/>
              </w:rPr>
              <w:t>on</w:t>
            </w:r>
            <w:r w:rsidR="00B37E91">
              <w:rPr>
                <w:rFonts w:cs="Arial"/>
              </w:rPr>
              <w:t xml:space="preserve"> Respiratory H</w:t>
            </w:r>
            <w:r w:rsidRPr="00FF157C">
              <w:rPr>
                <w:rFonts w:cs="Arial"/>
              </w:rPr>
              <w:t xml:space="preserve">ealth </w:t>
            </w:r>
            <w:r w:rsidR="00B37E91">
              <w:rPr>
                <w:rFonts w:cs="Arial"/>
              </w:rPr>
              <w:t xml:space="preserve">with a component </w:t>
            </w:r>
            <w:r w:rsidR="0015536A">
              <w:rPr>
                <w:rFonts w:cs="Arial"/>
              </w:rPr>
              <w:t xml:space="preserve">included </w:t>
            </w:r>
            <w:r w:rsidR="00B37E91">
              <w:rPr>
                <w:rFonts w:cs="Arial"/>
              </w:rPr>
              <w:t>on TB Control</w:t>
            </w:r>
            <w:r w:rsidR="00B96A8B">
              <w:rPr>
                <w:rFonts w:cs="Arial"/>
              </w:rPr>
              <w:t xml:space="preserve"> (hereafter, Comprehensive Plan)</w:t>
            </w:r>
            <w:r w:rsidRPr="00FF157C">
              <w:rPr>
                <w:rFonts w:cs="Arial"/>
              </w:rPr>
              <w:t xml:space="preserve">. </w:t>
            </w:r>
          </w:p>
          <w:p w14:paraId="6EA5994C" w14:textId="77777777" w:rsidR="00123C75" w:rsidRDefault="00123C75" w:rsidP="009E6060">
            <w:pPr>
              <w:spacing w:after="0" w:line="240" w:lineRule="auto"/>
              <w:jc w:val="both"/>
              <w:rPr>
                <w:rFonts w:cs="Arial"/>
              </w:rPr>
            </w:pPr>
          </w:p>
          <w:p w14:paraId="1878269F" w14:textId="1F680585" w:rsidR="00F5190C" w:rsidRDefault="00FF157C" w:rsidP="009E6060">
            <w:pPr>
              <w:spacing w:after="0" w:line="240" w:lineRule="auto"/>
              <w:jc w:val="both"/>
              <w:rPr>
                <w:rFonts w:cs="Arial"/>
              </w:rPr>
            </w:pPr>
            <w:r w:rsidRPr="00FF157C">
              <w:rPr>
                <w:rFonts w:cs="Arial"/>
              </w:rPr>
              <w:t>T</w:t>
            </w:r>
            <w:r w:rsidR="00136494">
              <w:rPr>
                <w:rFonts w:cs="Arial"/>
              </w:rPr>
              <w:t xml:space="preserve">he main directions of the </w:t>
            </w:r>
            <w:r w:rsidR="00B37E91">
              <w:rPr>
                <w:rFonts w:cs="Arial"/>
              </w:rPr>
              <w:t>Comprehensive P</w:t>
            </w:r>
            <w:r w:rsidRPr="00FF157C">
              <w:rPr>
                <w:rFonts w:cs="Arial"/>
              </w:rPr>
              <w:t xml:space="preserve">lan are presented in Figure </w:t>
            </w:r>
            <w:r w:rsidR="00077133">
              <w:rPr>
                <w:rFonts w:cs="Arial"/>
              </w:rPr>
              <w:t>25</w:t>
            </w:r>
            <w:r w:rsidR="00123C75">
              <w:rPr>
                <w:rFonts w:cs="Arial"/>
              </w:rPr>
              <w:t>.</w:t>
            </w:r>
          </w:p>
          <w:p w14:paraId="12A1A5F9" w14:textId="77777777" w:rsidR="0015536A" w:rsidRPr="00FF157C" w:rsidRDefault="0015536A" w:rsidP="0015536A">
            <w:pPr>
              <w:spacing w:after="0" w:line="240" w:lineRule="auto"/>
              <w:jc w:val="both"/>
              <w:rPr>
                <w:rFonts w:cs="Arial"/>
              </w:rPr>
            </w:pPr>
          </w:p>
          <w:p w14:paraId="3D917502" w14:textId="6F47A8BD" w:rsidR="00B6645B" w:rsidRPr="00B6645B" w:rsidRDefault="00077133" w:rsidP="00123C75">
            <w:pPr>
              <w:spacing w:before="120" w:line="240" w:lineRule="auto"/>
              <w:jc w:val="both"/>
              <w:rPr>
                <w:rFonts w:cs="Arial"/>
                <w:b/>
              </w:rPr>
            </w:pPr>
            <w:r>
              <w:rPr>
                <w:rFonts w:cs="Arial"/>
                <w:b/>
              </w:rPr>
              <w:t>Figure 25</w:t>
            </w:r>
            <w:r w:rsidR="00B6645B" w:rsidRPr="00B6645B">
              <w:rPr>
                <w:rFonts w:cs="Arial"/>
                <w:b/>
              </w:rPr>
              <w:t>. Directions of the draft 2022-2026 Comprehensive Plan on Respiratory Health</w:t>
            </w:r>
          </w:p>
          <w:p w14:paraId="1042B4AE" w14:textId="77777777" w:rsidR="00B6645B" w:rsidRDefault="00B6645B" w:rsidP="00B6645B">
            <w:pPr>
              <w:jc w:val="center"/>
              <w:rPr>
                <w:rFonts w:cs="Arial"/>
                <w:lang w:val="ru-RU"/>
              </w:rPr>
            </w:pPr>
            <w:r>
              <w:rPr>
                <w:noProof/>
              </w:rPr>
              <w:drawing>
                <wp:inline distT="0" distB="0" distL="0" distR="0" wp14:anchorId="0C318D97" wp14:editId="0C6AAB7D">
                  <wp:extent cx="3985260" cy="2217420"/>
                  <wp:effectExtent l="0" t="38100" r="0" b="30480"/>
                  <wp:docPr id="31" name="Diagram 31">
                    <a:extLst xmlns:a="http://schemas.openxmlformats.org/drawingml/2006/main">
                      <a:ext uri="{FF2B5EF4-FFF2-40B4-BE49-F238E27FC236}">
                        <a16:creationId xmlns:a16="http://schemas.microsoft.com/office/drawing/2014/main" id="{4CE646D4-45F7-4A32-8494-B689AADF75A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7A76E421" w14:textId="6E228825" w:rsidR="002522F2" w:rsidRDefault="00136494" w:rsidP="002522F2">
            <w:pPr>
              <w:jc w:val="both"/>
              <w:rPr>
                <w:rFonts w:cs="Arial"/>
                <w:lang w:val="ru-RU"/>
              </w:rPr>
            </w:pPr>
            <w:r>
              <w:rPr>
                <w:rFonts w:cs="Arial"/>
              </w:rPr>
              <w:t xml:space="preserve">The </w:t>
            </w:r>
            <w:r w:rsidR="0015536A" w:rsidRPr="00974FD7">
              <w:rPr>
                <w:rFonts w:cs="Arial"/>
              </w:rPr>
              <w:t>Comprehensive Plan aims</w:t>
            </w:r>
            <w:r w:rsidR="002522F2" w:rsidRPr="00974FD7">
              <w:rPr>
                <w:rFonts w:cs="Arial"/>
              </w:rPr>
              <w:t xml:space="preserve"> to further implement the WHO End TB Strategy in Kazakhstan, improve the quality and access to </w:t>
            </w:r>
            <w:r w:rsidR="0015536A" w:rsidRPr="00974FD7">
              <w:rPr>
                <w:rFonts w:cs="Arial"/>
              </w:rPr>
              <w:t xml:space="preserve">available </w:t>
            </w:r>
            <w:r w:rsidR="002522F2" w:rsidRPr="00974FD7">
              <w:rPr>
                <w:rFonts w:cs="Arial"/>
              </w:rPr>
              <w:t xml:space="preserve">pulmonary care and thoracic surgery. </w:t>
            </w:r>
            <w:r w:rsidR="002522F2" w:rsidRPr="002522F2">
              <w:rPr>
                <w:rFonts w:cs="Arial"/>
                <w:lang w:val="ru-RU"/>
              </w:rPr>
              <w:t>It is built around four objectives:</w:t>
            </w:r>
          </w:p>
          <w:p w14:paraId="13337905" w14:textId="657E7628" w:rsidR="002522F2" w:rsidRPr="00974FD7" w:rsidRDefault="002522F2" w:rsidP="006A0E08">
            <w:pPr>
              <w:pStyle w:val="affff3"/>
              <w:numPr>
                <w:ilvl w:val="0"/>
                <w:numId w:val="47"/>
              </w:numPr>
              <w:jc w:val="both"/>
              <w:rPr>
                <w:rFonts w:cs="Arial"/>
              </w:rPr>
            </w:pPr>
            <w:r w:rsidRPr="00974FD7">
              <w:rPr>
                <w:rFonts w:cs="Arial"/>
              </w:rPr>
              <w:t>Enhence the quality of introduced new advanced technologies for diagnosis, treatment of tuberculosis, and strengthening preventive measures.</w:t>
            </w:r>
          </w:p>
          <w:p w14:paraId="662996F4" w14:textId="49FF37E3" w:rsidR="002522F2" w:rsidRPr="00974FD7" w:rsidRDefault="002522F2" w:rsidP="006A0E08">
            <w:pPr>
              <w:pStyle w:val="affff3"/>
              <w:numPr>
                <w:ilvl w:val="0"/>
                <w:numId w:val="47"/>
              </w:numPr>
              <w:jc w:val="both"/>
              <w:rPr>
                <w:rFonts w:cs="Arial"/>
              </w:rPr>
            </w:pPr>
            <w:r w:rsidRPr="00974FD7">
              <w:rPr>
                <w:rFonts w:cs="Arial"/>
              </w:rPr>
              <w:t>Improve the quality and availability of pulmonary care for the population of the Republic of Kazakhstan by introducing modern methods in diagnosis and treatment of respiratory diseases.</w:t>
            </w:r>
          </w:p>
          <w:p w14:paraId="1E1E9A71" w14:textId="62D0D946" w:rsidR="002522F2" w:rsidRPr="00974FD7" w:rsidRDefault="002522F2" w:rsidP="006A0E08">
            <w:pPr>
              <w:pStyle w:val="affff3"/>
              <w:numPr>
                <w:ilvl w:val="0"/>
                <w:numId w:val="47"/>
              </w:numPr>
              <w:jc w:val="both"/>
              <w:rPr>
                <w:rFonts w:cs="Arial"/>
              </w:rPr>
            </w:pPr>
            <w:r w:rsidRPr="00974FD7">
              <w:rPr>
                <w:rFonts w:cs="Arial"/>
              </w:rPr>
              <w:t>Strengthen infection prevention and control system, monitoring and evaluation for TB and respiratory diseases.</w:t>
            </w:r>
          </w:p>
          <w:p w14:paraId="0970C81F" w14:textId="5756132A" w:rsidR="00F11CFC" w:rsidRPr="00974FD7" w:rsidRDefault="002522F2" w:rsidP="006A0E08">
            <w:pPr>
              <w:pStyle w:val="affff3"/>
              <w:numPr>
                <w:ilvl w:val="0"/>
                <w:numId w:val="47"/>
              </w:numPr>
              <w:jc w:val="both"/>
              <w:rPr>
                <w:rFonts w:cs="Arial"/>
              </w:rPr>
            </w:pPr>
            <w:r w:rsidRPr="00974FD7">
              <w:rPr>
                <w:rFonts w:cs="Arial"/>
              </w:rPr>
              <w:t>Develop thoracic surgery, provide high-quality diagnostics of respiratory diseases, and ensure access to surgical treatment.</w:t>
            </w:r>
          </w:p>
          <w:p w14:paraId="06673B27" w14:textId="40ABD098" w:rsidR="00D307A7" w:rsidRPr="00B6645B" w:rsidRDefault="00B96A8B" w:rsidP="00D90A5E">
            <w:pPr>
              <w:jc w:val="both"/>
              <w:rPr>
                <w:rFonts w:asciiTheme="majorHAnsi" w:hAnsiTheme="majorHAnsi"/>
              </w:rPr>
            </w:pPr>
            <w:r>
              <w:rPr>
                <w:rFonts w:asciiTheme="majorHAnsi" w:hAnsiTheme="majorHAnsi"/>
              </w:rPr>
              <w:t xml:space="preserve">Being in the last stage of development, the </w:t>
            </w:r>
            <w:r w:rsidR="0015536A">
              <w:rPr>
                <w:rFonts w:asciiTheme="majorHAnsi" w:hAnsiTheme="majorHAnsi"/>
              </w:rPr>
              <w:t xml:space="preserve">draft </w:t>
            </w:r>
            <w:r>
              <w:rPr>
                <w:rFonts w:asciiTheme="majorHAnsi" w:hAnsiTheme="majorHAnsi"/>
              </w:rPr>
              <w:t xml:space="preserve">Comprehensive Plan </w:t>
            </w:r>
            <w:r w:rsidRPr="00B96A8B">
              <w:rPr>
                <w:rFonts w:asciiTheme="majorHAnsi" w:hAnsiTheme="majorHAnsi"/>
              </w:rPr>
              <w:t>is expected to be approved</w:t>
            </w:r>
            <w:r>
              <w:rPr>
                <w:rFonts w:asciiTheme="majorHAnsi" w:hAnsiTheme="majorHAnsi"/>
              </w:rPr>
              <w:t xml:space="preserve"> by the government </w:t>
            </w:r>
            <w:r w:rsidRPr="00B96A8B">
              <w:rPr>
                <w:rFonts w:asciiTheme="majorHAnsi" w:hAnsiTheme="majorHAnsi"/>
              </w:rPr>
              <w:t xml:space="preserve">early </w:t>
            </w:r>
            <w:r>
              <w:rPr>
                <w:rFonts w:asciiTheme="majorHAnsi" w:hAnsiTheme="majorHAnsi"/>
              </w:rPr>
              <w:t xml:space="preserve">in </w:t>
            </w:r>
            <w:r w:rsidRPr="00B96A8B">
              <w:rPr>
                <w:rFonts w:asciiTheme="majorHAnsi" w:hAnsiTheme="majorHAnsi"/>
              </w:rPr>
              <w:t>2022.</w:t>
            </w:r>
            <w:r>
              <w:rPr>
                <w:rFonts w:asciiTheme="majorHAnsi" w:hAnsiTheme="majorHAnsi"/>
              </w:rPr>
              <w:t xml:space="preserve"> </w:t>
            </w:r>
          </w:p>
          <w:p w14:paraId="299A7D9D" w14:textId="77777777" w:rsidR="00D90A5E" w:rsidRDefault="00D90A5E" w:rsidP="00BD7E34">
            <w:pPr>
              <w:spacing w:before="240" w:line="240" w:lineRule="auto"/>
              <w:rPr>
                <w:rFonts w:cs="Arial"/>
                <w:b/>
              </w:rPr>
            </w:pPr>
            <w:r>
              <w:rPr>
                <w:rFonts w:cs="Arial"/>
                <w:b/>
              </w:rPr>
              <w:t>TB Service reorganization and rationalization</w:t>
            </w:r>
          </w:p>
          <w:p w14:paraId="7CB4D0ED" w14:textId="7CDE4C33" w:rsidR="00AC4096" w:rsidRDefault="00E956DE" w:rsidP="00BD7E34">
            <w:pPr>
              <w:widowControl w:val="0"/>
              <w:autoSpaceDE w:val="0"/>
              <w:autoSpaceDN w:val="0"/>
              <w:adjustRightInd w:val="0"/>
              <w:spacing w:after="0" w:line="240" w:lineRule="auto"/>
              <w:jc w:val="both"/>
              <w:rPr>
                <w:rFonts w:asciiTheme="majorHAnsi" w:hAnsiTheme="majorHAnsi" w:cs="OpenSans"/>
              </w:rPr>
            </w:pPr>
            <w:r w:rsidRPr="00E956DE">
              <w:rPr>
                <w:rFonts w:asciiTheme="majorHAnsi" w:hAnsiTheme="majorHAnsi" w:cs="OpenSans"/>
              </w:rPr>
              <w:t>Kazakhstan has started the vertical and horizontal integration and rationalization of TB service since 2014 by restructuring the hospital network, reducing the number of unnecessary hospitalization and the average length of stay (ALOS), transfer of TB specialists to PHC, adapting the provision of services at the policlinic and ambulatory level, and developing c</w:t>
            </w:r>
            <w:r w:rsidR="00C44B2C">
              <w:rPr>
                <w:rFonts w:asciiTheme="majorHAnsi" w:hAnsiTheme="majorHAnsi" w:cs="OpenSans"/>
              </w:rPr>
              <w:t>are delivery standards for multi</w:t>
            </w:r>
            <w:r w:rsidRPr="00E956DE">
              <w:rPr>
                <w:rFonts w:asciiTheme="majorHAnsi" w:hAnsiTheme="majorHAnsi" w:cs="OpenSans"/>
              </w:rPr>
              <w:t>-tiered structure of TB control system. This has resulted in the closure of district TB Centers from 91 in 2014 to 19 legal units in 2020, total hospital beds reduction by nearly 55.2% (from 11,060 in 2014 to 4,955 beds in 2020</w:t>
            </w:r>
            <w:proofErr w:type="gramStart"/>
            <w:r w:rsidRPr="00E956DE">
              <w:rPr>
                <w:rFonts w:asciiTheme="majorHAnsi" w:hAnsiTheme="majorHAnsi" w:cs="OpenSans"/>
              </w:rPr>
              <w:t>), and</w:t>
            </w:r>
            <w:proofErr w:type="gramEnd"/>
            <w:r w:rsidRPr="00E956DE">
              <w:rPr>
                <w:rFonts w:asciiTheme="majorHAnsi" w:hAnsiTheme="majorHAnsi" w:cs="OpenSans"/>
              </w:rPr>
              <w:t xml:space="preserve"> opening and expanding the list of TB cabinets at PHC facilities. The average length of stay of patients in hospitals has decreased in recent years; however, it continues to be</w:t>
            </w:r>
            <w:r w:rsidR="0015536A">
              <w:rPr>
                <w:rFonts w:asciiTheme="majorHAnsi" w:hAnsiTheme="majorHAnsi" w:cs="OpenSans"/>
              </w:rPr>
              <w:t xml:space="preserve"> relatively</w:t>
            </w:r>
            <w:r w:rsidRPr="00E956DE">
              <w:rPr>
                <w:rFonts w:asciiTheme="majorHAnsi" w:hAnsiTheme="majorHAnsi" w:cs="OpenSans"/>
              </w:rPr>
              <w:t xml:space="preserve"> high. The ALOS was 87 days for all categories of TB patients in 2020, compared with 101 days in 2014. </w:t>
            </w:r>
            <w:r w:rsidRPr="007535BD">
              <w:rPr>
                <w:rFonts w:asciiTheme="majorHAnsi" w:hAnsiTheme="majorHAnsi" w:cs="OpenSans"/>
              </w:rPr>
              <w:t>The average length of stay varied among patient</w:t>
            </w:r>
            <w:r w:rsidR="002E6F81">
              <w:rPr>
                <w:rFonts w:asciiTheme="majorHAnsi" w:hAnsiTheme="majorHAnsi" w:cs="OpenSans"/>
              </w:rPr>
              <w:t>s’</w:t>
            </w:r>
            <w:r w:rsidRPr="007535BD">
              <w:rPr>
                <w:rFonts w:asciiTheme="majorHAnsi" w:hAnsiTheme="majorHAnsi" w:cs="OpenSans"/>
              </w:rPr>
              <w:t xml:space="preserve"> </w:t>
            </w:r>
            <w:r w:rsidR="002E6F81">
              <w:rPr>
                <w:rFonts w:asciiTheme="majorHAnsi" w:hAnsiTheme="majorHAnsi" w:cs="OpenSans"/>
              </w:rPr>
              <w:t xml:space="preserve">diagnostic </w:t>
            </w:r>
            <w:r w:rsidRPr="007535BD">
              <w:rPr>
                <w:rFonts w:asciiTheme="majorHAnsi" w:hAnsiTheme="majorHAnsi" w:cs="OpenSans"/>
              </w:rPr>
              <w:t>group</w:t>
            </w:r>
            <w:r w:rsidR="00136494">
              <w:rPr>
                <w:rFonts w:asciiTheme="majorHAnsi" w:hAnsiTheme="majorHAnsi" w:cs="OpenSans"/>
              </w:rPr>
              <w:t>s</w:t>
            </w:r>
            <w:r w:rsidRPr="007535BD">
              <w:rPr>
                <w:rFonts w:asciiTheme="majorHAnsi" w:hAnsiTheme="majorHAnsi" w:cs="OpenSans"/>
              </w:rPr>
              <w:t>. In 2020, it was 65 days for DS-TB patients with bacterial excretion compared to 87 days in 2014</w:t>
            </w:r>
            <w:r w:rsidR="002E6F81">
              <w:rPr>
                <w:rFonts w:asciiTheme="majorHAnsi" w:hAnsiTheme="majorHAnsi" w:cs="OpenSans"/>
              </w:rPr>
              <w:t>,</w:t>
            </w:r>
            <w:r w:rsidRPr="007535BD">
              <w:rPr>
                <w:rFonts w:asciiTheme="majorHAnsi" w:hAnsiTheme="majorHAnsi" w:cs="OpenSans"/>
              </w:rPr>
              <w:t xml:space="preserve"> and 110 days for MDR-TB, compared to 132 days in 2014. Nearly all savings of the TB service optimization accounted for 18.2 billion tenges were reprogrammed for improved infection control measures, purchasing laboratory consumables, training of staff, strengthening monitoring and evaluation</w:t>
            </w:r>
            <w:r w:rsidR="002E6F81">
              <w:rPr>
                <w:rFonts w:asciiTheme="majorHAnsi" w:hAnsiTheme="majorHAnsi" w:cs="OpenSans"/>
              </w:rPr>
              <w:t xml:space="preserve"> capacities</w:t>
            </w:r>
            <w:r w:rsidRPr="007535BD">
              <w:rPr>
                <w:rFonts w:asciiTheme="majorHAnsi" w:hAnsiTheme="majorHAnsi" w:cs="OpenSans"/>
              </w:rPr>
              <w:t>, and risk communication and community engagement activities.</w:t>
            </w:r>
            <w:r w:rsidRPr="00E956DE">
              <w:rPr>
                <w:rFonts w:asciiTheme="majorHAnsi" w:hAnsiTheme="majorHAnsi" w:cs="OpenSans"/>
              </w:rPr>
              <w:t xml:space="preserve"> </w:t>
            </w:r>
          </w:p>
          <w:p w14:paraId="1F290E30" w14:textId="77777777" w:rsidR="00BD7E34" w:rsidRDefault="00BD7E34" w:rsidP="00BD7E34">
            <w:pPr>
              <w:widowControl w:val="0"/>
              <w:autoSpaceDE w:val="0"/>
              <w:autoSpaceDN w:val="0"/>
              <w:adjustRightInd w:val="0"/>
              <w:spacing w:after="0" w:line="240" w:lineRule="auto"/>
              <w:jc w:val="both"/>
              <w:rPr>
                <w:rFonts w:asciiTheme="majorHAnsi" w:hAnsiTheme="majorHAnsi" w:cs="OpenSans"/>
              </w:rPr>
            </w:pPr>
          </w:p>
          <w:p w14:paraId="44A4AE05" w14:textId="5E725A02" w:rsidR="00AC4096" w:rsidRDefault="00C42018" w:rsidP="00BD7E34">
            <w:pPr>
              <w:spacing w:after="0" w:line="240" w:lineRule="auto"/>
              <w:jc w:val="both"/>
              <w:rPr>
                <w:rFonts w:cstheme="minorHAnsi"/>
              </w:rPr>
            </w:pPr>
            <w:r w:rsidRPr="00C42018">
              <w:rPr>
                <w:rFonts w:cstheme="minorHAnsi"/>
              </w:rPr>
              <w:t>The data shows that the level of hospitalization yet remained high. For TB beds' further optimization and forecasting, the GF/PIU within the frame of the current GF TB grant requested external technical support</w:t>
            </w:r>
            <w:r>
              <w:rPr>
                <w:rStyle w:val="af"/>
                <w:rFonts w:cstheme="minorHAnsi"/>
              </w:rPr>
              <w:footnoteReference w:id="46"/>
            </w:r>
            <w:r w:rsidRPr="00C42018">
              <w:rPr>
                <w:rFonts w:cstheme="minorHAnsi"/>
              </w:rPr>
              <w:t>. Applying epidemiological and hospital data and assumptions</w:t>
            </w:r>
            <w:r>
              <w:rPr>
                <w:rStyle w:val="af"/>
                <w:rFonts w:cstheme="minorHAnsi"/>
              </w:rPr>
              <w:footnoteReference w:id="47"/>
            </w:r>
            <w:r w:rsidRPr="00C42018">
              <w:rPr>
                <w:rFonts w:cstheme="minorHAnsi"/>
              </w:rPr>
              <w:t xml:space="preserve"> in the model, scenarios were developed, and bed forecasting was performed for 2021-2025. Based on the model's outputs, the reduction of the TB beds is anticipated from 2,420 beds in 2021 to 1,883 by the end of 2023 and to 1</w:t>
            </w:r>
            <w:r w:rsidR="002E6F81">
              <w:rPr>
                <w:rFonts w:cstheme="minorHAnsi"/>
              </w:rPr>
              <w:t>,</w:t>
            </w:r>
            <w:r w:rsidRPr="00C42018">
              <w:rPr>
                <w:rFonts w:cstheme="minorHAnsi"/>
              </w:rPr>
              <w:t xml:space="preserve">397 by the end of 2025. In the scenario with full deployment of shorter regimens for drug-resistant TB patients, </w:t>
            </w:r>
            <w:r w:rsidR="00136494">
              <w:rPr>
                <w:rFonts w:cstheme="minorHAnsi"/>
              </w:rPr>
              <w:t xml:space="preserve">only 925 beds would be needed. </w:t>
            </w:r>
            <w:r w:rsidRPr="00C42018">
              <w:rPr>
                <w:rFonts w:cstheme="minorHAnsi"/>
              </w:rPr>
              <w:t>The scenario</w:t>
            </w:r>
            <w:r>
              <w:rPr>
                <w:rFonts w:cstheme="minorHAnsi"/>
              </w:rPr>
              <w:t>s' suggested recommendations have</w:t>
            </w:r>
            <w:r w:rsidRPr="00C42018">
              <w:rPr>
                <w:rFonts w:cstheme="minorHAnsi"/>
              </w:rPr>
              <w:t xml:space="preserve"> </w:t>
            </w:r>
            <w:r>
              <w:rPr>
                <w:rFonts w:cstheme="minorHAnsi"/>
              </w:rPr>
              <w:t xml:space="preserve">to </w:t>
            </w:r>
            <w:r w:rsidRPr="00C42018">
              <w:rPr>
                <w:rFonts w:cstheme="minorHAnsi"/>
              </w:rPr>
              <w:t>be analyzed and validat</w:t>
            </w:r>
            <w:r>
              <w:rPr>
                <w:rFonts w:cstheme="minorHAnsi"/>
              </w:rPr>
              <w:t xml:space="preserve">ed at the NTP and the MoH level, as the TB Service’ bed capacity assessment should reflect the further developments in </w:t>
            </w:r>
            <w:r w:rsidR="000B3A80">
              <w:rPr>
                <w:rFonts w:cstheme="minorHAnsi"/>
              </w:rPr>
              <w:t>pulmonology services</w:t>
            </w:r>
            <w:r>
              <w:rPr>
                <w:rFonts w:cstheme="minorHAnsi"/>
              </w:rPr>
              <w:t xml:space="preserve"> reorganization and additional functions given to the TB Service to ensure the respiratory health for the entire population, </w:t>
            </w:r>
            <w:r w:rsidR="002E6F81">
              <w:rPr>
                <w:rFonts w:cstheme="minorHAnsi"/>
              </w:rPr>
              <w:t>following</w:t>
            </w:r>
            <w:r>
              <w:rPr>
                <w:rFonts w:cstheme="minorHAnsi"/>
              </w:rPr>
              <w:t xml:space="preserve"> the </w:t>
            </w:r>
            <w:r w:rsidR="000B3A80">
              <w:rPr>
                <w:rFonts w:cstheme="minorHAnsi"/>
              </w:rPr>
              <w:t xml:space="preserve">objectives of the </w:t>
            </w:r>
            <w:r w:rsidR="002E6F81">
              <w:rPr>
                <w:rFonts w:cstheme="minorHAnsi"/>
              </w:rPr>
              <w:t xml:space="preserve">draft </w:t>
            </w:r>
            <w:r w:rsidR="000B3A80">
              <w:rPr>
                <w:rFonts w:cstheme="minorHAnsi"/>
              </w:rPr>
              <w:t>Comprehensive Plan</w:t>
            </w:r>
            <w:r>
              <w:rPr>
                <w:rFonts w:cstheme="minorHAnsi"/>
              </w:rPr>
              <w:t xml:space="preserve">.  </w:t>
            </w:r>
          </w:p>
          <w:p w14:paraId="05121CEF" w14:textId="77777777" w:rsidR="00BD7E34" w:rsidRPr="00503BD3" w:rsidRDefault="00BD7E34" w:rsidP="00BD7E34">
            <w:pPr>
              <w:spacing w:after="0" w:line="240" w:lineRule="auto"/>
              <w:jc w:val="both"/>
              <w:rPr>
                <w:rFonts w:cstheme="minorHAnsi"/>
              </w:rPr>
            </w:pPr>
          </w:p>
          <w:p w14:paraId="7B9504E2" w14:textId="63F3DC9C" w:rsidR="00C111D1" w:rsidRDefault="00483E0D" w:rsidP="00BD7E34">
            <w:pPr>
              <w:spacing w:after="0" w:line="240" w:lineRule="auto"/>
              <w:jc w:val="both"/>
              <w:rPr>
                <w:rFonts w:asciiTheme="majorHAnsi" w:hAnsiTheme="majorHAnsi" w:cs="OpenSans"/>
              </w:rPr>
            </w:pPr>
            <w:r w:rsidRPr="00483E0D">
              <w:rPr>
                <w:rFonts w:asciiTheme="majorHAnsi" w:hAnsiTheme="majorHAnsi" w:cs="OpenSans"/>
              </w:rPr>
              <w:t xml:space="preserve">In parallel to horizontal integration, a new patient-oriented TB care model was introduced by integrating TB services in affordable and accessible primary healthcare and involvement of civil society organizations to address socio-economic determinants of TB and cover the medical </w:t>
            </w:r>
            <w:r w:rsidR="00136494">
              <w:rPr>
                <w:rFonts w:asciiTheme="majorHAnsi" w:hAnsiTheme="majorHAnsi" w:cs="OpenSans"/>
              </w:rPr>
              <w:t xml:space="preserve">and non-medical </w:t>
            </w:r>
            <w:r w:rsidRPr="00483E0D">
              <w:rPr>
                <w:rFonts w:asciiTheme="majorHAnsi" w:hAnsiTheme="majorHAnsi" w:cs="OpenSans"/>
              </w:rPr>
              <w:t>services</w:t>
            </w:r>
            <w:r w:rsidR="002E6F81">
              <w:rPr>
                <w:rFonts w:asciiTheme="majorHAnsi" w:hAnsiTheme="majorHAnsi" w:cs="OpenSans"/>
              </w:rPr>
              <w:t>’</w:t>
            </w:r>
            <w:r w:rsidRPr="00483E0D">
              <w:rPr>
                <w:rFonts w:asciiTheme="majorHAnsi" w:hAnsiTheme="majorHAnsi" w:cs="OpenSans"/>
              </w:rPr>
              <w:t xml:space="preserve"> gap at the community level.  </w:t>
            </w:r>
          </w:p>
          <w:p w14:paraId="76AA7106" w14:textId="77777777" w:rsidR="00E90DAA" w:rsidRDefault="00307C14" w:rsidP="00BD7E34">
            <w:pPr>
              <w:spacing w:before="240" w:line="240" w:lineRule="auto"/>
              <w:jc w:val="both"/>
              <w:rPr>
                <w:rFonts w:asciiTheme="majorHAnsi" w:hAnsiTheme="majorHAnsi" w:cs="OpenSans"/>
              </w:rPr>
            </w:pPr>
            <w:r w:rsidRPr="00307C14">
              <w:rPr>
                <w:rFonts w:asciiTheme="majorHAnsi" w:hAnsiTheme="majorHAnsi" w:cs="OpenSans"/>
              </w:rPr>
              <w:t xml:space="preserve">In the last decade, with the support of donors, mainly the Global Fund, </w:t>
            </w:r>
            <w:r w:rsidR="002E6F81">
              <w:rPr>
                <w:rFonts w:asciiTheme="majorHAnsi" w:hAnsiTheme="majorHAnsi" w:cs="OpenSans"/>
              </w:rPr>
              <w:t xml:space="preserve">by </w:t>
            </w:r>
            <w:r w:rsidR="002E6F81" w:rsidRPr="00307C14">
              <w:rPr>
                <w:rFonts w:asciiTheme="majorHAnsi" w:hAnsiTheme="majorHAnsi" w:cs="OpenSans"/>
              </w:rPr>
              <w:t xml:space="preserve">increasing the role of primary health care and TB specialists at the ambulatory </w:t>
            </w:r>
            <w:proofErr w:type="gramStart"/>
            <w:r w:rsidR="002E6F81" w:rsidRPr="00307C14">
              <w:rPr>
                <w:rFonts w:asciiTheme="majorHAnsi" w:hAnsiTheme="majorHAnsi" w:cs="OpenSans"/>
              </w:rPr>
              <w:t>level, and</w:t>
            </w:r>
            <w:proofErr w:type="gramEnd"/>
            <w:r w:rsidR="002E6F81" w:rsidRPr="00307C14">
              <w:rPr>
                <w:rFonts w:asciiTheme="majorHAnsi" w:hAnsiTheme="majorHAnsi" w:cs="OpenSans"/>
              </w:rPr>
              <w:t xml:space="preserve"> developing more robust patie</w:t>
            </w:r>
            <w:r w:rsidR="002E6F81">
              <w:rPr>
                <w:rFonts w:asciiTheme="majorHAnsi" w:hAnsiTheme="majorHAnsi" w:cs="OpenSans"/>
              </w:rPr>
              <w:t>nt support systems t</w:t>
            </w:r>
            <w:r w:rsidR="002E6F81" w:rsidRPr="00307C14">
              <w:rPr>
                <w:rFonts w:asciiTheme="majorHAnsi" w:hAnsiTheme="majorHAnsi" w:cs="OpenSans"/>
              </w:rPr>
              <w:t>he model of TB care</w:t>
            </w:r>
            <w:r w:rsidR="002E6F81">
              <w:rPr>
                <w:rFonts w:asciiTheme="majorHAnsi" w:hAnsiTheme="majorHAnsi" w:cs="OpenSans"/>
              </w:rPr>
              <w:t xml:space="preserve"> </w:t>
            </w:r>
            <w:r w:rsidR="004955E1">
              <w:rPr>
                <w:rFonts w:asciiTheme="majorHAnsi" w:hAnsiTheme="majorHAnsi" w:cs="OpenSans"/>
              </w:rPr>
              <w:t xml:space="preserve">delivery </w:t>
            </w:r>
            <w:r w:rsidR="002E6F81">
              <w:rPr>
                <w:rFonts w:asciiTheme="majorHAnsi" w:hAnsiTheme="majorHAnsi" w:cs="OpenSans"/>
              </w:rPr>
              <w:t>was reorganized</w:t>
            </w:r>
            <w:r w:rsidRPr="00307C14">
              <w:rPr>
                <w:rFonts w:asciiTheme="majorHAnsi" w:hAnsiTheme="majorHAnsi" w:cs="OpenSans"/>
              </w:rPr>
              <w:t>. The roles of communi</w:t>
            </w:r>
            <w:r w:rsidR="008C4B6D">
              <w:rPr>
                <w:rFonts w:asciiTheme="majorHAnsi" w:hAnsiTheme="majorHAnsi" w:cs="OpenSans"/>
              </w:rPr>
              <w:t>ties and civil society were increased</w:t>
            </w:r>
            <w:r w:rsidR="002E6F81">
              <w:rPr>
                <w:rFonts w:asciiTheme="majorHAnsi" w:hAnsiTheme="majorHAnsi" w:cs="OpenSans"/>
              </w:rPr>
              <w:t>,</w:t>
            </w:r>
            <w:r w:rsidR="004955E1">
              <w:rPr>
                <w:rFonts w:asciiTheme="majorHAnsi" w:hAnsiTheme="majorHAnsi" w:cs="OpenSans"/>
              </w:rPr>
              <w:t xml:space="preserve"> </w:t>
            </w:r>
            <w:r w:rsidR="002E6F81">
              <w:rPr>
                <w:rFonts w:asciiTheme="majorHAnsi" w:hAnsiTheme="majorHAnsi" w:cs="OpenSans"/>
              </w:rPr>
              <w:t xml:space="preserve">the </w:t>
            </w:r>
            <w:r w:rsidRPr="00307C14">
              <w:rPr>
                <w:rFonts w:asciiTheme="majorHAnsi" w:hAnsiTheme="majorHAnsi" w:cs="OpenSans"/>
              </w:rPr>
              <w:t xml:space="preserve">advocacy and mobilization </w:t>
            </w:r>
            <w:proofErr w:type="gramStart"/>
            <w:r w:rsidR="002E6F81">
              <w:rPr>
                <w:rFonts w:asciiTheme="majorHAnsi" w:hAnsiTheme="majorHAnsi" w:cs="OpenSans"/>
              </w:rPr>
              <w:t>enhanced</w:t>
            </w:r>
            <w:proofErr w:type="gramEnd"/>
            <w:r w:rsidR="002E6F81">
              <w:rPr>
                <w:rFonts w:asciiTheme="majorHAnsi" w:hAnsiTheme="majorHAnsi" w:cs="OpenSans"/>
              </w:rPr>
              <w:t xml:space="preserve"> and</w:t>
            </w:r>
            <w:r w:rsidRPr="00307C14">
              <w:rPr>
                <w:rFonts w:asciiTheme="majorHAnsi" w:hAnsiTheme="majorHAnsi" w:cs="OpenSans"/>
              </w:rPr>
              <w:t xml:space="preserve"> a mechanism </w:t>
            </w:r>
            <w:r w:rsidR="00594335">
              <w:rPr>
                <w:rFonts w:asciiTheme="majorHAnsi" w:hAnsiTheme="majorHAnsi" w:cs="OpenSans"/>
              </w:rPr>
              <w:t xml:space="preserve">was </w:t>
            </w:r>
            <w:r w:rsidRPr="00307C14">
              <w:rPr>
                <w:rFonts w:asciiTheme="majorHAnsi" w:hAnsiTheme="majorHAnsi" w:cs="OpenSans"/>
              </w:rPr>
              <w:t>adopted for patients' effective participation in decision-making processes.</w:t>
            </w:r>
            <w:r>
              <w:rPr>
                <w:rFonts w:asciiTheme="majorHAnsi" w:hAnsiTheme="majorHAnsi" w:cs="OpenSans"/>
              </w:rPr>
              <w:t xml:space="preserve"> </w:t>
            </w:r>
            <w:r w:rsidR="00E90DAA" w:rsidRPr="00E90DAA">
              <w:rPr>
                <w:rFonts w:asciiTheme="majorHAnsi" w:hAnsiTheme="majorHAnsi" w:cs="OpenSans"/>
              </w:rPr>
              <w:t>Moreover, the core functions of the TB program were improved, including effective coordination, monitoring, and evaluation; strengthened laboratory service, rapid molecular diagnostics methods application scaled up, the introduction of new TB drugs and regimens and DST for repurposed and new drugs, the rollout of video-supported treatment, and revisiting strategies aiming to improve adherence to treatment and addressing socioeconomic determinants of TB.</w:t>
            </w:r>
          </w:p>
          <w:p w14:paraId="65482339" w14:textId="03BEFB1B" w:rsidR="007D1158" w:rsidRPr="007D1158" w:rsidRDefault="008839B5" w:rsidP="00BD7E34">
            <w:pPr>
              <w:spacing w:before="240" w:line="240" w:lineRule="auto"/>
              <w:jc w:val="both"/>
              <w:rPr>
                <w:rFonts w:asciiTheme="majorHAnsi" w:hAnsiTheme="majorHAnsi" w:cs="OpenSans"/>
                <w:b/>
              </w:rPr>
            </w:pPr>
            <w:r>
              <w:rPr>
                <w:rFonts w:asciiTheme="majorHAnsi" w:hAnsiTheme="majorHAnsi"/>
                <w:b/>
              </w:rPr>
              <w:t xml:space="preserve">Current system of </w:t>
            </w:r>
            <w:r w:rsidR="007D1158" w:rsidRPr="007D1158">
              <w:rPr>
                <w:rFonts w:asciiTheme="majorHAnsi" w:hAnsiTheme="majorHAnsi"/>
                <w:b/>
              </w:rPr>
              <w:t>TB servic</w:t>
            </w:r>
            <w:r w:rsidR="00BD7E34">
              <w:rPr>
                <w:rFonts w:asciiTheme="majorHAnsi" w:hAnsiTheme="majorHAnsi"/>
                <w:b/>
              </w:rPr>
              <w:t>es delivery</w:t>
            </w:r>
          </w:p>
          <w:p w14:paraId="13D418C0" w14:textId="40C26E74" w:rsidR="008833A1" w:rsidRDefault="00885209" w:rsidP="00737DA9">
            <w:pPr>
              <w:spacing w:after="0" w:line="240" w:lineRule="auto"/>
              <w:jc w:val="both"/>
              <w:rPr>
                <w:rFonts w:asciiTheme="majorHAnsi" w:hAnsiTheme="majorHAnsi"/>
              </w:rPr>
            </w:pPr>
            <w:r>
              <w:rPr>
                <w:rFonts w:asciiTheme="majorHAnsi" w:hAnsiTheme="majorHAnsi"/>
              </w:rPr>
              <w:t xml:space="preserve">The </w:t>
            </w:r>
            <w:r w:rsidR="0009536A" w:rsidRPr="0009536A">
              <w:rPr>
                <w:rFonts w:asciiTheme="majorHAnsi" w:hAnsiTheme="majorHAnsi"/>
              </w:rPr>
              <w:t xml:space="preserve">TB </w:t>
            </w:r>
            <w:r w:rsidR="00411293">
              <w:rPr>
                <w:rFonts w:asciiTheme="majorHAnsi" w:hAnsiTheme="majorHAnsi"/>
              </w:rPr>
              <w:t xml:space="preserve">medical </w:t>
            </w:r>
            <w:r w:rsidR="0009536A" w:rsidRPr="0009536A">
              <w:rPr>
                <w:rFonts w:asciiTheme="majorHAnsi" w:hAnsiTheme="majorHAnsi"/>
              </w:rPr>
              <w:t xml:space="preserve">care is included in the basic package of free services and delivered within the frame of the state-guaranteed package of free medical care. The TB control system follows a multi-tiered structure, incorporating care at tertiary, secondary, primary, and community levels. Case notification is carried out per the MoH order No. 214 issued in November 2020 and the national clinical protocol approved in 2019. Patients with tuberculosis are mainly identified through passive case detection when affected individuals seek medical care in health clinics because of having symptoms. </w:t>
            </w:r>
            <w:r w:rsidR="007D1158">
              <w:rPr>
                <w:rFonts w:asciiTheme="majorHAnsi" w:hAnsiTheme="majorHAnsi"/>
              </w:rPr>
              <w:t xml:space="preserve">The </w:t>
            </w:r>
            <w:r w:rsidR="007D1158" w:rsidRPr="0009536A">
              <w:rPr>
                <w:rFonts w:asciiTheme="majorHAnsi" w:hAnsiTheme="majorHAnsi"/>
              </w:rPr>
              <w:t xml:space="preserve">staff in rural and urban </w:t>
            </w:r>
            <w:r w:rsidR="007D1158">
              <w:rPr>
                <w:rFonts w:asciiTheme="majorHAnsi" w:hAnsiTheme="majorHAnsi"/>
              </w:rPr>
              <w:t>PHC clinics</w:t>
            </w:r>
            <w:r w:rsidR="007D1158" w:rsidRPr="0009536A">
              <w:rPr>
                <w:rFonts w:asciiTheme="majorHAnsi" w:hAnsiTheme="majorHAnsi"/>
              </w:rPr>
              <w:t xml:space="preserve"> </w:t>
            </w:r>
            <w:r w:rsidRPr="0009536A">
              <w:rPr>
                <w:rFonts w:asciiTheme="majorHAnsi" w:hAnsiTheme="majorHAnsi"/>
              </w:rPr>
              <w:t>detects</w:t>
            </w:r>
            <w:r w:rsidR="007D1158" w:rsidRPr="0009536A">
              <w:rPr>
                <w:rFonts w:asciiTheme="majorHAnsi" w:hAnsiTheme="majorHAnsi"/>
              </w:rPr>
              <w:t xml:space="preserve"> and examines</w:t>
            </w:r>
            <w:r w:rsidR="0009536A" w:rsidRPr="0009536A">
              <w:rPr>
                <w:rFonts w:asciiTheme="majorHAnsi" w:hAnsiTheme="majorHAnsi"/>
              </w:rPr>
              <w:t xml:space="preserve"> patients with presumptive TB according to the adopted screening/diagnostic algorithms (GeneXpert testing and radiography). The Xpert MTB/RIF </w:t>
            </w:r>
            <w:r w:rsidR="007D1158">
              <w:rPr>
                <w:rFonts w:asciiTheme="majorHAnsi" w:hAnsiTheme="majorHAnsi"/>
              </w:rPr>
              <w:t>was the</w:t>
            </w:r>
            <w:r w:rsidR="0009536A" w:rsidRPr="0009536A">
              <w:rPr>
                <w:rFonts w:asciiTheme="majorHAnsi" w:hAnsiTheme="majorHAnsi"/>
              </w:rPr>
              <w:t xml:space="preserve"> initial diagnostic test for most </w:t>
            </w:r>
            <w:r w:rsidR="0009536A" w:rsidRPr="00D90A57">
              <w:rPr>
                <w:rFonts w:asciiTheme="majorHAnsi" w:hAnsiTheme="majorHAnsi"/>
              </w:rPr>
              <w:t>suspects, with 96% of new and relapse TB cases being screened at the time of diagnosis in 2020.</w:t>
            </w:r>
          </w:p>
          <w:p w14:paraId="319DEA51" w14:textId="77777777" w:rsidR="00CA5D02" w:rsidRPr="00D90A57" w:rsidRDefault="00CA5D02" w:rsidP="00737DA9">
            <w:pPr>
              <w:spacing w:after="0" w:line="240" w:lineRule="auto"/>
              <w:jc w:val="both"/>
              <w:rPr>
                <w:rFonts w:asciiTheme="majorHAnsi" w:hAnsiTheme="majorHAnsi"/>
              </w:rPr>
            </w:pPr>
          </w:p>
          <w:p w14:paraId="56C2FC70" w14:textId="65DCF23A" w:rsidR="00B6568F" w:rsidRPr="00B6568F" w:rsidRDefault="009947F4" w:rsidP="00B6568F">
            <w:pPr>
              <w:spacing w:after="0" w:line="240" w:lineRule="auto"/>
              <w:jc w:val="both"/>
              <w:rPr>
                <w:rFonts w:cs="Arial"/>
              </w:rPr>
            </w:pPr>
            <w:r w:rsidRPr="009947F4">
              <w:rPr>
                <w:rFonts w:cs="Arial"/>
              </w:rPr>
              <w:t xml:space="preserve">The PHC physicians are responsible for active </w:t>
            </w:r>
            <w:r w:rsidR="007D1158">
              <w:rPr>
                <w:rFonts w:cs="Arial"/>
              </w:rPr>
              <w:t xml:space="preserve">TB </w:t>
            </w:r>
            <w:r w:rsidRPr="009947F4">
              <w:rPr>
                <w:rFonts w:cs="Arial"/>
              </w:rPr>
              <w:t xml:space="preserve">case finding through </w:t>
            </w:r>
            <w:r w:rsidR="008F63ED">
              <w:rPr>
                <w:rFonts w:cs="Arial"/>
              </w:rPr>
              <w:t xml:space="preserve">radiological </w:t>
            </w:r>
            <w:r w:rsidRPr="009947F4">
              <w:rPr>
                <w:rFonts w:cs="Arial"/>
              </w:rPr>
              <w:t xml:space="preserve">screening programs of high-risk </w:t>
            </w:r>
            <w:r w:rsidR="007D1158">
              <w:rPr>
                <w:rFonts w:cs="Arial"/>
              </w:rPr>
              <w:t xml:space="preserve">population </w:t>
            </w:r>
            <w:r w:rsidRPr="009947F4">
              <w:rPr>
                <w:rFonts w:cs="Arial"/>
              </w:rPr>
              <w:t>groups and annual mass fluorography screening</w:t>
            </w:r>
            <w:r w:rsidR="008F63ED">
              <w:rPr>
                <w:rFonts w:cs="Arial"/>
              </w:rPr>
              <w:t xml:space="preserve"> by targeting wide range of individuals</w:t>
            </w:r>
            <w:r w:rsidRPr="009947F4">
              <w:rPr>
                <w:rFonts w:cs="Arial"/>
              </w:rPr>
              <w:t>. The total number of fluor</w:t>
            </w:r>
            <w:r w:rsidR="0054791C">
              <w:rPr>
                <w:rFonts w:cs="Arial"/>
              </w:rPr>
              <w:t>ography tests performed</w:t>
            </w:r>
            <w:r w:rsidRPr="009947F4">
              <w:rPr>
                <w:rFonts w:cs="Arial"/>
              </w:rPr>
              <w:t xml:space="preserve"> forms about seven to eight million</w:t>
            </w:r>
            <w:r w:rsidR="0054791C">
              <w:rPr>
                <w:rFonts w:cs="Arial"/>
              </w:rPr>
              <w:t xml:space="preserve"> annually</w:t>
            </w:r>
            <w:r w:rsidRPr="009947F4">
              <w:rPr>
                <w:rFonts w:cs="Arial"/>
              </w:rPr>
              <w:t>. During nine months of 2021, 6.11 million fluorographic investigations were organized, out of which 5.5 million were conducted among people from high-risk groups, compared with 5.68 million total tests done during the same period in 2020, and 5.23 million of these investigations were among the high-risk groups</w:t>
            </w:r>
            <w:r w:rsidR="00411293">
              <w:rPr>
                <w:rFonts w:cs="Arial"/>
              </w:rPr>
              <w:t xml:space="preserve"> forming</w:t>
            </w:r>
            <w:r w:rsidR="007D1158">
              <w:rPr>
                <w:rFonts w:cs="Arial"/>
              </w:rPr>
              <w:t xml:space="preserve"> approximately 92% of all tests</w:t>
            </w:r>
            <w:r w:rsidRPr="009947F4">
              <w:rPr>
                <w:rFonts w:cs="Arial"/>
              </w:rPr>
              <w:t>. The examinatio</w:t>
            </w:r>
            <w:r w:rsidR="007D1158">
              <w:rPr>
                <w:rFonts w:cs="Arial"/>
              </w:rPr>
              <w:t>ns helped to detect two cases</w:t>
            </w:r>
            <w:r w:rsidRPr="009947F4">
              <w:rPr>
                <w:rFonts w:cs="Arial"/>
              </w:rPr>
              <w:t xml:space="preserve"> with pulmonary TB per 1,000 investigations conducted among high-risk groups in nine months 2021 (1,109 patients) compared with 1.8</w:t>
            </w:r>
            <w:r w:rsidR="007D1158">
              <w:rPr>
                <w:rFonts w:cs="Arial"/>
              </w:rPr>
              <w:t xml:space="preserve"> cases</w:t>
            </w:r>
            <w:r w:rsidRPr="009947F4">
              <w:rPr>
                <w:rFonts w:cs="Arial"/>
              </w:rPr>
              <w:t xml:space="preserve"> per 1,000 studies (957 patients), at the same period of 2020. The screening rate in the general population </w:t>
            </w:r>
            <w:r w:rsidR="00B6568F">
              <w:rPr>
                <w:rFonts w:cs="Arial"/>
              </w:rPr>
              <w:t>formed 0.6 per 1,000 studies (3,</w:t>
            </w:r>
            <w:r w:rsidRPr="009947F4">
              <w:rPr>
                <w:rFonts w:cs="Arial"/>
              </w:rPr>
              <w:t>43</w:t>
            </w:r>
            <w:r w:rsidR="00B6568F">
              <w:rPr>
                <w:rFonts w:cs="Arial"/>
              </w:rPr>
              <w:t>5 for nine months of 2020 and 3,</w:t>
            </w:r>
            <w:r w:rsidRPr="009947F4">
              <w:rPr>
                <w:rFonts w:cs="Arial"/>
              </w:rPr>
              <w:t xml:space="preserve">456 for the same period in 2021). </w:t>
            </w:r>
            <w:r w:rsidR="00422F32">
              <w:rPr>
                <w:rFonts w:cs="Arial"/>
              </w:rPr>
              <w:t>M</w:t>
            </w:r>
            <w:r w:rsidR="00422F32" w:rsidRPr="009947F4">
              <w:rPr>
                <w:rFonts w:cs="Arial"/>
              </w:rPr>
              <w:t xml:space="preserve">obile </w:t>
            </w:r>
            <w:r w:rsidR="00422F32">
              <w:rPr>
                <w:rFonts w:cs="Arial"/>
              </w:rPr>
              <w:t xml:space="preserve">fluorographic system is usually used for </w:t>
            </w:r>
            <w:r w:rsidR="00766139">
              <w:rPr>
                <w:rFonts w:cs="Arial"/>
              </w:rPr>
              <w:t xml:space="preserve">screening </w:t>
            </w:r>
            <w:r w:rsidR="00422F32">
              <w:rPr>
                <w:rFonts w:cs="Arial"/>
              </w:rPr>
              <w:t>programs in remote communities</w:t>
            </w:r>
            <w:r w:rsidR="00766139" w:rsidRPr="009947F4">
              <w:rPr>
                <w:rFonts w:cs="Arial"/>
              </w:rPr>
              <w:t xml:space="preserve">, large enterprises, </w:t>
            </w:r>
            <w:r w:rsidR="006E25A0">
              <w:rPr>
                <w:rFonts w:cs="Arial"/>
              </w:rPr>
              <w:t>commercial markets, and prisons.</w:t>
            </w:r>
          </w:p>
          <w:p w14:paraId="69FABC42" w14:textId="546F304B" w:rsidR="00422F32" w:rsidRPr="006E25A0" w:rsidRDefault="00422F32" w:rsidP="00B6568F">
            <w:pPr>
              <w:spacing w:before="240" w:line="240" w:lineRule="auto"/>
              <w:rPr>
                <w:rFonts w:cs="Arial"/>
              </w:rPr>
            </w:pPr>
            <w:r w:rsidRPr="00422F32">
              <w:rPr>
                <w:rFonts w:cs="Arial"/>
                <w:b/>
              </w:rPr>
              <w:t>Contacts tracing</w:t>
            </w:r>
          </w:p>
          <w:p w14:paraId="0D4BDA32" w14:textId="7EE0229D" w:rsidR="00C629AD" w:rsidRDefault="009947F4" w:rsidP="008833A1">
            <w:pPr>
              <w:jc w:val="both"/>
              <w:rPr>
                <w:rFonts w:cs="Arial"/>
              </w:rPr>
            </w:pPr>
            <w:r w:rsidRPr="00CF264E">
              <w:rPr>
                <w:rFonts w:cs="Arial"/>
              </w:rPr>
              <w:t xml:space="preserve">Contact </w:t>
            </w:r>
            <w:r w:rsidR="00C10E73" w:rsidRPr="00CF264E">
              <w:rPr>
                <w:rFonts w:cs="Arial"/>
              </w:rPr>
              <w:t xml:space="preserve">tracing is conducted </w:t>
            </w:r>
            <w:r w:rsidR="008833A1" w:rsidRPr="00CF264E">
              <w:rPr>
                <w:rFonts w:cs="Arial"/>
              </w:rPr>
              <w:t xml:space="preserve">at the district level by PHC </w:t>
            </w:r>
            <w:r w:rsidR="00F53DAF" w:rsidRPr="00CF264E">
              <w:rPr>
                <w:rFonts w:cs="Arial"/>
              </w:rPr>
              <w:t>personnel</w:t>
            </w:r>
            <w:r w:rsidR="008833A1" w:rsidRPr="00CF264E">
              <w:rPr>
                <w:rFonts w:cs="Arial"/>
              </w:rPr>
              <w:t xml:space="preserve"> in </w:t>
            </w:r>
            <w:r w:rsidR="00F53DAF" w:rsidRPr="00CF264E">
              <w:rPr>
                <w:rFonts w:cs="Arial"/>
              </w:rPr>
              <w:t>cooperation</w:t>
            </w:r>
            <w:r w:rsidR="008833A1" w:rsidRPr="00CF264E">
              <w:rPr>
                <w:rFonts w:cs="Arial"/>
              </w:rPr>
              <w:t xml:space="preserve"> wit</w:t>
            </w:r>
            <w:r w:rsidR="00422F32">
              <w:rPr>
                <w:rFonts w:cs="Arial"/>
              </w:rPr>
              <w:t>h a phthisiopulmonologist and the</w:t>
            </w:r>
            <w:r w:rsidR="008833A1" w:rsidRPr="00CF264E">
              <w:rPr>
                <w:rFonts w:cs="Arial"/>
              </w:rPr>
              <w:t xml:space="preserve"> epidemiologist among family contacts, including children refe</w:t>
            </w:r>
            <w:r w:rsidR="00CF264E">
              <w:rPr>
                <w:rFonts w:cs="Arial"/>
              </w:rPr>
              <w:t xml:space="preserve">rred from the PHC level. The </w:t>
            </w:r>
            <w:r w:rsidR="00867B59">
              <w:rPr>
                <w:rFonts w:cs="Arial"/>
              </w:rPr>
              <w:t xml:space="preserve">contacts’ </w:t>
            </w:r>
            <w:r w:rsidR="00CF264E">
              <w:rPr>
                <w:rFonts w:cs="Arial"/>
              </w:rPr>
              <w:t xml:space="preserve">examination </w:t>
            </w:r>
            <w:r w:rsidR="00CF264E" w:rsidRPr="00CF264E">
              <w:rPr>
                <w:rFonts w:cs="Arial"/>
              </w:rPr>
              <w:t xml:space="preserve">is performed </w:t>
            </w:r>
            <w:r w:rsidR="00CF264E">
              <w:rPr>
                <w:rFonts w:cs="Arial"/>
              </w:rPr>
              <w:t>following</w:t>
            </w:r>
            <w:r w:rsidR="008833A1" w:rsidRPr="00CF264E">
              <w:rPr>
                <w:rFonts w:cs="Arial"/>
              </w:rPr>
              <w:t xml:space="preserve"> </w:t>
            </w:r>
            <w:r w:rsidR="00CF264E" w:rsidRPr="00CF264E">
              <w:rPr>
                <w:rFonts w:cs="Arial"/>
              </w:rPr>
              <w:t>the MoH order</w:t>
            </w:r>
            <w:r w:rsidR="00BE7AFE">
              <w:rPr>
                <w:rFonts w:cs="Arial"/>
              </w:rPr>
              <w:t xml:space="preserve"> No 214</w:t>
            </w:r>
            <w:r w:rsidR="00CF264E" w:rsidRPr="00CF264E">
              <w:rPr>
                <w:rFonts w:cs="Arial"/>
              </w:rPr>
              <w:t xml:space="preserve"> and </w:t>
            </w:r>
            <w:r w:rsidR="00422F32">
              <w:rPr>
                <w:rFonts w:cs="Arial"/>
              </w:rPr>
              <w:t xml:space="preserve">adopted </w:t>
            </w:r>
            <w:r w:rsidR="008833A1" w:rsidRPr="00CF264E">
              <w:rPr>
                <w:rFonts w:cs="Arial"/>
              </w:rPr>
              <w:t>national guidelines</w:t>
            </w:r>
            <w:r w:rsidR="00ED7EA7">
              <w:rPr>
                <w:rStyle w:val="af"/>
                <w:rFonts w:cs="Arial"/>
              </w:rPr>
              <w:footnoteReference w:id="48"/>
            </w:r>
            <w:r w:rsidR="00CF264E" w:rsidRPr="00CF264E">
              <w:rPr>
                <w:rFonts w:cs="Arial"/>
              </w:rPr>
              <w:t>.</w:t>
            </w:r>
            <w:r w:rsidR="008833A1" w:rsidRPr="00CF264E">
              <w:rPr>
                <w:rFonts w:cs="Arial"/>
              </w:rPr>
              <w:t xml:space="preserve"> </w:t>
            </w:r>
            <w:r w:rsidR="00CF264E" w:rsidRPr="00CF264E">
              <w:rPr>
                <w:rFonts w:cs="Arial"/>
              </w:rPr>
              <w:t>The</w:t>
            </w:r>
            <w:r w:rsidR="008833A1" w:rsidRPr="00CF264E">
              <w:rPr>
                <w:rFonts w:cs="Arial"/>
              </w:rPr>
              <w:t xml:space="preserve"> range of </w:t>
            </w:r>
            <w:r w:rsidR="00CF264E" w:rsidRPr="00CF264E">
              <w:rPr>
                <w:rFonts w:cs="Arial"/>
              </w:rPr>
              <w:t>tests</w:t>
            </w:r>
            <w:r w:rsidR="008833A1" w:rsidRPr="00CF264E">
              <w:rPr>
                <w:rFonts w:cs="Arial"/>
              </w:rPr>
              <w:t xml:space="preserve"> depends on the age of contacts and </w:t>
            </w:r>
            <w:r w:rsidR="00CF264E" w:rsidRPr="00CF264E">
              <w:rPr>
                <w:rFonts w:cs="Arial"/>
              </w:rPr>
              <w:t>includes</w:t>
            </w:r>
            <w:r w:rsidR="008833A1" w:rsidRPr="00CF264E">
              <w:rPr>
                <w:rFonts w:cs="Arial"/>
              </w:rPr>
              <w:t xml:space="preserve"> tuberculin tests, immunological methods (on a more limited scale</w:t>
            </w:r>
            <w:r w:rsidR="00737DA9">
              <w:rPr>
                <w:rFonts w:cs="Arial"/>
              </w:rPr>
              <w:t>), and X-ray studies (Figure 26</w:t>
            </w:r>
            <w:r w:rsidR="008833A1" w:rsidRPr="00CF264E">
              <w:rPr>
                <w:rFonts w:cs="Arial"/>
              </w:rPr>
              <w:t>).</w:t>
            </w:r>
          </w:p>
          <w:p w14:paraId="3BD95658" w14:textId="5FE02E75" w:rsidR="00123C75" w:rsidRDefault="00867B59" w:rsidP="00123C75">
            <w:pPr>
              <w:spacing w:after="0" w:line="240" w:lineRule="auto"/>
              <w:jc w:val="both"/>
              <w:rPr>
                <w:rFonts w:cs="Arial"/>
              </w:rPr>
            </w:pPr>
            <w:r>
              <w:rPr>
                <w:rFonts w:cs="Arial"/>
              </w:rPr>
              <w:t>The data on c</w:t>
            </w:r>
            <w:r w:rsidR="00123C75" w:rsidRPr="0080179F">
              <w:rPr>
                <w:rFonts w:cs="Arial"/>
              </w:rPr>
              <w:t>ont</w:t>
            </w:r>
            <w:r>
              <w:rPr>
                <w:rFonts w:cs="Arial"/>
              </w:rPr>
              <w:t>acts’ investigation</w:t>
            </w:r>
            <w:r w:rsidR="00123C75" w:rsidRPr="0080179F">
              <w:rPr>
                <w:rFonts w:cs="Arial"/>
              </w:rPr>
              <w:t xml:space="preserve"> show</w:t>
            </w:r>
            <w:r>
              <w:rPr>
                <w:rFonts w:cs="Arial"/>
              </w:rPr>
              <w:t>s</w:t>
            </w:r>
            <w:r w:rsidR="00123C75" w:rsidRPr="0080179F">
              <w:rPr>
                <w:rFonts w:cs="Arial"/>
              </w:rPr>
              <w:t xml:space="preserve"> steady high coverage (90%) by TB screening programs. Though, the prevalence of tuberculosis among household contacts was </w:t>
            </w:r>
            <w:r w:rsidR="00123C75" w:rsidRPr="003C5EA3">
              <w:rPr>
                <w:rFonts w:cs="Arial"/>
              </w:rPr>
              <w:t>reported to be low (</w:t>
            </w:r>
            <w:r w:rsidR="00B6568F">
              <w:rPr>
                <w:rFonts w:cs="Arial"/>
              </w:rPr>
              <w:t>312.9 in 2019;</w:t>
            </w:r>
            <w:r w:rsidR="003C5EA3" w:rsidRPr="003C5EA3">
              <w:rPr>
                <w:rFonts w:cs="Arial"/>
              </w:rPr>
              <w:t xml:space="preserve"> 291 </w:t>
            </w:r>
            <w:r w:rsidR="00123C75" w:rsidRPr="003C5EA3">
              <w:rPr>
                <w:rFonts w:cs="Arial"/>
              </w:rPr>
              <w:t xml:space="preserve">in </w:t>
            </w:r>
            <w:r w:rsidR="003C5EA3" w:rsidRPr="003C5EA3">
              <w:rPr>
                <w:rFonts w:cs="Arial"/>
              </w:rPr>
              <w:t>2020</w:t>
            </w:r>
            <w:r w:rsidR="00B6568F">
              <w:rPr>
                <w:rFonts w:cs="Arial"/>
              </w:rPr>
              <w:t>;</w:t>
            </w:r>
            <w:r w:rsidR="003C5EA3" w:rsidRPr="003C5EA3">
              <w:rPr>
                <w:rFonts w:cs="Arial"/>
              </w:rPr>
              <w:t xml:space="preserve"> </w:t>
            </w:r>
            <w:r w:rsidR="003C5EA3">
              <w:rPr>
                <w:rFonts w:cs="Arial"/>
              </w:rPr>
              <w:t>271 in</w:t>
            </w:r>
            <w:r w:rsidR="003C5EA3" w:rsidRPr="003C5EA3">
              <w:rPr>
                <w:rFonts w:cs="Arial"/>
              </w:rPr>
              <w:t xml:space="preserve"> </w:t>
            </w:r>
            <w:r w:rsidR="003C5EA3">
              <w:rPr>
                <w:rFonts w:cs="Arial"/>
              </w:rPr>
              <w:t xml:space="preserve">nine </w:t>
            </w:r>
            <w:r w:rsidR="00B6568F">
              <w:rPr>
                <w:rFonts w:cs="Arial"/>
              </w:rPr>
              <w:t>months of 2020 per</w:t>
            </w:r>
            <w:r w:rsidR="003C5EA3" w:rsidRPr="003C5EA3">
              <w:rPr>
                <w:rFonts w:cs="Arial"/>
              </w:rPr>
              <w:t xml:space="preserve"> 100,000 contacts</w:t>
            </w:r>
            <w:r w:rsidR="00123C75" w:rsidRPr="003C5EA3">
              <w:rPr>
                <w:rFonts w:cs="Arial"/>
              </w:rPr>
              <w:t>).</w:t>
            </w:r>
            <w:r w:rsidR="00123C75" w:rsidRPr="0080179F">
              <w:rPr>
                <w:rFonts w:cs="Arial"/>
              </w:rPr>
              <w:t xml:space="preserve"> </w:t>
            </w:r>
          </w:p>
          <w:p w14:paraId="73C8C74D" w14:textId="77777777" w:rsidR="00123C75" w:rsidRDefault="00123C75" w:rsidP="00123C75">
            <w:pPr>
              <w:spacing w:after="0" w:line="240" w:lineRule="auto"/>
              <w:jc w:val="both"/>
              <w:rPr>
                <w:rFonts w:cs="Arial"/>
              </w:rPr>
            </w:pPr>
          </w:p>
          <w:p w14:paraId="6A5681AF" w14:textId="4128B1D6" w:rsidR="00123C75" w:rsidRDefault="00123C75" w:rsidP="00123C75">
            <w:pPr>
              <w:spacing w:after="0" w:line="240" w:lineRule="auto"/>
              <w:jc w:val="both"/>
              <w:rPr>
                <w:rFonts w:cs="Arial"/>
              </w:rPr>
            </w:pPr>
            <w:r w:rsidRPr="0080179F">
              <w:rPr>
                <w:rFonts w:cs="Arial"/>
              </w:rPr>
              <w:t xml:space="preserve">It is worth mentioning constraints of the screening program organization, including challenges in involving hard-to-reach population groups (e.g., homeless, undocumented migrants) or those from remote areas, since the size of these groups is not well known, limiting coverage analysis and program targeting. For the population to be eligible for the basic package of PHC services, they </w:t>
            </w:r>
            <w:proofErr w:type="gramStart"/>
            <w:r w:rsidRPr="0080179F">
              <w:rPr>
                <w:rFonts w:cs="Arial"/>
              </w:rPr>
              <w:t>have to</w:t>
            </w:r>
            <w:proofErr w:type="gramEnd"/>
            <w:r w:rsidRPr="0080179F">
              <w:rPr>
                <w:rFonts w:cs="Arial"/>
              </w:rPr>
              <w:t xml:space="preserve"> be enrolled with the facility based on identity cards. Also, the enrollment data serve as the base for the facility to be reimbursed for the care delivered.</w:t>
            </w:r>
            <w:r>
              <w:rPr>
                <w:rFonts w:cs="Arial"/>
              </w:rPr>
              <w:t xml:space="preserve"> </w:t>
            </w:r>
            <w:r w:rsidRPr="00DE07FB">
              <w:rPr>
                <w:rFonts w:cs="Arial"/>
              </w:rPr>
              <w:t>For addressing these gaps, the role of civil society organizations working with hardest-to-reach and marginalized populatio</w:t>
            </w:r>
            <w:r>
              <w:rPr>
                <w:rFonts w:cs="Arial"/>
              </w:rPr>
              <w:t>n groups</w:t>
            </w:r>
            <w:r w:rsidR="00867B59">
              <w:rPr>
                <w:rFonts w:cs="Arial"/>
              </w:rPr>
              <w:t xml:space="preserve">, including undocumented migrants and homeless people is increasing. </w:t>
            </w:r>
            <w:r w:rsidR="00867B59" w:rsidRPr="00867B59">
              <w:rPr>
                <w:rFonts w:cs="Arial"/>
              </w:rPr>
              <w:t>The crucial role in securing the paradigm shift to CSO-led response is becoming apparent.</w:t>
            </w:r>
          </w:p>
          <w:p w14:paraId="150446FC" w14:textId="77777777" w:rsidR="00123C75" w:rsidRPr="00737DA9" w:rsidRDefault="00123C75" w:rsidP="00123C75">
            <w:pPr>
              <w:spacing w:after="0" w:line="240" w:lineRule="auto"/>
              <w:jc w:val="both"/>
              <w:rPr>
                <w:rFonts w:cs="Arial"/>
              </w:rPr>
            </w:pPr>
          </w:p>
          <w:p w14:paraId="6A047A11" w14:textId="78F22033" w:rsidR="00C629AD" w:rsidRPr="00CF264E" w:rsidRDefault="00C629AD" w:rsidP="00C629AD">
            <w:pPr>
              <w:jc w:val="both"/>
              <w:rPr>
                <w:rFonts w:cs="Arial"/>
                <w:b/>
                <w:color w:val="1E1E1E" w:themeColor="background2"/>
                <w:lang w:val="ru-RU"/>
              </w:rPr>
            </w:pPr>
            <w:r w:rsidRPr="00737DA9">
              <w:rPr>
                <w:rFonts w:cs="Arial"/>
                <w:b/>
                <w:color w:val="1E1E1E" w:themeColor="background2"/>
              </w:rPr>
              <w:t>Figure</w:t>
            </w:r>
            <w:r w:rsidRPr="00737DA9">
              <w:rPr>
                <w:rFonts w:cs="Arial"/>
                <w:b/>
                <w:color w:val="1E1E1E" w:themeColor="background2"/>
                <w:lang w:val="ru-RU"/>
              </w:rPr>
              <w:t xml:space="preserve"> </w:t>
            </w:r>
            <w:r w:rsidR="009C3637">
              <w:rPr>
                <w:rFonts w:cs="Arial"/>
                <w:b/>
                <w:color w:val="1E1E1E" w:themeColor="background2"/>
              </w:rPr>
              <w:t>26. Contacts tracing</w:t>
            </w:r>
          </w:p>
          <w:p w14:paraId="74D99498" w14:textId="6023F3B5" w:rsidR="00572227" w:rsidRPr="00123C75" w:rsidRDefault="00C629AD" w:rsidP="00123C75">
            <w:pPr>
              <w:jc w:val="both"/>
              <w:rPr>
                <w:rFonts w:cs="Arial"/>
                <w:color w:val="7030A0"/>
                <w:lang w:val="ru-RU"/>
              </w:rPr>
            </w:pPr>
            <w:r>
              <w:rPr>
                <w:noProof/>
              </w:rPr>
              <mc:AlternateContent>
                <mc:Choice Requires="wpc">
                  <w:drawing>
                    <wp:inline distT="0" distB="0" distL="0" distR="0" wp14:anchorId="4C114F99" wp14:editId="6FF176D7">
                      <wp:extent cx="6303645" cy="5608320"/>
                      <wp:effectExtent l="0" t="0" r="20955" b="5080"/>
                      <wp:docPr id="251" name="Canvas 25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29" name="Прямоугольник 2"/>
                              <wps:cNvSpPr>
                                <a:spLocks noChangeArrowheads="1"/>
                              </wps:cNvSpPr>
                              <wps:spPr bwMode="auto">
                                <a:xfrm>
                                  <a:off x="278628" y="0"/>
                                  <a:ext cx="1836217" cy="263802"/>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41120BE" w14:textId="77777777" w:rsidR="009E330A" w:rsidRPr="002B1B05" w:rsidRDefault="009E330A" w:rsidP="00C629AD">
                                    <w:pPr>
                                      <w:shd w:val="clear" w:color="auto" w:fill="FFFFFF"/>
                                      <w:jc w:val="center"/>
                                      <w:rPr>
                                        <w:rFonts w:ascii="Times New Roman" w:hAnsi="Times New Roman"/>
                                        <w:sz w:val="20"/>
                                        <w:szCs w:val="20"/>
                                      </w:rPr>
                                    </w:pPr>
                                    <w:r>
                                      <w:rPr>
                                        <w:rFonts w:ascii="Times New Roman" w:hAnsi="Times New Roman"/>
                                        <w:sz w:val="20"/>
                                        <w:szCs w:val="20"/>
                                      </w:rPr>
                                      <w:t>HIV</w:t>
                                    </w:r>
                                    <w:r w:rsidRPr="002B1B05">
                                      <w:rPr>
                                        <w:rFonts w:ascii="Times New Roman" w:hAnsi="Times New Roman"/>
                                        <w:sz w:val="20"/>
                                        <w:szCs w:val="20"/>
                                      </w:rPr>
                                      <w:t xml:space="preserve">- </w:t>
                                    </w:r>
                                    <w:r>
                                      <w:rPr>
                                        <w:rFonts w:ascii="Times New Roman" w:hAnsi="Times New Roman"/>
                                        <w:sz w:val="20"/>
                                        <w:szCs w:val="20"/>
                                      </w:rPr>
                                      <w:t>positive</w:t>
                                    </w:r>
                                  </w:p>
                                  <w:p w14:paraId="502202AC" w14:textId="77777777" w:rsidR="009E330A" w:rsidRPr="002B1B05" w:rsidRDefault="009E330A" w:rsidP="00C629AD">
                                    <w:pPr>
                                      <w:shd w:val="clear" w:color="auto" w:fill="FFFFFF"/>
                                      <w:jc w:val="center"/>
                                      <w:rPr>
                                        <w:sz w:val="20"/>
                                        <w:szCs w:val="20"/>
                                      </w:rPr>
                                    </w:pPr>
                                  </w:p>
                                </w:txbxContent>
                              </wps:txbx>
                              <wps:bodyPr rot="0" vert="horz" wrap="square" lIns="91440" tIns="45720" rIns="91440" bIns="45720" anchor="ctr" anchorCtr="0" upright="1">
                                <a:noAutofit/>
                              </wps:bodyPr>
                            </wps:wsp>
                            <wps:wsp>
                              <wps:cNvPr id="30" name="Прямоугольник 3"/>
                              <wps:cNvSpPr>
                                <a:spLocks noChangeArrowheads="1"/>
                              </wps:cNvSpPr>
                              <wps:spPr bwMode="auto">
                                <a:xfrm>
                                  <a:off x="4876472" y="2300"/>
                                  <a:ext cx="1427269" cy="266702"/>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8BB6C11" w14:textId="77777777" w:rsidR="009E330A" w:rsidRPr="002B1B05" w:rsidRDefault="009E330A" w:rsidP="00C629AD">
                                    <w:pPr>
                                      <w:jc w:val="center"/>
                                      <w:rPr>
                                        <w:rFonts w:ascii="Times New Roman" w:hAnsi="Times New Roman"/>
                                        <w:i/>
                                        <w:sz w:val="20"/>
                                        <w:szCs w:val="20"/>
                                      </w:rPr>
                                    </w:pPr>
                                    <w:r>
                                      <w:rPr>
                                        <w:rFonts w:ascii="Times New Roman" w:hAnsi="Times New Roman"/>
                                        <w:bCs/>
                                        <w:color w:val="000000"/>
                                        <w:sz w:val="20"/>
                                        <w:szCs w:val="20"/>
                                      </w:rPr>
                                      <w:t>Other risk groups</w:t>
                                    </w:r>
                                    <w:r w:rsidRPr="002B1B05">
                                      <w:rPr>
                                        <w:rFonts w:ascii="Times New Roman" w:hAnsi="Times New Roman"/>
                                        <w:bCs/>
                                        <w:color w:val="000000"/>
                                        <w:sz w:val="20"/>
                                        <w:szCs w:val="20"/>
                                        <w:vertAlign w:val="superscript"/>
                                      </w:rPr>
                                      <w:t>3</w:t>
                                    </w:r>
                                  </w:p>
                                  <w:p w14:paraId="092D907C" w14:textId="77777777" w:rsidR="009E330A" w:rsidRPr="002B1B05" w:rsidRDefault="009E330A" w:rsidP="00C629AD">
                                    <w:pPr>
                                      <w:jc w:val="center"/>
                                      <w:rPr>
                                        <w:sz w:val="20"/>
                                        <w:szCs w:val="20"/>
                                      </w:rPr>
                                    </w:pPr>
                                  </w:p>
                                </w:txbxContent>
                              </wps:txbx>
                              <wps:bodyPr rot="0" vert="horz" wrap="square" lIns="91440" tIns="45720" rIns="91440" bIns="45720" anchor="ctr" anchorCtr="0" upright="1">
                                <a:noAutofit/>
                              </wps:bodyPr>
                            </wps:wsp>
                            <wps:wsp>
                              <wps:cNvPr id="194" name="Прямоугольник 4"/>
                              <wps:cNvSpPr>
                                <a:spLocks noChangeArrowheads="1"/>
                              </wps:cNvSpPr>
                              <wps:spPr bwMode="auto">
                                <a:xfrm>
                                  <a:off x="2651209" y="2300"/>
                                  <a:ext cx="1753807" cy="265702"/>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3E4EB99" w14:textId="77777777" w:rsidR="009E330A" w:rsidRPr="006357B2" w:rsidRDefault="009E330A" w:rsidP="00C629AD">
                                    <w:pPr>
                                      <w:jc w:val="center"/>
                                      <w:rPr>
                                        <w:rFonts w:ascii="Times New Roman" w:hAnsi="Times New Roman" w:cs="Times New Roman"/>
                                        <w:sz w:val="20"/>
                                        <w:szCs w:val="20"/>
                                      </w:rPr>
                                    </w:pPr>
                                    <w:r w:rsidRPr="006357B2">
                                      <w:rPr>
                                        <w:rFonts w:ascii="Times New Roman" w:hAnsi="Times New Roman" w:cs="Times New Roman"/>
                                        <w:bCs/>
                                        <w:color w:val="000000"/>
                                        <w:sz w:val="20"/>
                                        <w:szCs w:val="20"/>
                                      </w:rPr>
                                      <w:t>Home contact</w:t>
                                    </w:r>
                                  </w:p>
                                  <w:p w14:paraId="602F363B" w14:textId="77777777" w:rsidR="009E330A" w:rsidRPr="002B1B05" w:rsidRDefault="009E330A" w:rsidP="00C629AD">
                                    <w:pPr>
                                      <w:jc w:val="center"/>
                                      <w:rPr>
                                        <w:sz w:val="20"/>
                                        <w:szCs w:val="20"/>
                                      </w:rPr>
                                    </w:pPr>
                                  </w:p>
                                </w:txbxContent>
                              </wps:txbx>
                              <wps:bodyPr rot="0" vert="horz" wrap="square" lIns="91440" tIns="45720" rIns="91440" bIns="45720" anchor="ctr" anchorCtr="0" upright="1">
                                <a:noAutofit/>
                              </wps:bodyPr>
                            </wps:wsp>
                            <wps:wsp>
                              <wps:cNvPr id="197" name="Прямоугольник 5"/>
                              <wps:cNvSpPr>
                                <a:spLocks noChangeArrowheads="1"/>
                              </wps:cNvSpPr>
                              <wps:spPr bwMode="auto">
                                <a:xfrm>
                                  <a:off x="2991949" y="519304"/>
                                  <a:ext cx="1268550" cy="238202"/>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4D4BA9A" w14:textId="77777777" w:rsidR="009E330A" w:rsidRPr="002B1B05" w:rsidRDefault="009E330A" w:rsidP="00C629AD">
                                    <w:pPr>
                                      <w:jc w:val="center"/>
                                      <w:rPr>
                                        <w:rFonts w:ascii="Times New Roman" w:hAnsi="Times New Roman"/>
                                        <w:sz w:val="20"/>
                                        <w:szCs w:val="20"/>
                                      </w:rPr>
                                    </w:pPr>
                                    <w:r w:rsidRPr="001711AB">
                                      <w:rPr>
                                        <w:rFonts w:ascii="Times New Roman" w:hAnsi="Times New Roman"/>
                                        <w:bCs/>
                                        <w:color w:val="000000"/>
                                        <w:sz w:val="20"/>
                                        <w:szCs w:val="20"/>
                                      </w:rPr>
                                      <w:t xml:space="preserve">Symptoms </w:t>
                                    </w:r>
                                    <w:r w:rsidRPr="002B1B05">
                                      <w:rPr>
                                        <w:rFonts w:ascii="Times New Roman" w:hAnsi="Times New Roman"/>
                                        <w:bCs/>
                                        <w:color w:val="000000"/>
                                        <w:sz w:val="20"/>
                                        <w:szCs w:val="20"/>
                                        <w:vertAlign w:val="superscript"/>
                                      </w:rPr>
                                      <w:t>2</w:t>
                                    </w:r>
                                  </w:p>
                                </w:txbxContent>
                              </wps:txbx>
                              <wps:bodyPr rot="0" vert="horz" wrap="square" lIns="91440" tIns="45720" rIns="91440" bIns="45720" anchor="ctr" anchorCtr="0" upright="1">
                                <a:noAutofit/>
                              </wps:bodyPr>
                            </wps:wsp>
                            <wps:wsp>
                              <wps:cNvPr id="198" name="Прямоугольник 6"/>
                              <wps:cNvSpPr>
                                <a:spLocks noChangeArrowheads="1"/>
                              </wps:cNvSpPr>
                              <wps:spPr bwMode="auto">
                                <a:xfrm>
                                  <a:off x="146913" y="468604"/>
                                  <a:ext cx="2370180" cy="545204"/>
                                </a:xfrm>
                                <a:prstGeom prst="rect">
                                  <a:avLst/>
                                </a:prstGeom>
                                <a:solidFill>
                                  <a:srgbClr val="FFFFFF"/>
                                </a:solidFill>
                                <a:ln w="12700">
                                  <a:solidFill>
                                    <a:srgbClr val="000000"/>
                                  </a:solidFill>
                                  <a:miter lim="800000"/>
                                  <a:headEnd/>
                                  <a:tailEnd/>
                                </a:ln>
                              </wps:spPr>
                              <wps:txbx>
                                <w:txbxContent>
                                  <w:p w14:paraId="3959A3BA" w14:textId="77777777" w:rsidR="009E330A" w:rsidRPr="001711AB" w:rsidRDefault="009E330A" w:rsidP="00C629AD">
                                    <w:pPr>
                                      <w:jc w:val="center"/>
                                      <w:rPr>
                                        <w:rFonts w:ascii="Times New Roman" w:hAnsi="Times New Roman"/>
                                        <w:sz w:val="20"/>
                                        <w:szCs w:val="20"/>
                                      </w:rPr>
                                    </w:pPr>
                                    <w:r>
                                      <w:rPr>
                                        <w:rStyle w:val="A00"/>
                                        <w:rFonts w:ascii="Times New Roman" w:hAnsi="Times New Roman"/>
                                        <w:bCs/>
                                        <w:sz w:val="20"/>
                                        <w:szCs w:val="20"/>
                                      </w:rPr>
                                      <w:t>One</w:t>
                                    </w:r>
                                    <w:r w:rsidRPr="001711AB">
                                      <w:rPr>
                                        <w:rStyle w:val="A00"/>
                                        <w:rFonts w:ascii="Times New Roman" w:hAnsi="Times New Roman"/>
                                        <w:bCs/>
                                        <w:sz w:val="20"/>
                                        <w:szCs w:val="20"/>
                                      </w:rPr>
                                      <w:t xml:space="preserve"> </w:t>
                                    </w:r>
                                    <w:r>
                                      <w:rPr>
                                        <w:rStyle w:val="A00"/>
                                        <w:rFonts w:ascii="Times New Roman" w:hAnsi="Times New Roman"/>
                                        <w:bCs/>
                                        <w:sz w:val="20"/>
                                        <w:szCs w:val="20"/>
                                      </w:rPr>
                                      <w:t>of</w:t>
                                    </w:r>
                                    <w:r w:rsidRPr="001711AB">
                                      <w:rPr>
                                        <w:rStyle w:val="A00"/>
                                        <w:rFonts w:ascii="Times New Roman" w:hAnsi="Times New Roman"/>
                                        <w:bCs/>
                                        <w:sz w:val="20"/>
                                        <w:szCs w:val="20"/>
                                      </w:rPr>
                                      <w:t xml:space="preserve"> </w:t>
                                    </w:r>
                                    <w:r>
                                      <w:rPr>
                                        <w:rStyle w:val="A00"/>
                                        <w:rFonts w:ascii="Times New Roman" w:hAnsi="Times New Roman"/>
                                        <w:bCs/>
                                        <w:sz w:val="20"/>
                                        <w:szCs w:val="20"/>
                                      </w:rPr>
                                      <w:t>the</w:t>
                                    </w:r>
                                    <w:r w:rsidRPr="001711AB">
                                      <w:rPr>
                                        <w:rStyle w:val="A00"/>
                                        <w:rFonts w:ascii="Times New Roman" w:hAnsi="Times New Roman"/>
                                        <w:bCs/>
                                        <w:sz w:val="20"/>
                                        <w:szCs w:val="20"/>
                                      </w:rPr>
                                      <w:t xml:space="preserve"> </w:t>
                                    </w:r>
                                    <w:proofErr w:type="gramStart"/>
                                    <w:r>
                                      <w:rPr>
                                        <w:rStyle w:val="A00"/>
                                        <w:rFonts w:ascii="Times New Roman" w:hAnsi="Times New Roman"/>
                                        <w:bCs/>
                                        <w:sz w:val="20"/>
                                        <w:szCs w:val="20"/>
                                      </w:rPr>
                                      <w:t>symptom</w:t>
                                    </w:r>
                                    <w:proofErr w:type="gramEnd"/>
                                    <w:r w:rsidRPr="001711AB">
                                      <w:rPr>
                                        <w:rStyle w:val="A00"/>
                                        <w:rFonts w:ascii="Times New Roman" w:hAnsi="Times New Roman"/>
                                        <w:bCs/>
                                        <w:sz w:val="20"/>
                                        <w:szCs w:val="20"/>
                                      </w:rPr>
                                      <w:t xml:space="preserve">: cough </w:t>
                                    </w:r>
                                    <w:r>
                                      <w:rPr>
                                        <w:rStyle w:val="A00"/>
                                        <w:rFonts w:ascii="Times New Roman" w:hAnsi="Times New Roman"/>
                                        <w:bCs/>
                                        <w:sz w:val="20"/>
                                        <w:szCs w:val="20"/>
                                      </w:rPr>
                                      <w:t xml:space="preserve">or </w:t>
                                    </w:r>
                                    <w:r w:rsidRPr="001711AB">
                                      <w:rPr>
                                        <w:rStyle w:val="A00"/>
                                        <w:rFonts w:ascii="Times New Roman" w:hAnsi="Times New Roman"/>
                                        <w:bCs/>
                                        <w:sz w:val="20"/>
                                        <w:szCs w:val="20"/>
                                      </w:rPr>
                                      <w:t xml:space="preserve">fever, </w:t>
                                    </w:r>
                                    <w:r>
                                      <w:rPr>
                                        <w:rStyle w:val="A00"/>
                                        <w:rFonts w:ascii="Times New Roman" w:hAnsi="Times New Roman"/>
                                        <w:bCs/>
                                        <w:sz w:val="20"/>
                                        <w:szCs w:val="20"/>
                                      </w:rPr>
                                      <w:t xml:space="preserve">or </w:t>
                                    </w:r>
                                    <w:r w:rsidRPr="001711AB">
                                      <w:rPr>
                                        <w:rStyle w:val="A00"/>
                                        <w:rFonts w:ascii="Times New Roman" w:hAnsi="Times New Roman"/>
                                        <w:bCs/>
                                        <w:sz w:val="20"/>
                                        <w:szCs w:val="20"/>
                                      </w:rPr>
                                      <w:t>weight loss, or night sweats</w:t>
                                    </w:r>
                                    <w:r w:rsidRPr="001711AB">
                                      <w:rPr>
                                        <w:rStyle w:val="A00"/>
                                        <w:rFonts w:ascii="Times New Roman" w:hAnsi="Times New Roman"/>
                                        <w:bCs/>
                                        <w:sz w:val="20"/>
                                        <w:szCs w:val="20"/>
                                        <w:vertAlign w:val="superscript"/>
                                      </w:rPr>
                                      <w:t>1</w:t>
                                    </w:r>
                                  </w:p>
                                </w:txbxContent>
                              </wps:txbx>
                              <wps:bodyPr rot="0" vert="horz" wrap="square" lIns="91440" tIns="45720" rIns="91440" bIns="45720" anchor="ctr" anchorCtr="0" upright="1">
                                <a:noAutofit/>
                              </wps:bodyPr>
                            </wps:wsp>
                            <wps:wsp>
                              <wps:cNvPr id="199" name="Прямоугольник: скругленные углы 7"/>
                              <wps:cNvSpPr>
                                <a:spLocks noChangeArrowheads="1"/>
                              </wps:cNvSpPr>
                              <wps:spPr bwMode="auto">
                                <a:xfrm>
                                  <a:off x="1747902" y="1426911"/>
                                  <a:ext cx="504060" cy="252002"/>
                                </a:xfrm>
                                <a:prstGeom prst="roundRect">
                                  <a:avLst>
                                    <a:gd name="adj" fmla="val 16667"/>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7DBF705" w14:textId="77777777" w:rsidR="009E330A" w:rsidRPr="00655497" w:rsidRDefault="009E330A" w:rsidP="00C629AD">
                                    <w:pPr>
                                      <w:jc w:val="center"/>
                                      <w:rPr>
                                        <w:rFonts w:ascii="Times New Roman" w:hAnsi="Times New Roman"/>
                                        <w:sz w:val="20"/>
                                        <w:szCs w:val="20"/>
                                      </w:rPr>
                                    </w:pPr>
                                    <w:r>
                                      <w:rPr>
                                        <w:rFonts w:ascii="Times New Roman" w:hAnsi="Times New Roman"/>
                                        <w:bCs/>
                                        <w:sz w:val="20"/>
                                        <w:szCs w:val="20"/>
                                      </w:rPr>
                                      <w:t>Yes</w:t>
                                    </w:r>
                                  </w:p>
                                </w:txbxContent>
                              </wps:txbx>
                              <wps:bodyPr rot="0" vert="horz" wrap="square" lIns="91440" tIns="45720" rIns="91440" bIns="45720" anchor="ctr" anchorCtr="0" upright="1">
                                <a:noAutofit/>
                              </wps:bodyPr>
                            </wps:wsp>
                            <wps:wsp>
                              <wps:cNvPr id="200" name="Прямоугольник 8"/>
                              <wps:cNvSpPr>
                                <a:spLocks noChangeArrowheads="1"/>
                              </wps:cNvSpPr>
                              <wps:spPr bwMode="auto">
                                <a:xfrm>
                                  <a:off x="988312" y="1938814"/>
                                  <a:ext cx="2102449" cy="292602"/>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E49BDCB" w14:textId="77777777" w:rsidR="009E330A" w:rsidRPr="002B1B05" w:rsidRDefault="009E330A" w:rsidP="00C629AD">
                                    <w:pPr>
                                      <w:jc w:val="center"/>
                                      <w:rPr>
                                        <w:rFonts w:ascii="Times New Roman" w:hAnsi="Times New Roman"/>
                                        <w:sz w:val="20"/>
                                        <w:szCs w:val="20"/>
                                      </w:rPr>
                                    </w:pPr>
                                    <w:r w:rsidRPr="001711AB">
                                      <w:rPr>
                                        <w:rFonts w:ascii="Times New Roman" w:hAnsi="Times New Roman"/>
                                        <w:bCs/>
                                        <w:color w:val="000000"/>
                                        <w:sz w:val="20"/>
                                        <w:szCs w:val="20"/>
                                      </w:rPr>
                                      <w:t>Examine for active TB</w:t>
                                    </w:r>
                                  </w:p>
                                </w:txbxContent>
                              </wps:txbx>
                              <wps:bodyPr rot="0" vert="horz" wrap="square" lIns="91440" tIns="45720" rIns="91440" bIns="45720" anchor="ctr" anchorCtr="0" upright="1">
                                <a:noAutofit/>
                              </wps:bodyPr>
                            </wps:wsp>
                            <wps:wsp>
                              <wps:cNvPr id="201" name="Прямоугольник: скругленные углы 9"/>
                              <wps:cNvSpPr>
                                <a:spLocks noChangeArrowheads="1"/>
                              </wps:cNvSpPr>
                              <wps:spPr bwMode="auto">
                                <a:xfrm>
                                  <a:off x="89806" y="1404811"/>
                                  <a:ext cx="530263" cy="252002"/>
                                </a:xfrm>
                                <a:prstGeom prst="roundRect">
                                  <a:avLst>
                                    <a:gd name="adj" fmla="val 16667"/>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B3E0A97" w14:textId="77777777" w:rsidR="009E330A" w:rsidRPr="00655497" w:rsidRDefault="009E330A" w:rsidP="00C629AD">
                                    <w:pPr>
                                      <w:jc w:val="center"/>
                                      <w:rPr>
                                        <w:rFonts w:ascii="Times New Roman" w:hAnsi="Times New Roman"/>
                                        <w:sz w:val="20"/>
                                        <w:szCs w:val="20"/>
                                      </w:rPr>
                                    </w:pPr>
                                    <w:r>
                                      <w:rPr>
                                        <w:rFonts w:ascii="Times New Roman" w:hAnsi="Times New Roman"/>
                                        <w:bCs/>
                                        <w:sz w:val="20"/>
                                        <w:szCs w:val="20"/>
                                      </w:rPr>
                                      <w:t xml:space="preserve">No </w:t>
                                    </w:r>
                                  </w:p>
                                </w:txbxContent>
                              </wps:txbx>
                              <wps:bodyPr rot="0" vert="horz" wrap="square" lIns="91440" tIns="45720" rIns="91440" bIns="45720" anchor="ctr" anchorCtr="0" upright="1">
                                <a:noAutofit/>
                              </wps:bodyPr>
                            </wps:wsp>
                            <wps:wsp>
                              <wps:cNvPr id="202" name="Прямоугольник 10"/>
                              <wps:cNvSpPr>
                                <a:spLocks noChangeArrowheads="1"/>
                              </wps:cNvSpPr>
                              <wps:spPr bwMode="auto">
                                <a:xfrm>
                                  <a:off x="1424564" y="2519119"/>
                                  <a:ext cx="1343159" cy="239102"/>
                                </a:xfrm>
                                <a:prstGeom prst="rect">
                                  <a:avLst/>
                                </a:prstGeom>
                                <a:solidFill>
                                  <a:srgbClr val="FFFFFF"/>
                                </a:solidFill>
                                <a:ln w="12700">
                                  <a:solidFill>
                                    <a:srgbClr val="000000"/>
                                  </a:solidFill>
                                  <a:miter lim="800000"/>
                                  <a:headEnd/>
                                  <a:tailEnd/>
                                </a:ln>
                              </wps:spPr>
                              <wps:txbx>
                                <w:txbxContent>
                                  <w:p w14:paraId="5D53A2FB"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Active TB excluded</w:t>
                                    </w:r>
                                  </w:p>
                                </w:txbxContent>
                              </wps:txbx>
                              <wps:bodyPr rot="0" vert="horz" wrap="square" lIns="91440" tIns="45720" rIns="91440" bIns="45720" anchor="ctr" anchorCtr="0" upright="1">
                                <a:noAutofit/>
                              </wps:bodyPr>
                            </wps:wsp>
                            <wps:wsp>
                              <wps:cNvPr id="204" name="Прямоугольник 11"/>
                              <wps:cNvSpPr>
                                <a:spLocks noChangeArrowheads="1"/>
                              </wps:cNvSpPr>
                              <wps:spPr bwMode="auto">
                                <a:xfrm>
                                  <a:off x="36000" y="2834121"/>
                                  <a:ext cx="1857520" cy="407203"/>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D8AA243" w14:textId="77777777" w:rsidR="009E330A" w:rsidRPr="002B1B05" w:rsidRDefault="009E330A" w:rsidP="00C629AD">
                                    <w:pPr>
                                      <w:jc w:val="center"/>
                                      <w:rPr>
                                        <w:rFonts w:ascii="Times New Roman" w:hAnsi="Times New Roman"/>
                                        <w:sz w:val="20"/>
                                        <w:szCs w:val="20"/>
                                      </w:rPr>
                                    </w:pPr>
                                    <w:r w:rsidRPr="002B1B05">
                                      <w:rPr>
                                        <w:rFonts w:ascii="Segoe UI Semibold" w:hAnsi="Segoe UI Semibold" w:cs="Segoe UI Semibold"/>
                                        <w:bCs/>
                                        <w:color w:val="000000"/>
                                        <w:sz w:val="20"/>
                                        <w:szCs w:val="20"/>
                                      </w:rPr>
                                      <w:t xml:space="preserve"> </w:t>
                                    </w:r>
                                    <w:r>
                                      <w:rPr>
                                        <w:rFonts w:ascii="Times New Roman" w:hAnsi="Times New Roman"/>
                                        <w:bCs/>
                                        <w:color w:val="000000"/>
                                        <w:sz w:val="20"/>
                                        <w:szCs w:val="20"/>
                                      </w:rPr>
                                      <w:t>Preventive treatment contraindicated</w:t>
                                    </w:r>
                                    <w:r w:rsidRPr="002B1B05">
                                      <w:rPr>
                                        <w:rFonts w:ascii="Times New Roman" w:hAnsi="Times New Roman"/>
                                        <w:bCs/>
                                        <w:color w:val="000000"/>
                                        <w:sz w:val="20"/>
                                        <w:szCs w:val="20"/>
                                        <w:vertAlign w:val="superscript"/>
                                      </w:rPr>
                                      <w:t>4</w:t>
                                    </w:r>
                                  </w:p>
                                </w:txbxContent>
                              </wps:txbx>
                              <wps:bodyPr rot="0" vert="horz" wrap="square" lIns="91440" tIns="45720" rIns="91440" bIns="45720" anchor="ctr" anchorCtr="0" upright="1">
                                <a:noAutofit/>
                              </wps:bodyPr>
                            </wps:wsp>
                            <wps:wsp>
                              <wps:cNvPr id="205" name="Прямоугольник: скругленные углы 12"/>
                              <wps:cNvSpPr>
                                <a:spLocks noChangeArrowheads="1"/>
                              </wps:cNvSpPr>
                              <wps:spPr bwMode="auto">
                                <a:xfrm>
                                  <a:off x="4169389" y="1208808"/>
                                  <a:ext cx="848900" cy="268061"/>
                                </a:xfrm>
                                <a:prstGeom prst="roundRect">
                                  <a:avLst>
                                    <a:gd name="adj" fmla="val 16667"/>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6898485"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No</w:t>
                                    </w:r>
                                  </w:p>
                                </w:txbxContent>
                              </wps:txbx>
                              <wps:bodyPr rot="0" vert="horz" wrap="square" lIns="91440" tIns="45720" rIns="91440" bIns="45720" anchor="ctr" anchorCtr="0" upright="1">
                                <a:noAutofit/>
                              </wps:bodyPr>
                            </wps:wsp>
                            <wps:wsp>
                              <wps:cNvPr id="206" name="Прямоугольник: скругленные углы 13"/>
                              <wps:cNvSpPr>
                                <a:spLocks noChangeArrowheads="1"/>
                              </wps:cNvSpPr>
                              <wps:spPr bwMode="auto">
                                <a:xfrm>
                                  <a:off x="2490690" y="1209209"/>
                                  <a:ext cx="514461" cy="249602"/>
                                </a:xfrm>
                                <a:prstGeom prst="roundRect">
                                  <a:avLst>
                                    <a:gd name="adj" fmla="val 16667"/>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FF13A17"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Yes</w:t>
                                    </w:r>
                                  </w:p>
                                </w:txbxContent>
                              </wps:txbx>
                              <wps:bodyPr rot="0" vert="horz" wrap="square" lIns="91440" tIns="45720" rIns="91440" bIns="45720" anchor="ctr" anchorCtr="0" upright="1">
                                <a:noAutofit/>
                              </wps:bodyPr>
                            </wps:wsp>
                            <wps:wsp>
                              <wps:cNvPr id="207" name="Прямоугольник 14"/>
                              <wps:cNvSpPr>
                                <a:spLocks noChangeArrowheads="1"/>
                              </wps:cNvSpPr>
                              <wps:spPr bwMode="auto">
                                <a:xfrm>
                                  <a:off x="4681649" y="1734212"/>
                                  <a:ext cx="922809" cy="272247"/>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31DB540" w14:textId="77777777" w:rsidR="009E330A" w:rsidRPr="001711AB" w:rsidRDefault="009E330A" w:rsidP="00C629AD">
                                    <w:pPr>
                                      <w:jc w:val="center"/>
                                      <w:rPr>
                                        <w:rFonts w:ascii="Times New Roman" w:hAnsi="Times New Roman"/>
                                        <w:sz w:val="20"/>
                                        <w:szCs w:val="20"/>
                                      </w:rPr>
                                    </w:pPr>
                                    <w:r>
                                      <w:rPr>
                                        <w:rFonts w:ascii="Times New Roman" w:hAnsi="Times New Roman"/>
                                        <w:bCs/>
                                        <w:color w:val="000000"/>
                                        <w:sz w:val="20"/>
                                        <w:szCs w:val="20"/>
                                      </w:rPr>
                                      <w:t>&gt;</w:t>
                                    </w:r>
                                    <w:r w:rsidRPr="001711AB">
                                      <w:rPr>
                                        <w:rFonts w:ascii="Times New Roman" w:hAnsi="Times New Roman"/>
                                        <w:bCs/>
                                        <w:color w:val="000000"/>
                                        <w:sz w:val="20"/>
                                        <w:szCs w:val="20"/>
                                      </w:rPr>
                                      <w:t xml:space="preserve">5 </w:t>
                                    </w:r>
                                    <w:r>
                                      <w:rPr>
                                        <w:rFonts w:ascii="Times New Roman" w:hAnsi="Times New Roman"/>
                                        <w:bCs/>
                                        <w:color w:val="000000"/>
                                        <w:sz w:val="20"/>
                                        <w:szCs w:val="20"/>
                                      </w:rPr>
                                      <w:t>years</w:t>
                                    </w:r>
                                  </w:p>
                                  <w:p w14:paraId="45BF1D55" w14:textId="77777777" w:rsidR="009E330A" w:rsidRDefault="009E330A" w:rsidP="00C629AD"/>
                                </w:txbxContent>
                              </wps:txbx>
                              <wps:bodyPr rot="0" vert="horz" wrap="square" lIns="91440" tIns="45720" rIns="91440" bIns="45720" anchor="ctr" anchorCtr="0" upright="1">
                                <a:noAutofit/>
                              </wps:bodyPr>
                            </wps:wsp>
                            <wps:wsp>
                              <wps:cNvPr id="208" name="Прямоугольник 15"/>
                              <wps:cNvSpPr>
                                <a:spLocks noChangeArrowheads="1"/>
                              </wps:cNvSpPr>
                              <wps:spPr bwMode="auto">
                                <a:xfrm>
                                  <a:off x="3621524" y="1756112"/>
                                  <a:ext cx="893406" cy="254157"/>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0E64838" w14:textId="77777777" w:rsidR="009E330A" w:rsidRPr="002B1B05" w:rsidRDefault="009E330A" w:rsidP="00C629AD">
                                    <w:pPr>
                                      <w:jc w:val="center"/>
                                      <w:rPr>
                                        <w:rFonts w:ascii="Times New Roman" w:hAnsi="Times New Roman"/>
                                        <w:sz w:val="20"/>
                                        <w:szCs w:val="20"/>
                                      </w:rPr>
                                    </w:pPr>
                                    <w:r w:rsidRPr="002B1B05">
                                      <w:rPr>
                                        <w:rFonts w:ascii="Times New Roman" w:hAnsi="Times New Roman"/>
                                        <w:bCs/>
                                        <w:color w:val="000000"/>
                                        <w:sz w:val="20"/>
                                        <w:szCs w:val="20"/>
                                      </w:rPr>
                                      <w:t xml:space="preserve">&lt; 5 </w:t>
                                    </w:r>
                                    <w:r>
                                      <w:rPr>
                                        <w:rFonts w:ascii="Times New Roman" w:hAnsi="Times New Roman"/>
                                        <w:bCs/>
                                        <w:color w:val="000000"/>
                                        <w:sz w:val="20"/>
                                        <w:szCs w:val="20"/>
                                      </w:rPr>
                                      <w:t>years</w:t>
                                    </w:r>
                                  </w:p>
                                </w:txbxContent>
                              </wps:txbx>
                              <wps:bodyPr rot="0" vert="horz" wrap="square" lIns="91440" tIns="45720" rIns="91440" bIns="45720" anchor="ctr" anchorCtr="0" upright="1">
                                <a:noAutofit/>
                              </wps:bodyPr>
                            </wps:wsp>
                            <wps:wsp>
                              <wps:cNvPr id="209" name="Прямоугольник 16"/>
                              <wps:cNvSpPr>
                                <a:spLocks noChangeArrowheads="1"/>
                              </wps:cNvSpPr>
                              <wps:spPr bwMode="auto">
                                <a:xfrm>
                                  <a:off x="4618342" y="2184016"/>
                                  <a:ext cx="1534882" cy="279302"/>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8EA6B43"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 xml:space="preserve">Skin tests or </w:t>
                                    </w:r>
                                    <w:r w:rsidRPr="002B1B05">
                                      <w:rPr>
                                        <w:rFonts w:ascii="Times New Roman" w:hAnsi="Times New Roman"/>
                                        <w:bCs/>
                                        <w:color w:val="000000"/>
                                        <w:sz w:val="20"/>
                                        <w:szCs w:val="20"/>
                                      </w:rPr>
                                      <w:t>IGRA</w:t>
                                    </w:r>
                                  </w:p>
                                </w:txbxContent>
                              </wps:txbx>
                              <wps:bodyPr rot="0" vert="horz" wrap="square" lIns="91440" tIns="45720" rIns="91440" bIns="45720" anchor="ctr" anchorCtr="0" upright="1">
                                <a:noAutofit/>
                              </wps:bodyPr>
                            </wps:wsp>
                            <wps:wsp>
                              <wps:cNvPr id="210" name="Прямоугольник 17"/>
                              <wps:cNvSpPr>
                                <a:spLocks noChangeArrowheads="1"/>
                              </wps:cNvSpPr>
                              <wps:spPr bwMode="auto">
                                <a:xfrm>
                                  <a:off x="4013670" y="2657420"/>
                                  <a:ext cx="1153436" cy="419103"/>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0B0B1B6" w14:textId="77777777" w:rsidR="009E330A" w:rsidRPr="002B1B05" w:rsidRDefault="009E330A" w:rsidP="00C629AD">
                                    <w:pPr>
                                      <w:jc w:val="center"/>
                                      <w:rPr>
                                        <w:rFonts w:ascii="Times New Roman" w:hAnsi="Times New Roman"/>
                                        <w:sz w:val="20"/>
                                        <w:szCs w:val="20"/>
                                      </w:rPr>
                                    </w:pPr>
                                    <w:r>
                                      <w:rPr>
                                        <w:rStyle w:val="A00"/>
                                        <w:rFonts w:ascii="Times New Roman" w:hAnsi="Times New Roman"/>
                                        <w:bCs/>
                                        <w:sz w:val="20"/>
                                        <w:szCs w:val="20"/>
                                      </w:rPr>
                                      <w:t>Positive or unavailable</w:t>
                                    </w:r>
                                  </w:p>
                                </w:txbxContent>
                              </wps:txbx>
                              <wps:bodyPr rot="0" vert="horz" wrap="square" lIns="91440" tIns="45720" rIns="91440" bIns="45720" anchor="ctr" anchorCtr="0" upright="1">
                                <a:noAutofit/>
                              </wps:bodyPr>
                            </wps:wsp>
                            <wps:wsp>
                              <wps:cNvPr id="211" name="Прямоугольник 18"/>
                              <wps:cNvSpPr>
                                <a:spLocks noChangeArrowheads="1"/>
                              </wps:cNvSpPr>
                              <wps:spPr bwMode="auto">
                                <a:xfrm>
                                  <a:off x="5260418" y="2657420"/>
                                  <a:ext cx="940411" cy="411003"/>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40706E4" w14:textId="77777777" w:rsidR="009E330A" w:rsidRPr="002B1B05" w:rsidRDefault="009E330A" w:rsidP="00C629AD">
                                    <w:pPr>
                                      <w:ind w:left="-142" w:right="-24"/>
                                      <w:jc w:val="center"/>
                                      <w:rPr>
                                        <w:rFonts w:ascii="Times New Roman" w:hAnsi="Times New Roman"/>
                                        <w:sz w:val="20"/>
                                        <w:szCs w:val="20"/>
                                      </w:rPr>
                                    </w:pPr>
                                    <w:r>
                                      <w:rPr>
                                        <w:rFonts w:ascii="Times New Roman" w:hAnsi="Times New Roman"/>
                                        <w:bCs/>
                                        <w:color w:val="000000"/>
                                        <w:sz w:val="20"/>
                                        <w:szCs w:val="20"/>
                                      </w:rPr>
                                      <w:t>Negative</w:t>
                                    </w:r>
                                  </w:p>
                                </w:txbxContent>
                              </wps:txbx>
                              <wps:bodyPr rot="0" vert="horz" wrap="square" lIns="91440" tIns="45720" rIns="91440" bIns="45720" anchor="ctr" anchorCtr="0" upright="1">
                                <a:noAutofit/>
                              </wps:bodyPr>
                            </wps:wsp>
                            <wps:wsp>
                              <wps:cNvPr id="212" name="Прямоугольник: скругленные углы 20"/>
                              <wps:cNvSpPr>
                                <a:spLocks noChangeArrowheads="1"/>
                              </wps:cNvSpPr>
                              <wps:spPr bwMode="auto">
                                <a:xfrm>
                                  <a:off x="3025053" y="3435525"/>
                                  <a:ext cx="1161837" cy="275702"/>
                                </a:xfrm>
                                <a:prstGeom prst="roundRect">
                                  <a:avLst>
                                    <a:gd name="adj" fmla="val 16667"/>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A6C98D5"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Positive</w:t>
                                    </w:r>
                                  </w:p>
                                </w:txbxContent>
                              </wps:txbx>
                              <wps:bodyPr rot="0" vert="horz" wrap="square" lIns="91440" tIns="45720" rIns="91440" bIns="45720" anchor="ctr" anchorCtr="0" upright="1">
                                <a:noAutofit/>
                              </wps:bodyPr>
                            </wps:wsp>
                            <wps:wsp>
                              <wps:cNvPr id="213" name="Прямоугольник: скругленные углы 22"/>
                              <wps:cNvSpPr>
                                <a:spLocks noChangeArrowheads="1"/>
                              </wps:cNvSpPr>
                              <wps:spPr bwMode="auto">
                                <a:xfrm>
                                  <a:off x="3020153" y="3860029"/>
                                  <a:ext cx="1230546" cy="432431"/>
                                </a:xfrm>
                                <a:prstGeom prst="roundRect">
                                  <a:avLst>
                                    <a:gd name="adj" fmla="val 16667"/>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FB6A5B0" w14:textId="77777777" w:rsidR="009E330A" w:rsidRPr="002B1B05" w:rsidRDefault="009E330A" w:rsidP="00C629AD">
                                    <w:pPr>
                                      <w:shd w:val="clear" w:color="auto" w:fill="FFFFFF"/>
                                      <w:jc w:val="center"/>
                                      <w:rPr>
                                        <w:rFonts w:ascii="Times New Roman" w:hAnsi="Times New Roman"/>
                                        <w:sz w:val="20"/>
                                        <w:szCs w:val="20"/>
                                      </w:rPr>
                                    </w:pPr>
                                    <w:r>
                                      <w:rPr>
                                        <w:rStyle w:val="A00"/>
                                        <w:rFonts w:ascii="Times New Roman" w:hAnsi="Times New Roman"/>
                                        <w:bCs/>
                                        <w:sz w:val="20"/>
                                        <w:szCs w:val="20"/>
                                      </w:rPr>
                                      <w:t>Negative or unavailable</w:t>
                                    </w:r>
                                  </w:p>
                                </w:txbxContent>
                              </wps:txbx>
                              <wps:bodyPr rot="0" vert="horz" wrap="square" lIns="91440" tIns="45720" rIns="91440" bIns="45720" anchor="ctr" anchorCtr="0" upright="1">
                                <a:noAutofit/>
                              </wps:bodyPr>
                            </wps:wsp>
                            <wps:wsp>
                              <wps:cNvPr id="214" name="Прямоугольник: скругленные углы 21"/>
                              <wps:cNvSpPr>
                                <a:spLocks noChangeArrowheads="1"/>
                              </wps:cNvSpPr>
                              <wps:spPr bwMode="auto">
                                <a:xfrm>
                                  <a:off x="4643545" y="3635527"/>
                                  <a:ext cx="654377" cy="314202"/>
                                </a:xfrm>
                                <a:prstGeom prst="roundRect">
                                  <a:avLst>
                                    <a:gd name="adj" fmla="val 16667"/>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EFA20F1" w14:textId="77777777" w:rsidR="009E330A" w:rsidRPr="002B1B05" w:rsidRDefault="009E330A" w:rsidP="00C629AD">
                                    <w:pPr>
                                      <w:shd w:val="clear" w:color="auto" w:fill="FFFFFF"/>
                                      <w:jc w:val="center"/>
                                      <w:rPr>
                                        <w:rFonts w:ascii="Times New Roman" w:hAnsi="Times New Roman"/>
                                        <w:sz w:val="20"/>
                                        <w:szCs w:val="20"/>
                                      </w:rPr>
                                    </w:pPr>
                                    <w:r w:rsidRPr="002B1B05">
                                      <w:rPr>
                                        <w:rFonts w:ascii="Times New Roman" w:hAnsi="Times New Roman"/>
                                        <w:bCs/>
                                        <w:color w:val="000000"/>
                                        <w:sz w:val="20"/>
                                        <w:szCs w:val="20"/>
                                      </w:rPr>
                                      <w:t>GXR</w:t>
                                    </w:r>
                                    <w:r w:rsidRPr="002B1B05">
                                      <w:rPr>
                                        <w:rFonts w:ascii="Times New Roman" w:hAnsi="Times New Roman"/>
                                        <w:bCs/>
                                        <w:color w:val="000000"/>
                                        <w:sz w:val="20"/>
                                        <w:szCs w:val="20"/>
                                        <w:vertAlign w:val="superscript"/>
                                      </w:rPr>
                                      <w:t>6</w:t>
                                    </w:r>
                                  </w:p>
                                </w:txbxContent>
                              </wps:txbx>
                              <wps:bodyPr rot="0" vert="horz" wrap="square" lIns="91440" tIns="45720" rIns="91440" bIns="45720" anchor="ctr" anchorCtr="0" upright="1">
                                <a:noAutofit/>
                              </wps:bodyPr>
                            </wps:wsp>
                            <wps:wsp>
                              <wps:cNvPr id="215" name="Прямоугольник: скругленные углы 23"/>
                              <wps:cNvSpPr>
                                <a:spLocks noChangeArrowheads="1"/>
                              </wps:cNvSpPr>
                              <wps:spPr bwMode="auto">
                                <a:xfrm>
                                  <a:off x="1294748" y="3846028"/>
                                  <a:ext cx="739788" cy="265002"/>
                                </a:xfrm>
                                <a:prstGeom prst="roundRect">
                                  <a:avLst>
                                    <a:gd name="adj" fmla="val 16667"/>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6B06CC5"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No</w:t>
                                    </w:r>
                                  </w:p>
                                  <w:p w14:paraId="39497FAF" w14:textId="77777777" w:rsidR="009E330A" w:rsidRPr="002B1B05" w:rsidRDefault="009E330A" w:rsidP="00C629AD">
                                    <w:pPr>
                                      <w:jc w:val="center"/>
                                      <w:rPr>
                                        <w:sz w:val="20"/>
                                        <w:szCs w:val="20"/>
                                      </w:rPr>
                                    </w:pPr>
                                  </w:p>
                                </w:txbxContent>
                              </wps:txbx>
                              <wps:bodyPr rot="0" vert="horz" wrap="square" lIns="91440" tIns="45720" rIns="91440" bIns="45720" anchor="ctr" anchorCtr="0" upright="1">
                                <a:noAutofit/>
                              </wps:bodyPr>
                            </wps:wsp>
                            <wps:wsp>
                              <wps:cNvPr id="216" name="Прямоугольник: скругленные углы 24"/>
                              <wps:cNvSpPr>
                                <a:spLocks noChangeArrowheads="1"/>
                              </wps:cNvSpPr>
                              <wps:spPr bwMode="auto">
                                <a:xfrm>
                                  <a:off x="49001" y="3851228"/>
                                  <a:ext cx="741788" cy="259802"/>
                                </a:xfrm>
                                <a:prstGeom prst="roundRect">
                                  <a:avLst>
                                    <a:gd name="adj" fmla="val 16667"/>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12E4DFC"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Yes</w:t>
                                    </w:r>
                                  </w:p>
                                </w:txbxContent>
                              </wps:txbx>
                              <wps:bodyPr rot="0" vert="horz" wrap="square" lIns="91440" tIns="45720" rIns="91440" bIns="45720" anchor="ctr" anchorCtr="0" upright="1">
                                <a:noAutofit/>
                              </wps:bodyPr>
                            </wps:wsp>
                            <wps:wsp>
                              <wps:cNvPr id="217" name="Прямоугольник 24"/>
                              <wps:cNvSpPr>
                                <a:spLocks noChangeArrowheads="1"/>
                              </wps:cNvSpPr>
                              <wps:spPr bwMode="auto">
                                <a:xfrm>
                                  <a:off x="1622987" y="4362232"/>
                                  <a:ext cx="1794612" cy="371403"/>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F7BC013"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Indicate preventive treatment</w:t>
                                    </w:r>
                                    <w:r w:rsidRPr="002B1B05">
                                      <w:rPr>
                                        <w:rFonts w:ascii="Times New Roman" w:hAnsi="Times New Roman"/>
                                        <w:bCs/>
                                        <w:color w:val="000000"/>
                                        <w:sz w:val="20"/>
                                        <w:szCs w:val="20"/>
                                        <w:vertAlign w:val="superscript"/>
                                      </w:rPr>
                                      <w:t>5</w:t>
                                    </w:r>
                                  </w:p>
                                </w:txbxContent>
                              </wps:txbx>
                              <wps:bodyPr rot="0" vert="horz" wrap="square" lIns="91440" tIns="45720" rIns="91440" bIns="45720" anchor="ctr" anchorCtr="0" upright="1">
                                <a:noAutofit/>
                              </wps:bodyPr>
                            </wps:wsp>
                            <wps:wsp>
                              <wps:cNvPr id="218" name="Прямоугольник 25"/>
                              <wps:cNvSpPr>
                                <a:spLocks noChangeArrowheads="1"/>
                              </wps:cNvSpPr>
                              <wps:spPr bwMode="auto">
                                <a:xfrm>
                                  <a:off x="49001" y="4363532"/>
                                  <a:ext cx="1514579" cy="384703"/>
                                </a:xfrm>
                                <a:prstGeom prst="rect">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B51FC41"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 xml:space="preserve">Preventive treatment postponed </w:t>
                                    </w:r>
                                  </w:p>
                                </w:txbxContent>
                              </wps:txbx>
                              <wps:bodyPr rot="0" vert="horz" wrap="square" lIns="91440" tIns="45720" rIns="91440" bIns="45720" anchor="ctr" anchorCtr="0" upright="1">
                                <a:noAutofit/>
                              </wps:bodyPr>
                            </wps:wsp>
                            <wps:wsp>
                              <wps:cNvPr id="219" name="Прямоугольник 56"/>
                              <wps:cNvSpPr>
                                <a:spLocks noChangeArrowheads="1"/>
                              </wps:cNvSpPr>
                              <wps:spPr bwMode="auto">
                                <a:xfrm>
                                  <a:off x="262726" y="5059637"/>
                                  <a:ext cx="5405339" cy="512983"/>
                                </a:xfrm>
                                <a:prstGeom prst="rect">
                                  <a:avLst/>
                                </a:prstGeom>
                                <a:solidFill>
                                  <a:srgbClr val="CCFFCC"/>
                                </a:solidFill>
                                <a:ln w="12700">
                                  <a:solidFill>
                                    <a:srgbClr val="000000"/>
                                  </a:solidFill>
                                  <a:miter lim="800000"/>
                                  <a:headEnd/>
                                  <a:tailEnd/>
                                </a:ln>
                              </wps:spPr>
                              <wps:txbx>
                                <w:txbxContent>
                                  <w:p w14:paraId="79591FA1" w14:textId="77777777" w:rsidR="009E330A" w:rsidRPr="001711AB" w:rsidRDefault="009E330A" w:rsidP="00C629AD">
                                    <w:pPr>
                                      <w:shd w:val="clear" w:color="auto" w:fill="CCFFCC"/>
                                      <w:tabs>
                                        <w:tab w:val="left" w:pos="9781"/>
                                      </w:tabs>
                                      <w:spacing w:after="0" w:line="240" w:lineRule="auto"/>
                                      <w:ind w:right="245"/>
                                      <w:jc w:val="center"/>
                                      <w:rPr>
                                        <w:rStyle w:val="A14"/>
                                        <w:rFonts w:ascii="Times New Roman" w:hAnsi="Times New Roman" w:cs="Times New Roman"/>
                                      </w:rPr>
                                    </w:pPr>
                                    <w:r w:rsidRPr="001711AB">
                                      <w:rPr>
                                        <w:rStyle w:val="A14"/>
                                        <w:rFonts w:ascii="Times New Roman" w:hAnsi="Times New Roman" w:cs="Times New Roman"/>
                                      </w:rPr>
                                      <w:t>Monitor active TB as needed, even in patients</w:t>
                                    </w:r>
                                  </w:p>
                                  <w:p w14:paraId="6B1F6E8E" w14:textId="77777777" w:rsidR="009E330A" w:rsidRPr="001711AB" w:rsidRDefault="009E330A" w:rsidP="00C629AD">
                                    <w:pPr>
                                      <w:shd w:val="clear" w:color="auto" w:fill="CCFFCC"/>
                                      <w:tabs>
                                        <w:tab w:val="left" w:pos="9781"/>
                                      </w:tabs>
                                      <w:spacing w:after="0" w:line="240" w:lineRule="auto"/>
                                      <w:ind w:right="245"/>
                                      <w:jc w:val="center"/>
                                      <w:rPr>
                                        <w:rStyle w:val="A14"/>
                                        <w:rFonts w:ascii="Times New Roman" w:hAnsi="Times New Roman" w:cs="Times New Roman"/>
                                      </w:rPr>
                                    </w:pPr>
                                    <w:r w:rsidRPr="001711AB">
                                      <w:rPr>
                                        <w:rStyle w:val="A14"/>
                                        <w:rFonts w:ascii="Times New Roman" w:hAnsi="Times New Roman" w:cs="Times New Roman"/>
                                      </w:rPr>
                                      <w:t xml:space="preserve">who completed preventive </w:t>
                                    </w:r>
                                    <w:proofErr w:type="gramStart"/>
                                    <w:r w:rsidRPr="001711AB">
                                      <w:rPr>
                                        <w:rStyle w:val="A14"/>
                                        <w:rFonts w:ascii="Times New Roman" w:hAnsi="Times New Roman" w:cs="Times New Roman"/>
                                      </w:rPr>
                                      <w:t>treatment</w:t>
                                    </w:r>
                                    <w:proofErr w:type="gramEnd"/>
                                  </w:p>
                                </w:txbxContent>
                              </wps:txbx>
                              <wps:bodyPr rot="0" vert="horz" wrap="square" lIns="91440" tIns="45720" rIns="91440" bIns="45720" anchor="ctr" anchorCtr="0" upright="1">
                                <a:noAutofit/>
                              </wps:bodyPr>
                            </wps:wsp>
                            <wps:wsp>
                              <wps:cNvPr id="220" name="Прямая со стрелкой 64"/>
                              <wps:cNvCnPr>
                                <a:cxnSpLocks noChangeShapeType="1"/>
                              </wps:cNvCnPr>
                              <wps:spPr bwMode="auto">
                                <a:xfrm>
                                  <a:off x="1142230" y="263802"/>
                                  <a:ext cx="0" cy="190501"/>
                                </a:xfrm>
                                <a:prstGeom prst="straightConnector1">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1" name="Соединитель: уступ 54"/>
                              <wps:cNvCnPr>
                                <a:cxnSpLocks noChangeShapeType="1"/>
                              </wps:cNvCnPr>
                              <wps:spPr bwMode="auto">
                                <a:xfrm rot="5400000" flipH="1" flipV="1">
                                  <a:off x="1144731" y="432098"/>
                                  <a:ext cx="0" cy="1901525"/>
                                </a:xfrm>
                                <a:prstGeom prst="bentConnector3">
                                  <a:avLst>
                                    <a:gd name="adj1" fmla="val -2147483648"/>
                                  </a:avLst>
                                </a:prstGeom>
                                <a:noFill/>
                                <a:ln w="6350">
                                  <a:solidFill>
                                    <a:srgbClr val="000000"/>
                                  </a:solidFill>
                                  <a:miter lim="800000"/>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2" name="Прямая со стрелкой 74"/>
                              <wps:cNvCnPr>
                                <a:cxnSpLocks noChangeShapeType="1"/>
                              </wps:cNvCnPr>
                              <wps:spPr bwMode="auto">
                                <a:xfrm>
                                  <a:off x="3743638" y="298202"/>
                                  <a:ext cx="12301" cy="185101"/>
                                </a:xfrm>
                                <a:prstGeom prst="straightConnector1">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3" name="Соединитель: уступ 56"/>
                              <wps:cNvCnPr>
                                <a:cxnSpLocks noChangeShapeType="1"/>
                              </wps:cNvCnPr>
                              <wps:spPr bwMode="auto">
                                <a:xfrm rot="5400000" flipH="1" flipV="1">
                                  <a:off x="3823348" y="79580"/>
                                  <a:ext cx="0" cy="2185959"/>
                                </a:xfrm>
                                <a:prstGeom prst="bentConnector3">
                                  <a:avLst>
                                    <a:gd name="adj1" fmla="val 50000"/>
                                  </a:avLst>
                                </a:prstGeom>
                                <a:noFill/>
                                <a:ln w="6350">
                                  <a:solidFill>
                                    <a:srgbClr val="000000"/>
                                  </a:solidFill>
                                  <a:miter lim="800000"/>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4" name="Соединитель: уступ 59"/>
                              <wps:cNvCnPr>
                                <a:cxnSpLocks noChangeShapeType="1"/>
                              </wps:cNvCnPr>
                              <wps:spPr bwMode="auto">
                                <a:xfrm rot="16200000" flipH="1">
                                  <a:off x="4711864" y="1492602"/>
                                  <a:ext cx="212502" cy="160219"/>
                                </a:xfrm>
                                <a:prstGeom prst="bentConnector3">
                                  <a:avLst>
                                    <a:gd name="adj1" fmla="val 50000"/>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5" name="Прямая со стрелкой 88"/>
                              <wps:cNvCnPr>
                                <a:cxnSpLocks noChangeShapeType="1"/>
                              </wps:cNvCnPr>
                              <wps:spPr bwMode="auto">
                                <a:xfrm>
                                  <a:off x="5720372" y="314103"/>
                                  <a:ext cx="0" cy="1845814"/>
                                </a:xfrm>
                                <a:prstGeom prst="straightConnector1">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6" name="Прямая со стрелкой 89"/>
                              <wps:cNvCnPr>
                                <a:cxnSpLocks noChangeShapeType="1"/>
                              </wps:cNvCnPr>
                              <wps:spPr bwMode="auto">
                                <a:xfrm>
                                  <a:off x="5976302" y="2453118"/>
                                  <a:ext cx="5001" cy="204301"/>
                                </a:xfrm>
                                <a:prstGeom prst="straightConnector1">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7" name="Прямая со стрелкой 90"/>
                              <wps:cNvCnPr>
                                <a:cxnSpLocks noChangeShapeType="1"/>
                              </wps:cNvCnPr>
                              <wps:spPr bwMode="auto">
                                <a:xfrm flipH="1" flipV="1">
                                  <a:off x="1893319" y="2998122"/>
                                  <a:ext cx="2104749" cy="14600"/>
                                </a:xfrm>
                                <a:prstGeom prst="straightConnector1">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8" name="Соединитель: уступ 68"/>
                              <wps:cNvCnPr>
                                <a:cxnSpLocks noChangeShapeType="1"/>
                              </wps:cNvCnPr>
                              <wps:spPr bwMode="auto">
                                <a:xfrm rot="10800000" flipV="1">
                                  <a:off x="4250698" y="3872529"/>
                                  <a:ext cx="399947" cy="231402"/>
                                </a:xfrm>
                                <a:prstGeom prst="bentConnector3">
                                  <a:avLst>
                                    <a:gd name="adj1" fmla="val 58958"/>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9" name="Прямая со стрелкой 93"/>
                              <wps:cNvCnPr>
                                <a:cxnSpLocks noChangeShapeType="1"/>
                              </wps:cNvCnPr>
                              <wps:spPr bwMode="auto">
                                <a:xfrm>
                                  <a:off x="4915977" y="3085923"/>
                                  <a:ext cx="0" cy="549604"/>
                                </a:xfrm>
                                <a:prstGeom prst="straightConnector1">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0" name="Соединитель: уступ 67"/>
                              <wps:cNvCnPr>
                                <a:cxnSpLocks noChangeShapeType="1"/>
                              </wps:cNvCnPr>
                              <wps:spPr bwMode="auto">
                                <a:xfrm rot="10800000">
                                  <a:off x="4186891" y="3536526"/>
                                  <a:ext cx="472656" cy="213602"/>
                                </a:xfrm>
                                <a:prstGeom prst="bentConnector3">
                                  <a:avLst>
                                    <a:gd name="adj1" fmla="val 50000"/>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1" name="Соединитель: уступ 69"/>
                              <wps:cNvCnPr>
                                <a:cxnSpLocks noChangeShapeType="1"/>
                              </wps:cNvCnPr>
                              <wps:spPr bwMode="auto">
                                <a:xfrm rot="5400000" flipH="1" flipV="1">
                                  <a:off x="887701" y="3152051"/>
                                  <a:ext cx="10800" cy="1300854"/>
                                </a:xfrm>
                                <a:prstGeom prst="bentConnector3">
                                  <a:avLst>
                                    <a:gd name="adj1" fmla="val 2217449"/>
                                  </a:avLst>
                                </a:prstGeom>
                                <a:noFill/>
                                <a:ln w="6350">
                                  <a:solidFill>
                                    <a:srgbClr val="000000"/>
                                  </a:solidFill>
                                  <a:miter lim="800000"/>
                                  <a:headEnd type="triangle" w="med" len="me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2" name="Прямая со стрелкой 96"/>
                              <wps:cNvCnPr>
                                <a:cxnSpLocks noChangeShapeType="1"/>
                              </wps:cNvCnPr>
                              <wps:spPr bwMode="auto">
                                <a:xfrm>
                                  <a:off x="242924" y="4142031"/>
                                  <a:ext cx="0" cy="216102"/>
                                </a:xfrm>
                                <a:prstGeom prst="straightConnector1">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3" name="Прямая со стрелкой 97"/>
                              <wps:cNvCnPr>
                                <a:cxnSpLocks noChangeShapeType="1"/>
                              </wps:cNvCnPr>
                              <wps:spPr bwMode="auto">
                                <a:xfrm>
                                  <a:off x="1833112" y="4127330"/>
                                  <a:ext cx="0" cy="207602"/>
                                </a:xfrm>
                                <a:prstGeom prst="straightConnector1">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4" name="Соединитель: уступ 74"/>
                              <wps:cNvCnPr>
                                <a:cxnSpLocks noChangeShapeType="1"/>
                              </wps:cNvCnPr>
                              <wps:spPr bwMode="auto">
                                <a:xfrm rot="16200000" flipH="1">
                                  <a:off x="2119662" y="2976609"/>
                                  <a:ext cx="295502" cy="3838754"/>
                                </a:xfrm>
                                <a:prstGeom prst="bentConnector3">
                                  <a:avLst>
                                    <a:gd name="adj1" fmla="val 50000"/>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5" name="Прямая соединительная линия 99"/>
                              <wps:cNvCnPr>
                                <a:cxnSpLocks noChangeShapeType="1"/>
                              </wps:cNvCnPr>
                              <wps:spPr bwMode="auto">
                                <a:xfrm>
                                  <a:off x="2522194" y="4718935"/>
                                  <a:ext cx="0" cy="152701"/>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6" name="Прямая со стрелкой 100"/>
                              <wps:cNvCnPr>
                                <a:cxnSpLocks noChangeShapeType="1"/>
                              </wps:cNvCnPr>
                              <wps:spPr bwMode="auto">
                                <a:xfrm>
                                  <a:off x="310632" y="1678913"/>
                                  <a:ext cx="0" cy="1155208"/>
                                </a:xfrm>
                                <a:prstGeom prst="straightConnector1">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7" name="Прямая соединительная линия 101"/>
                              <wps:cNvCnPr>
                                <a:cxnSpLocks noChangeShapeType="1"/>
                              </wps:cNvCnPr>
                              <wps:spPr bwMode="auto">
                                <a:xfrm flipH="1">
                                  <a:off x="1142230" y="996708"/>
                                  <a:ext cx="100" cy="168601"/>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8" name="Прямая со стрелкой 103"/>
                              <wps:cNvCnPr>
                                <a:cxnSpLocks noChangeShapeType="1"/>
                              </wps:cNvCnPr>
                              <wps:spPr bwMode="auto">
                                <a:xfrm flipH="1">
                                  <a:off x="3794944" y="757506"/>
                                  <a:ext cx="7001" cy="174001"/>
                                </a:xfrm>
                                <a:prstGeom prst="straightConnector1">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9" name="Прямая со стрелкой 104"/>
                              <wps:cNvCnPr>
                                <a:cxnSpLocks noChangeShapeType="1"/>
                              </wps:cNvCnPr>
                              <wps:spPr bwMode="auto">
                                <a:xfrm>
                                  <a:off x="2050938" y="2253717"/>
                                  <a:ext cx="0" cy="209602"/>
                                </a:xfrm>
                                <a:prstGeom prst="straightConnector1">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0" name="Прямая со стрелкой 105"/>
                              <wps:cNvCnPr>
                                <a:cxnSpLocks noChangeShapeType="1"/>
                              </wps:cNvCnPr>
                              <wps:spPr bwMode="auto">
                                <a:xfrm>
                                  <a:off x="890901" y="3241324"/>
                                  <a:ext cx="0" cy="306902"/>
                                </a:xfrm>
                                <a:prstGeom prst="straightConnector1">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1" name="Прямая со стрелкой 106"/>
                              <wps:cNvCnPr>
                                <a:cxnSpLocks noChangeShapeType="1"/>
                              </wps:cNvCnPr>
                              <wps:spPr bwMode="auto">
                                <a:xfrm>
                                  <a:off x="2001132" y="1692713"/>
                                  <a:ext cx="0" cy="209602"/>
                                </a:xfrm>
                                <a:prstGeom prst="straightConnector1">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2" name="Прямая со стрелкой 107"/>
                              <wps:cNvCnPr>
                                <a:cxnSpLocks noChangeShapeType="1"/>
                              </wps:cNvCnPr>
                              <wps:spPr bwMode="auto">
                                <a:xfrm>
                                  <a:off x="5339727" y="1997715"/>
                                  <a:ext cx="0" cy="146301"/>
                                </a:xfrm>
                                <a:prstGeom prst="straightConnector1">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3" name="Прямая со стрелкой 108"/>
                              <wps:cNvCnPr>
                                <a:cxnSpLocks noChangeShapeType="1"/>
                              </wps:cNvCnPr>
                              <wps:spPr bwMode="auto">
                                <a:xfrm>
                                  <a:off x="4807664" y="2484718"/>
                                  <a:ext cx="0" cy="195701"/>
                                </a:xfrm>
                                <a:prstGeom prst="straightConnector1">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4" name="Прямая со стрелкой 109"/>
                              <wps:cNvCnPr>
                                <a:cxnSpLocks noChangeShapeType="1"/>
                              </wps:cNvCnPr>
                              <wps:spPr bwMode="auto">
                                <a:xfrm>
                                  <a:off x="3787743" y="1975715"/>
                                  <a:ext cx="0" cy="1037008"/>
                                </a:xfrm>
                                <a:prstGeom prst="straightConnector1">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5" name="Соединитель: уступ 59"/>
                              <wps:cNvCnPr>
                                <a:cxnSpLocks noChangeShapeType="1"/>
                              </wps:cNvCnPr>
                              <wps:spPr bwMode="auto">
                                <a:xfrm rot="5400000">
                                  <a:off x="4262112" y="1489801"/>
                                  <a:ext cx="226202" cy="179621"/>
                                </a:xfrm>
                                <a:prstGeom prst="bentConnector3">
                                  <a:avLst>
                                    <a:gd name="adj1" fmla="val 49847"/>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6" name="Прямая со стрелкой 111"/>
                              <wps:cNvCnPr>
                                <a:cxnSpLocks noChangeShapeType="1"/>
                              </wps:cNvCnPr>
                              <wps:spPr bwMode="auto">
                                <a:xfrm>
                                  <a:off x="2730018" y="1458811"/>
                                  <a:ext cx="0" cy="443503"/>
                                </a:xfrm>
                                <a:prstGeom prst="straightConnector1">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7" name="Прямая соединительная линия 112"/>
                              <wps:cNvCnPr>
                                <a:cxnSpLocks noChangeShapeType="1"/>
                              </wps:cNvCnPr>
                              <wps:spPr bwMode="auto">
                                <a:xfrm flipH="1">
                                  <a:off x="2429583" y="4060630"/>
                                  <a:ext cx="575368" cy="0"/>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8" name="Прямая соединительная линия 113"/>
                              <wps:cNvCnPr>
                                <a:cxnSpLocks noChangeShapeType="1"/>
                              </wps:cNvCnPr>
                              <wps:spPr bwMode="auto">
                                <a:xfrm flipV="1">
                                  <a:off x="2429383" y="2998122"/>
                                  <a:ext cx="0" cy="1062508"/>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9" name="Соединительная линия уступом 114"/>
                              <wps:cNvCnPr>
                                <a:cxnSpLocks noChangeShapeType="1"/>
                              </wps:cNvCnPr>
                              <wps:spPr bwMode="auto">
                                <a:xfrm rot="16200000" flipV="1">
                                  <a:off x="2586568" y="2575891"/>
                                  <a:ext cx="1204109" cy="515161"/>
                                </a:xfrm>
                                <a:prstGeom prst="bentConnector3">
                                  <a:avLst>
                                    <a:gd name="adj1" fmla="val 50000"/>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0" name="Прямая со стрелкой 116"/>
                              <wps:cNvCnPr>
                                <a:cxnSpLocks noChangeShapeType="1"/>
                              </wps:cNvCnPr>
                              <wps:spPr bwMode="auto">
                                <a:xfrm>
                                  <a:off x="2210757" y="2717420"/>
                                  <a:ext cx="0" cy="295302"/>
                                </a:xfrm>
                                <a:prstGeom prst="straightConnector1">
                                  <a:avLst/>
                                </a:prstGeom>
                                <a:noFill/>
                                <a:ln w="6350">
                                  <a:solidFill>
                                    <a:srgbClr val="000000"/>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c:wpc>
                        </a:graphicData>
                      </a:graphic>
                    </wp:inline>
                  </w:drawing>
                </mc:Choice>
                <mc:Fallback>
                  <w:pict>
                    <v:group w14:anchorId="4C114F99" id="Canvas 251" o:spid="_x0000_s1027" editas="canvas" style="width:496.35pt;height:441.6pt;mso-position-horizontal-relative:char;mso-position-vertical-relative:line" coordsize="63036,56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3036;height:56083;visibility:visible;mso-wrap-style:square" filled="t">
                        <v:fill o:detectmouseclick="t"/>
                        <v:path o:connecttype="none"/>
                      </v:shape>
                      <v:rect id="Прямоугольник 2" o:spid="_x0000_s1029" style="position:absolute;left:2786;width:18362;height:2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" filled="f" strokeweight="1pt">
                        <v:textbox>
                          <w:txbxContent>
                            <w:p w14:paraId="741120BE" w14:textId="77777777" w:rsidR="009E330A" w:rsidRPr="002B1B05" w:rsidRDefault="009E330A" w:rsidP="00C629AD">
                              <w:pPr>
                                <w:shd w:val="clear" w:color="auto" w:fill="FFFFFF"/>
                                <w:jc w:val="center"/>
                                <w:rPr>
                                  <w:rFonts w:ascii="Times New Roman" w:hAnsi="Times New Roman"/>
                                  <w:sz w:val="20"/>
                                  <w:szCs w:val="20"/>
                                </w:rPr>
                              </w:pPr>
                              <w:r>
                                <w:rPr>
                                  <w:rFonts w:ascii="Times New Roman" w:hAnsi="Times New Roman"/>
                                  <w:sz w:val="20"/>
                                  <w:szCs w:val="20"/>
                                </w:rPr>
                                <w:t>HIV</w:t>
                              </w:r>
                              <w:r w:rsidRPr="002B1B05">
                                <w:rPr>
                                  <w:rFonts w:ascii="Times New Roman" w:hAnsi="Times New Roman"/>
                                  <w:sz w:val="20"/>
                                  <w:szCs w:val="20"/>
                                </w:rPr>
                                <w:t xml:space="preserve">- </w:t>
                              </w:r>
                              <w:r>
                                <w:rPr>
                                  <w:rFonts w:ascii="Times New Roman" w:hAnsi="Times New Roman"/>
                                  <w:sz w:val="20"/>
                                  <w:szCs w:val="20"/>
                                </w:rPr>
                                <w:t>positive</w:t>
                              </w:r>
                            </w:p>
                            <w:p w14:paraId="502202AC" w14:textId="77777777" w:rsidR="009E330A" w:rsidRPr="002B1B05" w:rsidRDefault="009E330A" w:rsidP="00C629AD">
                              <w:pPr>
                                <w:shd w:val="clear" w:color="auto" w:fill="FFFFFF"/>
                                <w:jc w:val="center"/>
                                <w:rPr>
                                  <w:sz w:val="20"/>
                                  <w:szCs w:val="20"/>
                                </w:rPr>
                              </w:pPr>
                            </w:p>
                          </w:txbxContent>
                        </v:textbox>
                      </v:rect>
                      <v:rect id="Прямоугольник 3" o:spid="_x0000_s1030" style="position:absolute;left:48764;top:23;width:1427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" filled="f" strokeweight="1pt">
                        <v:textbox>
                          <w:txbxContent>
                            <w:p w14:paraId="38BB6C11" w14:textId="77777777" w:rsidR="009E330A" w:rsidRPr="002B1B05" w:rsidRDefault="009E330A" w:rsidP="00C629AD">
                              <w:pPr>
                                <w:jc w:val="center"/>
                                <w:rPr>
                                  <w:rFonts w:ascii="Times New Roman" w:hAnsi="Times New Roman"/>
                                  <w:i/>
                                  <w:sz w:val="20"/>
                                  <w:szCs w:val="20"/>
                                </w:rPr>
                              </w:pPr>
                              <w:r>
                                <w:rPr>
                                  <w:rFonts w:ascii="Times New Roman" w:hAnsi="Times New Roman"/>
                                  <w:bCs/>
                                  <w:color w:val="000000"/>
                                  <w:sz w:val="20"/>
                                  <w:szCs w:val="20"/>
                                </w:rPr>
                                <w:t>Other risk groups</w:t>
                              </w:r>
                              <w:r w:rsidRPr="002B1B05">
                                <w:rPr>
                                  <w:rFonts w:ascii="Times New Roman" w:hAnsi="Times New Roman"/>
                                  <w:bCs/>
                                  <w:color w:val="000000"/>
                                  <w:sz w:val="20"/>
                                  <w:szCs w:val="20"/>
                                  <w:vertAlign w:val="superscript"/>
                                </w:rPr>
                                <w:t>3</w:t>
                              </w:r>
                            </w:p>
                            <w:p w14:paraId="092D907C" w14:textId="77777777" w:rsidR="009E330A" w:rsidRPr="002B1B05" w:rsidRDefault="009E330A" w:rsidP="00C629AD">
                              <w:pPr>
                                <w:jc w:val="center"/>
                                <w:rPr>
                                  <w:sz w:val="20"/>
                                  <w:szCs w:val="20"/>
                                </w:rPr>
                              </w:pPr>
                            </w:p>
                          </w:txbxContent>
                        </v:textbox>
                      </v:rect>
                      <v:rect id="Прямоугольник 4" o:spid="_x0000_s1031" style="position:absolute;left:26512;top:23;width:17538;height:2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" filled="f" strokeweight="1pt">
                        <v:textbox>
                          <w:txbxContent>
                            <w:p w14:paraId="63E4EB99" w14:textId="77777777" w:rsidR="009E330A" w:rsidRPr="006357B2" w:rsidRDefault="009E330A" w:rsidP="00C629AD">
                              <w:pPr>
                                <w:jc w:val="center"/>
                                <w:rPr>
                                  <w:rFonts w:ascii="Times New Roman" w:hAnsi="Times New Roman" w:cs="Times New Roman"/>
                                  <w:sz w:val="20"/>
                                  <w:szCs w:val="20"/>
                                </w:rPr>
                              </w:pPr>
                              <w:r w:rsidRPr="006357B2">
                                <w:rPr>
                                  <w:rFonts w:ascii="Times New Roman" w:hAnsi="Times New Roman" w:cs="Times New Roman"/>
                                  <w:bCs/>
                                  <w:color w:val="000000"/>
                                  <w:sz w:val="20"/>
                                  <w:szCs w:val="20"/>
                                </w:rPr>
                                <w:t>Home contact</w:t>
                              </w:r>
                            </w:p>
                            <w:p w14:paraId="602F363B" w14:textId="77777777" w:rsidR="009E330A" w:rsidRPr="002B1B05" w:rsidRDefault="009E330A" w:rsidP="00C629AD">
                              <w:pPr>
                                <w:jc w:val="center"/>
                                <w:rPr>
                                  <w:sz w:val="20"/>
                                  <w:szCs w:val="20"/>
                                </w:rPr>
                              </w:pPr>
                            </w:p>
                          </w:txbxContent>
                        </v:textbox>
                      </v:rect>
                      <v:rect id="Прямоугольник 5" o:spid="_x0000_s1032" style="position:absolute;left:29919;top:5193;width:12685;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" filled="f" strokeweight="1pt">
                        <v:textbox>
                          <w:txbxContent>
                            <w:p w14:paraId="54D4BA9A" w14:textId="77777777" w:rsidR="009E330A" w:rsidRPr="002B1B05" w:rsidRDefault="009E330A" w:rsidP="00C629AD">
                              <w:pPr>
                                <w:jc w:val="center"/>
                                <w:rPr>
                                  <w:rFonts w:ascii="Times New Roman" w:hAnsi="Times New Roman"/>
                                  <w:sz w:val="20"/>
                                  <w:szCs w:val="20"/>
                                </w:rPr>
                              </w:pPr>
                              <w:r w:rsidRPr="001711AB">
                                <w:rPr>
                                  <w:rFonts w:ascii="Times New Roman" w:hAnsi="Times New Roman"/>
                                  <w:bCs/>
                                  <w:color w:val="000000"/>
                                  <w:sz w:val="20"/>
                                  <w:szCs w:val="20"/>
                                </w:rPr>
                                <w:t xml:space="preserve">Symptoms </w:t>
                              </w:r>
                              <w:r w:rsidRPr="002B1B05">
                                <w:rPr>
                                  <w:rFonts w:ascii="Times New Roman" w:hAnsi="Times New Roman"/>
                                  <w:bCs/>
                                  <w:color w:val="000000"/>
                                  <w:sz w:val="20"/>
                                  <w:szCs w:val="20"/>
                                  <w:vertAlign w:val="superscript"/>
                                </w:rPr>
                                <w:t>2</w:t>
                              </w:r>
                            </w:p>
                          </w:txbxContent>
                        </v:textbox>
                      </v:rect>
                      <v:rect id="Прямоугольник 6" o:spid="_x0000_s1033" style="position:absolute;left:1469;top:4686;width:23701;height:5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" strokeweight="1pt">
                        <v:textbox>
                          <w:txbxContent>
                            <w:p w14:paraId="3959A3BA" w14:textId="77777777" w:rsidR="009E330A" w:rsidRPr="001711AB" w:rsidRDefault="009E330A" w:rsidP="00C629AD">
                              <w:pPr>
                                <w:jc w:val="center"/>
                                <w:rPr>
                                  <w:rFonts w:ascii="Times New Roman" w:hAnsi="Times New Roman"/>
                                  <w:sz w:val="20"/>
                                  <w:szCs w:val="20"/>
                                </w:rPr>
                              </w:pPr>
                              <w:r>
                                <w:rPr>
                                  <w:rStyle w:val="A00"/>
                                  <w:rFonts w:ascii="Times New Roman" w:hAnsi="Times New Roman"/>
                                  <w:bCs/>
                                  <w:sz w:val="20"/>
                                  <w:szCs w:val="20"/>
                                </w:rPr>
                                <w:t>One</w:t>
                              </w:r>
                              <w:r w:rsidRPr="001711AB">
                                <w:rPr>
                                  <w:rStyle w:val="A00"/>
                                  <w:rFonts w:ascii="Times New Roman" w:hAnsi="Times New Roman"/>
                                  <w:bCs/>
                                  <w:sz w:val="20"/>
                                  <w:szCs w:val="20"/>
                                </w:rPr>
                                <w:t xml:space="preserve"> </w:t>
                              </w:r>
                              <w:r>
                                <w:rPr>
                                  <w:rStyle w:val="A00"/>
                                  <w:rFonts w:ascii="Times New Roman" w:hAnsi="Times New Roman"/>
                                  <w:bCs/>
                                  <w:sz w:val="20"/>
                                  <w:szCs w:val="20"/>
                                </w:rPr>
                                <w:t>of</w:t>
                              </w:r>
                              <w:r w:rsidRPr="001711AB">
                                <w:rPr>
                                  <w:rStyle w:val="A00"/>
                                  <w:rFonts w:ascii="Times New Roman" w:hAnsi="Times New Roman"/>
                                  <w:bCs/>
                                  <w:sz w:val="20"/>
                                  <w:szCs w:val="20"/>
                                </w:rPr>
                                <w:t xml:space="preserve"> </w:t>
                              </w:r>
                              <w:r>
                                <w:rPr>
                                  <w:rStyle w:val="A00"/>
                                  <w:rFonts w:ascii="Times New Roman" w:hAnsi="Times New Roman"/>
                                  <w:bCs/>
                                  <w:sz w:val="20"/>
                                  <w:szCs w:val="20"/>
                                </w:rPr>
                                <w:t>the</w:t>
                              </w:r>
                              <w:r w:rsidRPr="001711AB">
                                <w:rPr>
                                  <w:rStyle w:val="A00"/>
                                  <w:rFonts w:ascii="Times New Roman" w:hAnsi="Times New Roman"/>
                                  <w:bCs/>
                                  <w:sz w:val="20"/>
                                  <w:szCs w:val="20"/>
                                </w:rPr>
                                <w:t xml:space="preserve"> </w:t>
                              </w:r>
                              <w:proofErr w:type="gramStart"/>
                              <w:r>
                                <w:rPr>
                                  <w:rStyle w:val="A00"/>
                                  <w:rFonts w:ascii="Times New Roman" w:hAnsi="Times New Roman"/>
                                  <w:bCs/>
                                  <w:sz w:val="20"/>
                                  <w:szCs w:val="20"/>
                                </w:rPr>
                                <w:t>symptom</w:t>
                              </w:r>
                              <w:proofErr w:type="gramEnd"/>
                              <w:r w:rsidRPr="001711AB">
                                <w:rPr>
                                  <w:rStyle w:val="A00"/>
                                  <w:rFonts w:ascii="Times New Roman" w:hAnsi="Times New Roman"/>
                                  <w:bCs/>
                                  <w:sz w:val="20"/>
                                  <w:szCs w:val="20"/>
                                </w:rPr>
                                <w:t xml:space="preserve">: cough </w:t>
                              </w:r>
                              <w:r>
                                <w:rPr>
                                  <w:rStyle w:val="A00"/>
                                  <w:rFonts w:ascii="Times New Roman" w:hAnsi="Times New Roman"/>
                                  <w:bCs/>
                                  <w:sz w:val="20"/>
                                  <w:szCs w:val="20"/>
                                </w:rPr>
                                <w:t xml:space="preserve">or </w:t>
                              </w:r>
                              <w:r w:rsidRPr="001711AB">
                                <w:rPr>
                                  <w:rStyle w:val="A00"/>
                                  <w:rFonts w:ascii="Times New Roman" w:hAnsi="Times New Roman"/>
                                  <w:bCs/>
                                  <w:sz w:val="20"/>
                                  <w:szCs w:val="20"/>
                                </w:rPr>
                                <w:t xml:space="preserve">fever, </w:t>
                              </w:r>
                              <w:r>
                                <w:rPr>
                                  <w:rStyle w:val="A00"/>
                                  <w:rFonts w:ascii="Times New Roman" w:hAnsi="Times New Roman"/>
                                  <w:bCs/>
                                  <w:sz w:val="20"/>
                                  <w:szCs w:val="20"/>
                                </w:rPr>
                                <w:t xml:space="preserve">or </w:t>
                              </w:r>
                              <w:r w:rsidRPr="001711AB">
                                <w:rPr>
                                  <w:rStyle w:val="A00"/>
                                  <w:rFonts w:ascii="Times New Roman" w:hAnsi="Times New Roman"/>
                                  <w:bCs/>
                                  <w:sz w:val="20"/>
                                  <w:szCs w:val="20"/>
                                </w:rPr>
                                <w:t>weight loss, or night sweats</w:t>
                              </w:r>
                              <w:r w:rsidRPr="001711AB">
                                <w:rPr>
                                  <w:rStyle w:val="A00"/>
                                  <w:rFonts w:ascii="Times New Roman" w:hAnsi="Times New Roman"/>
                                  <w:bCs/>
                                  <w:sz w:val="20"/>
                                  <w:szCs w:val="20"/>
                                  <w:vertAlign w:val="superscript"/>
                                </w:rPr>
                                <w:t>1</w:t>
                              </w:r>
                            </w:p>
                          </w:txbxContent>
                        </v:textbox>
                      </v:rect>
                      <v:roundrect id="Прямоугольник: скругленные углы 7" o:spid="_x0000_s1034" style="position:absolute;left:17479;top:14269;width:5040;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" filled="f" strokeweight="1pt">
                        <v:stroke joinstyle="miter"/>
                        <v:textbox>
                          <w:txbxContent>
                            <w:p w14:paraId="57DBF705" w14:textId="77777777" w:rsidR="009E330A" w:rsidRPr="00655497" w:rsidRDefault="009E330A" w:rsidP="00C629AD">
                              <w:pPr>
                                <w:jc w:val="center"/>
                                <w:rPr>
                                  <w:rFonts w:ascii="Times New Roman" w:hAnsi="Times New Roman"/>
                                  <w:sz w:val="20"/>
                                  <w:szCs w:val="20"/>
                                </w:rPr>
                              </w:pPr>
                              <w:r>
                                <w:rPr>
                                  <w:rFonts w:ascii="Times New Roman" w:hAnsi="Times New Roman"/>
                                  <w:bCs/>
                                  <w:sz w:val="20"/>
                                  <w:szCs w:val="20"/>
                                </w:rPr>
                                <w:t>Yes</w:t>
                              </w:r>
                            </w:p>
                          </w:txbxContent>
                        </v:textbox>
                      </v:roundrect>
                      <v:rect id="Прямоугольник 8" o:spid="_x0000_s1035" style="position:absolute;left:9883;top:19388;width:21024;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" filled="f" strokeweight="1pt">
                        <v:textbox>
                          <w:txbxContent>
                            <w:p w14:paraId="1E49BDCB" w14:textId="77777777" w:rsidR="009E330A" w:rsidRPr="002B1B05" w:rsidRDefault="009E330A" w:rsidP="00C629AD">
                              <w:pPr>
                                <w:jc w:val="center"/>
                                <w:rPr>
                                  <w:rFonts w:ascii="Times New Roman" w:hAnsi="Times New Roman"/>
                                  <w:sz w:val="20"/>
                                  <w:szCs w:val="20"/>
                                </w:rPr>
                              </w:pPr>
                              <w:r w:rsidRPr="001711AB">
                                <w:rPr>
                                  <w:rFonts w:ascii="Times New Roman" w:hAnsi="Times New Roman"/>
                                  <w:bCs/>
                                  <w:color w:val="000000"/>
                                  <w:sz w:val="20"/>
                                  <w:szCs w:val="20"/>
                                </w:rPr>
                                <w:t>Examine for active TB</w:t>
                              </w:r>
                            </w:p>
                          </w:txbxContent>
                        </v:textbox>
                      </v:rect>
                      <v:roundrect id="Прямоугольник: скругленные углы 9" o:spid="_x0000_s1036" style="position:absolute;left:898;top:14048;width:5302;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" filled="f" strokeweight="1pt">
                        <v:stroke joinstyle="miter"/>
                        <v:textbox>
                          <w:txbxContent>
                            <w:p w14:paraId="1B3E0A97" w14:textId="77777777" w:rsidR="009E330A" w:rsidRPr="00655497" w:rsidRDefault="009E330A" w:rsidP="00C629AD">
                              <w:pPr>
                                <w:jc w:val="center"/>
                                <w:rPr>
                                  <w:rFonts w:ascii="Times New Roman" w:hAnsi="Times New Roman"/>
                                  <w:sz w:val="20"/>
                                  <w:szCs w:val="20"/>
                                </w:rPr>
                              </w:pPr>
                              <w:r>
                                <w:rPr>
                                  <w:rFonts w:ascii="Times New Roman" w:hAnsi="Times New Roman"/>
                                  <w:bCs/>
                                  <w:sz w:val="20"/>
                                  <w:szCs w:val="20"/>
                                </w:rPr>
                                <w:t xml:space="preserve">No </w:t>
                              </w:r>
                            </w:p>
                          </w:txbxContent>
                        </v:textbox>
                      </v:roundrect>
                      <v:rect id="Прямоугольник 10" o:spid="_x0000_s1037" style="position:absolute;left:14245;top:25191;width:13432;height:2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" strokeweight="1pt">
                        <v:textbox>
                          <w:txbxContent>
                            <w:p w14:paraId="5D53A2FB"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Active TB excluded</w:t>
                              </w:r>
                            </w:p>
                          </w:txbxContent>
                        </v:textbox>
                      </v:rect>
                      <v:rect id="Прямоугольник 11" o:spid="_x0000_s1038" style="position:absolute;left:360;top:28341;width:18575;height:4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" filled="f" strokeweight="1pt">
                        <v:textbox>
                          <w:txbxContent>
                            <w:p w14:paraId="5D8AA243" w14:textId="77777777" w:rsidR="009E330A" w:rsidRPr="002B1B05" w:rsidRDefault="009E330A" w:rsidP="00C629AD">
                              <w:pPr>
                                <w:jc w:val="center"/>
                                <w:rPr>
                                  <w:rFonts w:ascii="Times New Roman" w:hAnsi="Times New Roman"/>
                                  <w:sz w:val="20"/>
                                  <w:szCs w:val="20"/>
                                </w:rPr>
                              </w:pPr>
                              <w:r w:rsidRPr="002B1B05">
                                <w:rPr>
                                  <w:rFonts w:ascii="Segoe UI Semibold" w:hAnsi="Segoe UI Semibold" w:cs="Segoe UI Semibold"/>
                                  <w:bCs/>
                                  <w:color w:val="000000"/>
                                  <w:sz w:val="20"/>
                                  <w:szCs w:val="20"/>
                                </w:rPr>
                                <w:t xml:space="preserve"> </w:t>
                              </w:r>
                              <w:r>
                                <w:rPr>
                                  <w:rFonts w:ascii="Times New Roman" w:hAnsi="Times New Roman"/>
                                  <w:bCs/>
                                  <w:color w:val="000000"/>
                                  <w:sz w:val="20"/>
                                  <w:szCs w:val="20"/>
                                </w:rPr>
                                <w:t>Preventive treatment contraindicated</w:t>
                              </w:r>
                              <w:r w:rsidRPr="002B1B05">
                                <w:rPr>
                                  <w:rFonts w:ascii="Times New Roman" w:hAnsi="Times New Roman"/>
                                  <w:bCs/>
                                  <w:color w:val="000000"/>
                                  <w:sz w:val="20"/>
                                  <w:szCs w:val="20"/>
                                  <w:vertAlign w:val="superscript"/>
                                </w:rPr>
                                <w:t>4</w:t>
                              </w:r>
                            </w:p>
                          </w:txbxContent>
                        </v:textbox>
                      </v:rect>
                      <v:roundrect id="Прямоугольник: скругленные углы 12" o:spid="_x0000_s1039" style="position:absolute;left:41693;top:12088;width:8489;height:2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" filled="f" strokeweight="1pt">
                        <v:stroke joinstyle="miter"/>
                        <v:textbox>
                          <w:txbxContent>
                            <w:p w14:paraId="06898485"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No</w:t>
                              </w:r>
                            </w:p>
                          </w:txbxContent>
                        </v:textbox>
                      </v:roundrect>
                      <v:roundrect id="Прямоугольник: скругленные углы 13" o:spid="_x0000_s1040" style="position:absolute;left:24906;top:12092;width:5145;height:24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" filled="f" strokeweight="1pt">
                        <v:stroke joinstyle="miter"/>
                        <v:textbox>
                          <w:txbxContent>
                            <w:p w14:paraId="6FF13A17"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Yes</w:t>
                              </w:r>
                            </w:p>
                          </w:txbxContent>
                        </v:textbox>
                      </v:roundrect>
                      <v:rect id="Прямоугольник 14" o:spid="_x0000_s1041" style="position:absolute;left:46816;top:17342;width:9228;height:2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" filled="f" strokeweight="1pt">
                        <v:textbox>
                          <w:txbxContent>
                            <w:p w14:paraId="231DB540" w14:textId="77777777" w:rsidR="009E330A" w:rsidRPr="001711AB" w:rsidRDefault="009E330A" w:rsidP="00C629AD">
                              <w:pPr>
                                <w:jc w:val="center"/>
                                <w:rPr>
                                  <w:rFonts w:ascii="Times New Roman" w:hAnsi="Times New Roman"/>
                                  <w:sz w:val="20"/>
                                  <w:szCs w:val="20"/>
                                </w:rPr>
                              </w:pPr>
                              <w:r>
                                <w:rPr>
                                  <w:rFonts w:ascii="Times New Roman" w:hAnsi="Times New Roman"/>
                                  <w:bCs/>
                                  <w:color w:val="000000"/>
                                  <w:sz w:val="20"/>
                                  <w:szCs w:val="20"/>
                                </w:rPr>
                                <w:t>&gt;</w:t>
                              </w:r>
                              <w:r w:rsidRPr="001711AB">
                                <w:rPr>
                                  <w:rFonts w:ascii="Times New Roman" w:hAnsi="Times New Roman"/>
                                  <w:bCs/>
                                  <w:color w:val="000000"/>
                                  <w:sz w:val="20"/>
                                  <w:szCs w:val="20"/>
                                </w:rPr>
                                <w:t xml:space="preserve">5 </w:t>
                              </w:r>
                              <w:r>
                                <w:rPr>
                                  <w:rFonts w:ascii="Times New Roman" w:hAnsi="Times New Roman"/>
                                  <w:bCs/>
                                  <w:color w:val="000000"/>
                                  <w:sz w:val="20"/>
                                  <w:szCs w:val="20"/>
                                </w:rPr>
                                <w:t>years</w:t>
                              </w:r>
                            </w:p>
                            <w:p w14:paraId="45BF1D55" w14:textId="77777777" w:rsidR="009E330A" w:rsidRDefault="009E330A" w:rsidP="00C629AD"/>
                          </w:txbxContent>
                        </v:textbox>
                      </v:rect>
                      <v:rect id="Прямоугольник 15" o:spid="_x0000_s1042" style="position:absolute;left:36215;top:17561;width:8934;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" filled="f" strokeweight="1pt">
                        <v:textbox>
                          <w:txbxContent>
                            <w:p w14:paraId="40E64838" w14:textId="77777777" w:rsidR="009E330A" w:rsidRPr="002B1B05" w:rsidRDefault="009E330A" w:rsidP="00C629AD">
                              <w:pPr>
                                <w:jc w:val="center"/>
                                <w:rPr>
                                  <w:rFonts w:ascii="Times New Roman" w:hAnsi="Times New Roman"/>
                                  <w:sz w:val="20"/>
                                  <w:szCs w:val="20"/>
                                </w:rPr>
                              </w:pPr>
                              <w:r w:rsidRPr="002B1B05">
                                <w:rPr>
                                  <w:rFonts w:ascii="Times New Roman" w:hAnsi="Times New Roman"/>
                                  <w:bCs/>
                                  <w:color w:val="000000"/>
                                  <w:sz w:val="20"/>
                                  <w:szCs w:val="20"/>
                                </w:rPr>
                                <w:t xml:space="preserve">&lt; 5 </w:t>
                              </w:r>
                              <w:r>
                                <w:rPr>
                                  <w:rFonts w:ascii="Times New Roman" w:hAnsi="Times New Roman"/>
                                  <w:bCs/>
                                  <w:color w:val="000000"/>
                                  <w:sz w:val="20"/>
                                  <w:szCs w:val="20"/>
                                </w:rPr>
                                <w:t>years</w:t>
                              </w:r>
                            </w:p>
                          </w:txbxContent>
                        </v:textbox>
                      </v:rect>
                      <v:rect id="Прямоугольник 16" o:spid="_x0000_s1043" style="position:absolute;left:46183;top:21840;width:15349;height:2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" filled="f" strokeweight="1pt">
                        <v:textbox>
                          <w:txbxContent>
                            <w:p w14:paraId="48EA6B43"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 xml:space="preserve">Skin tests or </w:t>
                              </w:r>
                              <w:r w:rsidRPr="002B1B05">
                                <w:rPr>
                                  <w:rFonts w:ascii="Times New Roman" w:hAnsi="Times New Roman"/>
                                  <w:bCs/>
                                  <w:color w:val="000000"/>
                                  <w:sz w:val="20"/>
                                  <w:szCs w:val="20"/>
                                </w:rPr>
                                <w:t>IGRA</w:t>
                              </w:r>
                            </w:p>
                          </w:txbxContent>
                        </v:textbox>
                      </v:rect>
                      <v:rect id="Прямоугольник 17" o:spid="_x0000_s1044" style="position:absolute;left:40136;top:26574;width:1153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" filled="f" strokeweight="1pt">
                        <v:textbox>
                          <w:txbxContent>
                            <w:p w14:paraId="00B0B1B6" w14:textId="77777777" w:rsidR="009E330A" w:rsidRPr="002B1B05" w:rsidRDefault="009E330A" w:rsidP="00C629AD">
                              <w:pPr>
                                <w:jc w:val="center"/>
                                <w:rPr>
                                  <w:rFonts w:ascii="Times New Roman" w:hAnsi="Times New Roman"/>
                                  <w:sz w:val="20"/>
                                  <w:szCs w:val="20"/>
                                </w:rPr>
                              </w:pPr>
                              <w:r>
                                <w:rPr>
                                  <w:rStyle w:val="A00"/>
                                  <w:rFonts w:ascii="Times New Roman" w:hAnsi="Times New Roman"/>
                                  <w:bCs/>
                                  <w:sz w:val="20"/>
                                  <w:szCs w:val="20"/>
                                </w:rPr>
                                <w:t>Positive or unavailable</w:t>
                              </w:r>
                            </w:p>
                          </w:txbxContent>
                        </v:textbox>
                      </v:rect>
                      <v:rect id="Прямоугольник 18" o:spid="_x0000_s1045" style="position:absolute;left:52604;top:26574;width:9404;height: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" filled="f" strokeweight="1pt">
                        <v:textbox>
                          <w:txbxContent>
                            <w:p w14:paraId="740706E4" w14:textId="77777777" w:rsidR="009E330A" w:rsidRPr="002B1B05" w:rsidRDefault="009E330A" w:rsidP="00C629AD">
                              <w:pPr>
                                <w:ind w:left="-142" w:right="-24"/>
                                <w:jc w:val="center"/>
                                <w:rPr>
                                  <w:rFonts w:ascii="Times New Roman" w:hAnsi="Times New Roman"/>
                                  <w:sz w:val="20"/>
                                  <w:szCs w:val="20"/>
                                </w:rPr>
                              </w:pPr>
                              <w:r>
                                <w:rPr>
                                  <w:rFonts w:ascii="Times New Roman" w:hAnsi="Times New Roman"/>
                                  <w:bCs/>
                                  <w:color w:val="000000"/>
                                  <w:sz w:val="20"/>
                                  <w:szCs w:val="20"/>
                                </w:rPr>
                                <w:t>Negative</w:t>
                              </w:r>
                            </w:p>
                          </w:txbxContent>
                        </v:textbox>
                      </v:rect>
                      <v:roundrect id="Прямоугольник: скругленные углы 20" o:spid="_x0000_s1046" style="position:absolute;left:30250;top:34355;width:11618;height:27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" filled="f" strokeweight="1pt">
                        <v:stroke joinstyle="miter"/>
                        <v:textbox>
                          <w:txbxContent>
                            <w:p w14:paraId="3A6C98D5"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Positive</w:t>
                              </w:r>
                            </w:p>
                          </w:txbxContent>
                        </v:textbox>
                      </v:roundrect>
                      <v:roundrect id="Прямоугольник: скругленные углы 22" o:spid="_x0000_s1047" style="position:absolute;left:30201;top:38600;width:12305;height:43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" filled="f" strokeweight="1pt">
                        <v:stroke joinstyle="miter"/>
                        <v:textbox>
                          <w:txbxContent>
                            <w:p w14:paraId="0FB6A5B0" w14:textId="77777777" w:rsidR="009E330A" w:rsidRPr="002B1B05" w:rsidRDefault="009E330A" w:rsidP="00C629AD">
                              <w:pPr>
                                <w:shd w:val="clear" w:color="auto" w:fill="FFFFFF"/>
                                <w:jc w:val="center"/>
                                <w:rPr>
                                  <w:rFonts w:ascii="Times New Roman" w:hAnsi="Times New Roman"/>
                                  <w:sz w:val="20"/>
                                  <w:szCs w:val="20"/>
                                </w:rPr>
                              </w:pPr>
                              <w:r>
                                <w:rPr>
                                  <w:rStyle w:val="A00"/>
                                  <w:rFonts w:ascii="Times New Roman" w:hAnsi="Times New Roman"/>
                                  <w:bCs/>
                                  <w:sz w:val="20"/>
                                  <w:szCs w:val="20"/>
                                </w:rPr>
                                <w:t>Negative or unavailable</w:t>
                              </w:r>
                            </w:p>
                          </w:txbxContent>
                        </v:textbox>
                      </v:roundrect>
                      <v:roundrect id="Прямоугольник: скругленные углы 21" o:spid="_x0000_s1048" style="position:absolute;left:46435;top:36355;width:6544;height:31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" filled="f" strokeweight="1pt">
                        <v:stroke joinstyle="miter"/>
                        <v:textbox>
                          <w:txbxContent>
                            <w:p w14:paraId="0EFA20F1" w14:textId="77777777" w:rsidR="009E330A" w:rsidRPr="002B1B05" w:rsidRDefault="009E330A" w:rsidP="00C629AD">
                              <w:pPr>
                                <w:shd w:val="clear" w:color="auto" w:fill="FFFFFF"/>
                                <w:jc w:val="center"/>
                                <w:rPr>
                                  <w:rFonts w:ascii="Times New Roman" w:hAnsi="Times New Roman"/>
                                  <w:sz w:val="20"/>
                                  <w:szCs w:val="20"/>
                                </w:rPr>
                              </w:pPr>
                              <w:r w:rsidRPr="002B1B05">
                                <w:rPr>
                                  <w:rFonts w:ascii="Times New Roman" w:hAnsi="Times New Roman"/>
                                  <w:bCs/>
                                  <w:color w:val="000000"/>
                                  <w:sz w:val="20"/>
                                  <w:szCs w:val="20"/>
                                </w:rPr>
                                <w:t>GXR</w:t>
                              </w:r>
                              <w:r w:rsidRPr="002B1B05">
                                <w:rPr>
                                  <w:rFonts w:ascii="Times New Roman" w:hAnsi="Times New Roman"/>
                                  <w:bCs/>
                                  <w:color w:val="000000"/>
                                  <w:sz w:val="20"/>
                                  <w:szCs w:val="20"/>
                                  <w:vertAlign w:val="superscript"/>
                                </w:rPr>
                                <w:t>6</w:t>
                              </w:r>
                            </w:p>
                          </w:txbxContent>
                        </v:textbox>
                      </v:roundrect>
                      <v:roundrect id="Прямоугольник: скругленные углы 23" o:spid="_x0000_s1049" style="position:absolute;left:12947;top:38460;width:7398;height:26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" filled="f" strokeweight="1pt">
                        <v:stroke joinstyle="miter"/>
                        <v:textbox>
                          <w:txbxContent>
                            <w:p w14:paraId="06B06CC5"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No</w:t>
                              </w:r>
                            </w:p>
                            <w:p w14:paraId="39497FAF" w14:textId="77777777" w:rsidR="009E330A" w:rsidRPr="002B1B05" w:rsidRDefault="009E330A" w:rsidP="00C629AD">
                              <w:pPr>
                                <w:jc w:val="center"/>
                                <w:rPr>
                                  <w:sz w:val="20"/>
                                  <w:szCs w:val="20"/>
                                </w:rPr>
                              </w:pPr>
                            </w:p>
                          </w:txbxContent>
                        </v:textbox>
                      </v:roundrect>
                      <v:roundrect id="Прямоугольник: скругленные углы 24" o:spid="_x0000_s1050" style="position:absolute;left:490;top:38512;width:7417;height:2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" filled="f" strokeweight="1pt">
                        <v:stroke joinstyle="miter"/>
                        <v:textbox>
                          <w:txbxContent>
                            <w:p w14:paraId="412E4DFC"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Yes</w:t>
                              </w:r>
                            </w:p>
                          </w:txbxContent>
                        </v:textbox>
                      </v:roundrect>
                      <v:rect id="Прямоугольник 24" o:spid="_x0000_s1051" style="position:absolute;left:16229;top:43622;width:17946;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" filled="f" strokeweight="1pt">
                        <v:textbox>
                          <w:txbxContent>
                            <w:p w14:paraId="4F7BC013"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Indicate preventive treatment</w:t>
                              </w:r>
                              <w:r w:rsidRPr="002B1B05">
                                <w:rPr>
                                  <w:rFonts w:ascii="Times New Roman" w:hAnsi="Times New Roman"/>
                                  <w:bCs/>
                                  <w:color w:val="000000"/>
                                  <w:sz w:val="20"/>
                                  <w:szCs w:val="20"/>
                                  <w:vertAlign w:val="superscript"/>
                                </w:rPr>
                                <w:t>5</w:t>
                              </w:r>
                            </w:p>
                          </w:txbxContent>
                        </v:textbox>
                      </v:rect>
                      <v:rect id="Прямоугольник 25" o:spid="_x0000_s1052" style="position:absolute;left:490;top:43635;width:15145;height:3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" filled="f" strokeweight="1pt">
                        <v:textbox>
                          <w:txbxContent>
                            <w:p w14:paraId="4B51FC41" w14:textId="77777777" w:rsidR="009E330A" w:rsidRPr="002B1B05" w:rsidRDefault="009E330A" w:rsidP="00C629AD">
                              <w:pPr>
                                <w:jc w:val="center"/>
                                <w:rPr>
                                  <w:rFonts w:ascii="Times New Roman" w:hAnsi="Times New Roman"/>
                                  <w:sz w:val="20"/>
                                  <w:szCs w:val="20"/>
                                </w:rPr>
                              </w:pPr>
                              <w:r>
                                <w:rPr>
                                  <w:rFonts w:ascii="Times New Roman" w:hAnsi="Times New Roman"/>
                                  <w:bCs/>
                                  <w:color w:val="000000"/>
                                  <w:sz w:val="20"/>
                                  <w:szCs w:val="20"/>
                                </w:rPr>
                                <w:t xml:space="preserve">Preventive treatment postponed </w:t>
                              </w:r>
                            </w:p>
                          </w:txbxContent>
                        </v:textbox>
                      </v:rect>
                      <v:rect id="Прямоугольник 56" o:spid="_x0000_s1053" style="position:absolute;left:2627;top:50596;width:54053;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" fillcolor="#cfc" strokeweight="1pt">
                        <v:textbox>
                          <w:txbxContent>
                            <w:p w14:paraId="79591FA1" w14:textId="77777777" w:rsidR="009E330A" w:rsidRPr="001711AB" w:rsidRDefault="009E330A" w:rsidP="00C629AD">
                              <w:pPr>
                                <w:shd w:val="clear" w:color="auto" w:fill="CCFFCC"/>
                                <w:tabs>
                                  <w:tab w:val="left" w:pos="9781"/>
                                </w:tabs>
                                <w:spacing w:after="0" w:line="240" w:lineRule="auto"/>
                                <w:ind w:right="245"/>
                                <w:jc w:val="center"/>
                                <w:rPr>
                                  <w:rStyle w:val="A14"/>
                                  <w:rFonts w:ascii="Times New Roman" w:hAnsi="Times New Roman" w:cs="Times New Roman"/>
                                </w:rPr>
                              </w:pPr>
                              <w:r w:rsidRPr="001711AB">
                                <w:rPr>
                                  <w:rStyle w:val="A14"/>
                                  <w:rFonts w:ascii="Times New Roman" w:hAnsi="Times New Roman" w:cs="Times New Roman"/>
                                </w:rPr>
                                <w:t>Monitor active TB as needed, even in patients</w:t>
                              </w:r>
                            </w:p>
                            <w:p w14:paraId="6B1F6E8E" w14:textId="77777777" w:rsidR="009E330A" w:rsidRPr="001711AB" w:rsidRDefault="009E330A" w:rsidP="00C629AD">
                              <w:pPr>
                                <w:shd w:val="clear" w:color="auto" w:fill="CCFFCC"/>
                                <w:tabs>
                                  <w:tab w:val="left" w:pos="9781"/>
                                </w:tabs>
                                <w:spacing w:after="0" w:line="240" w:lineRule="auto"/>
                                <w:ind w:right="245"/>
                                <w:jc w:val="center"/>
                                <w:rPr>
                                  <w:rStyle w:val="A14"/>
                                  <w:rFonts w:ascii="Times New Roman" w:hAnsi="Times New Roman" w:cs="Times New Roman"/>
                                </w:rPr>
                              </w:pPr>
                              <w:r w:rsidRPr="001711AB">
                                <w:rPr>
                                  <w:rStyle w:val="A14"/>
                                  <w:rFonts w:ascii="Times New Roman" w:hAnsi="Times New Roman" w:cs="Times New Roman"/>
                                </w:rPr>
                                <w:t xml:space="preserve">who completed preventive </w:t>
                              </w:r>
                              <w:proofErr w:type="gramStart"/>
                              <w:r w:rsidRPr="001711AB">
                                <w:rPr>
                                  <w:rStyle w:val="A14"/>
                                  <w:rFonts w:ascii="Times New Roman" w:hAnsi="Times New Roman" w:cs="Times New Roman"/>
                                </w:rPr>
                                <w:t>treatment</w:t>
                              </w:r>
                              <w:proofErr w:type="gramEnd"/>
                            </w:p>
                          </w:txbxContent>
                        </v:textbox>
                      </v:rect>
                      <v:shapetype id="_x0000_t32" coordsize="21600,21600" o:spt="32" o:oned="t" path="m,l21600,21600e" filled="f">
                        <v:path arrowok="t" fillok="f" o:connecttype="none"/>
                        <o:lock v:ext="edit" shapetype="t"/>
                      </v:shapetype>
                      <v:shape id="Прямая со стрелкой 64" o:spid="_x0000_s1054" type="#_x0000_t32" style="position:absolute;left:11422;top:2638;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&#1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54" o:spid="_x0000_s1055" type="#_x0000_t34" style="position:absolute;left:11447;top:4320;width:0;height:1901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" adj="-463856468" strokeweight=".5pt">
                        <v:stroke startarrow="block" endarrow="block"/>
                      </v:shape>
                      <v:shape id="Прямая со стрелкой 74" o:spid="_x0000_s1056" type="#_x0000_t32" style="position:absolute;left:37436;top:2982;width:123;height:1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" strokeweight=".5pt">
                        <v:stroke endarrow="block" joinstyle="miter"/>
                      </v:shape>
                      <v:shape id="Соединитель: уступ 56" o:spid="_x0000_s1057" type="#_x0000_t34" style="position:absolute;left:38233;top:795;width:0;height:2186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" strokeweight=".5pt">
                        <v:stroke startarrow="block" endarrow="block"/>
                      </v:shape>
                      <v:shape id="Соединитель: уступ 59" o:spid="_x0000_s1058" type="#_x0000_t34" style="position:absolute;left:47118;top:14926;width:2125;height:160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" strokeweight=".5pt">
                        <v:stroke endarrow="block"/>
                      </v:shape>
                      <v:shape id="Прямая со стрелкой 88" o:spid="_x0000_s1059" type="#_x0000_t32" style="position:absolute;left:57203;top:3141;width:0;height:18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" strokeweight=".5pt">
                        <v:stroke endarrow="block" joinstyle="miter"/>
                      </v:shape>
                      <v:shape id="Прямая со стрелкой 89" o:spid="_x0000_s1060" type="#_x0000_t32" style="position:absolute;left:59763;top:24531;width:50;height:2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" strokeweight=".5pt">
                        <v:stroke endarrow="block" joinstyle="miter"/>
                      </v:shape>
                      <v:shape id="Прямая со стрелкой 90" o:spid="_x0000_s1061" type="#_x0000_t32" style="position:absolute;left:18933;top:29981;width:21047;height: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" strokeweight=".5pt">
                        <v:stroke endarrow="block" joinstyle="miter"/>
                      </v:shape>
                      <v:shape id="Соединитель: уступ 68" o:spid="_x0000_s1062" type="#_x0000_t34" style="position:absolute;left:42506;top:38725;width:4000;height:231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" adj="12735" strokeweight=".5pt">
                        <v:stroke endarrow="block"/>
                      </v:shape>
                      <v:shape id="Прямая со стрелкой 93" o:spid="_x0000_s1063" type="#_x0000_t32" style="position:absolute;left:49159;top:30859;width:0;height:54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" strokeweight=".5pt">
                        <v:stroke endarrow="block" joinstyle="miter"/>
                      </v:shape>
                      <v:shape id="Соединитель: уступ 67" o:spid="_x0000_s1064" type="#_x0000_t34" style="position:absolute;left:41868;top:35365;width:4727;height:213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" strokeweight=".5pt">
                        <v:stroke endarrow="block"/>
                      </v:shape>
                      <v:shape id="Соединитель: уступ 69" o:spid="_x0000_s1065" type="#_x0000_t34" style="position:absolute;left:8877;top:31519;width:108;height:1300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" adj="478969" strokeweight=".5pt">
                        <v:stroke startarrow="block" endarrow="block"/>
                      </v:shape>
                      <v:shape id="Прямая со стрелкой 96" o:spid="_x0000_s1066" type="#_x0000_t32" style="position:absolute;left:2429;top:41420;width:0;height:2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" strokeweight=".5pt">
                        <v:stroke endarrow="block" joinstyle="miter"/>
                      </v:shape>
                      <v:shape id="Прямая со стрелкой 97" o:spid="_x0000_s1067" type="#_x0000_t32" style="position:absolute;left:18331;top:41273;width:0;height:2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" strokeweight=".5pt">
                        <v:stroke endarrow="block" joinstyle="miter"/>
                      </v:shape>
                      <v:shape id="Соединитель: уступ 74" o:spid="_x0000_s1068" type="#_x0000_t34" style="position:absolute;left:21196;top:29766;width:2955;height:383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" strokeweight=".5pt">
                        <v:stroke endarrow="block"/>
                      </v:shape>
                      <v:line id="Прямая соединительная линия 99" o:spid="_x0000_s1069" style="position:absolute;visibility:visible;mso-wrap-style:square" from="25221,47189" to="25221,4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" strokeweight=".5pt">
                        <v:stroke joinstyle="miter"/>
                      </v:line>
                      <v:shape id="Прямая со стрелкой 100" o:spid="_x0000_s1070" type="#_x0000_t32" style="position:absolute;left:3106;top:16789;width:0;height:11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" strokeweight=".5pt">
                        <v:stroke endarrow="block" joinstyle="miter"/>
                      </v:shape>
                      <v:line id="Прямая соединительная линия 101" o:spid="_x0000_s1071" style="position:absolute;flip:x;visibility:visible;mso-wrap-style:square" from="11422,9967" to="11423,1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" strokeweight=".5pt">
                        <v:stroke joinstyle="miter"/>
                      </v:line>
                      <v:shape id="Прямая со стрелкой 103" o:spid="_x0000_s1072" type="#_x0000_t32" style="position:absolute;left:37949;top:7575;width:70;height:17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" strokeweight=".5pt">
                        <v:stroke endarrow="block" joinstyle="miter"/>
                      </v:shape>
                      <v:shape id="Прямая со стрелкой 104" o:spid="_x0000_s1073" type="#_x0000_t32" style="position:absolute;left:20509;top:22537;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" strokeweight=".5pt">
                        <v:stroke endarrow="block" joinstyle="miter"/>
                      </v:shape>
                      <v:shape id="Прямая со стрелкой 105" o:spid="_x0000_s1074" type="#_x0000_t32" style="position:absolute;left:8909;top:32413;width:0;height:30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" strokeweight=".5pt">
                        <v:stroke endarrow="block" joinstyle="miter"/>
                      </v:shape>
                      <v:shape id="Прямая со стрелкой 106" o:spid="_x0000_s1075" type="#_x0000_t32" style="position:absolute;left:20011;top:16927;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" strokeweight=".5pt">
                        <v:stroke endarrow="block" joinstyle="miter"/>
                      </v:shape>
                      <v:shape id="Прямая со стрелкой 107" o:spid="_x0000_s1076" type="#_x0000_t32" style="position:absolute;left:53397;top:19977;width:0;height:1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" strokeweight=".5pt">
                        <v:stroke endarrow="block" joinstyle="miter"/>
                      </v:shape>
                      <v:shape id="Прямая со стрелкой 108" o:spid="_x0000_s1077" type="#_x0000_t32" style="position:absolute;left:48076;top:24847;width:0;height:19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" strokeweight=".5pt">
                        <v:stroke endarrow="block" joinstyle="miter"/>
                      </v:shape>
                      <v:shape id="Прямая со стрелкой 109" o:spid="_x0000_s1078" type="#_x0000_t32" style="position:absolute;left:37877;top:19757;width:0;height:10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" strokeweight=".5pt">
                        <v:stroke endarrow="block" joinstyle="miter"/>
                      </v:shape>
                      <v:shape id="Соединитель: уступ 59" o:spid="_x0000_s1079" type="#_x0000_t34" style="position:absolute;left:42621;top:14898;width:2262;height:179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" adj="10767" strokeweight=".5pt">
                        <v:stroke endarrow="block"/>
                      </v:shape>
                      <v:shape id="Прямая со стрелкой 111" o:spid="_x0000_s1080" type="#_x0000_t32" style="position:absolute;left:27300;top:14588;width:0;height:4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" strokeweight=".5pt">
                        <v:stroke endarrow="block" joinstyle="miter"/>
                      </v:shape>
                      <v:line id="Прямая соединительная линия 112" o:spid="_x0000_s1081" style="position:absolute;flip:x;visibility:visible;mso-wrap-style:square" from="24295,40606" to="30049,4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" strokeweight=".5pt">
                        <v:stroke joinstyle="miter"/>
                      </v:line>
                      <v:line id="Прямая соединительная линия 113" o:spid="_x0000_s1082" style="position:absolute;flip:y;visibility:visible;mso-wrap-style:square" from="24293,29981" to="24293,4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" strokeweight=".5pt">
                        <v:stroke joinstyle="miter"/>
                      </v:line>
                      <v:shape id="Соединительная линия уступом 114" o:spid="_x0000_s1083" type="#_x0000_t34" style="position:absolute;left:25865;top:25759;width:12041;height:515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" strokeweight=".5pt">
                        <v:stroke endarrow="block"/>
                      </v:shape>
                      <v:shape id="Прямая со стрелкой 116" o:spid="_x0000_s1084" type="#_x0000_t32" style="position:absolute;left:22107;top:27174;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" strokeweight=".5pt">
                        <v:stroke endarrow="block" joinstyle="miter"/>
                      </v:shape>
                      <w10:anchorlock/>
                    </v:group>
                  </w:pict>
                </mc:Fallback>
              </mc:AlternateContent>
            </w:r>
          </w:p>
          <w:p w14:paraId="5A26837A" w14:textId="77777777" w:rsidR="00572227" w:rsidRDefault="00572227" w:rsidP="00486181">
            <w:pPr>
              <w:spacing w:after="0" w:line="240" w:lineRule="auto"/>
              <w:jc w:val="both"/>
              <w:rPr>
                <w:rFonts w:cs="Arial"/>
              </w:rPr>
            </w:pPr>
          </w:p>
          <w:p w14:paraId="7D3F44BE" w14:textId="77777777" w:rsidR="007A74F7" w:rsidRDefault="00422F32" w:rsidP="00486181">
            <w:pPr>
              <w:spacing w:after="0" w:line="240" w:lineRule="auto"/>
              <w:jc w:val="both"/>
              <w:rPr>
                <w:rFonts w:cs="Arial"/>
              </w:rPr>
            </w:pPr>
            <w:r>
              <w:rPr>
                <w:rFonts w:cs="Arial"/>
              </w:rPr>
              <w:t>The CSOs have become actively</w:t>
            </w:r>
            <w:r w:rsidR="00C83059" w:rsidRPr="00C83059">
              <w:rPr>
                <w:rFonts w:cs="Arial"/>
              </w:rPr>
              <w:t xml:space="preserve"> involved in screening activities for high-risk and hard-to-reach populations. Since 2003,</w:t>
            </w:r>
            <w:r>
              <w:rPr>
                <w:rFonts w:cs="Arial"/>
              </w:rPr>
              <w:t xml:space="preserve"> the implementation of the KNCV’ </w:t>
            </w:r>
            <w:r w:rsidR="00C83059" w:rsidRPr="00C83059">
              <w:rPr>
                <w:rFonts w:cs="Arial"/>
              </w:rPr>
              <w:t>project has begun in the penitentiary sector in four regions. In 2015, the project HOPE began implementing interventions to control TB among migrants in eight countr</w:t>
            </w:r>
            <w:r>
              <w:rPr>
                <w:rFonts w:cs="Arial"/>
              </w:rPr>
              <w:t xml:space="preserve">y regions through USAID funds allocated for </w:t>
            </w:r>
            <w:r w:rsidR="00C83059" w:rsidRPr="00C83059">
              <w:rPr>
                <w:rFonts w:cs="Arial"/>
              </w:rPr>
              <w:t>2015-2017 and Global Fund</w:t>
            </w:r>
            <w:r>
              <w:rPr>
                <w:rFonts w:cs="Arial"/>
              </w:rPr>
              <w:t xml:space="preserve"> </w:t>
            </w:r>
            <w:r w:rsidR="00926793">
              <w:rPr>
                <w:rFonts w:cs="Arial"/>
              </w:rPr>
              <w:t>support</w:t>
            </w:r>
            <w:r w:rsidR="00C83059" w:rsidRPr="00C83059">
              <w:rPr>
                <w:rFonts w:cs="Arial"/>
              </w:rPr>
              <w:t xml:space="preserve"> for consequent years</w:t>
            </w:r>
            <w:r w:rsidR="00926793">
              <w:rPr>
                <w:rFonts w:cs="Arial"/>
              </w:rPr>
              <w:t>.</w:t>
            </w:r>
            <w:r w:rsidR="00C83059" w:rsidRPr="00C83059">
              <w:rPr>
                <w:rFonts w:cs="Arial"/>
              </w:rPr>
              <w:t xml:space="preserve"> However, the activities targete</w:t>
            </w:r>
            <w:r w:rsidR="007A74F7">
              <w:rPr>
                <w:rFonts w:cs="Arial"/>
              </w:rPr>
              <w:t>d certain key population groups</w:t>
            </w:r>
            <w:r w:rsidR="00926793">
              <w:rPr>
                <w:rFonts w:cs="Arial"/>
              </w:rPr>
              <w:t xml:space="preserve"> </w:t>
            </w:r>
            <w:r w:rsidR="00C83059" w:rsidRPr="00C83059">
              <w:rPr>
                <w:rFonts w:cs="Arial"/>
              </w:rPr>
              <w:t xml:space="preserve">were piloted in selected regions. </w:t>
            </w:r>
          </w:p>
          <w:p w14:paraId="67257106" w14:textId="77777777" w:rsidR="007A74F7" w:rsidRDefault="007A74F7" w:rsidP="00486181">
            <w:pPr>
              <w:spacing w:after="0" w:line="240" w:lineRule="auto"/>
              <w:jc w:val="both"/>
              <w:rPr>
                <w:rFonts w:cs="Arial"/>
              </w:rPr>
            </w:pPr>
          </w:p>
          <w:p w14:paraId="2C1D1539" w14:textId="040BD00C" w:rsidR="003C1ADC" w:rsidRDefault="00C83059" w:rsidP="00486181">
            <w:pPr>
              <w:spacing w:after="0" w:line="240" w:lineRule="auto"/>
              <w:jc w:val="both"/>
              <w:rPr>
                <w:rFonts w:cs="Arial"/>
              </w:rPr>
            </w:pPr>
            <w:r w:rsidRPr="00DD7C2E">
              <w:rPr>
                <w:rFonts w:cs="Arial"/>
              </w:rPr>
              <w:t>The large-</w:t>
            </w:r>
            <w:r w:rsidR="00DD7C2E">
              <w:rPr>
                <w:rFonts w:cs="Arial"/>
              </w:rPr>
              <w:t>scale NGOs’ participation in</w:t>
            </w:r>
            <w:r w:rsidR="005612AB">
              <w:rPr>
                <w:rFonts w:cs="Arial"/>
              </w:rPr>
              <w:t xml:space="preserve"> the</w:t>
            </w:r>
            <w:r w:rsidRPr="00DD7C2E">
              <w:rPr>
                <w:rFonts w:cs="Arial"/>
              </w:rPr>
              <w:t xml:space="preserve"> response began in September 2017 as part of the GF project within the frame of the </w:t>
            </w:r>
            <w:r w:rsidR="007A74F7">
              <w:rPr>
                <w:rFonts w:cs="Arial"/>
              </w:rPr>
              <w:t>GF’ new funding m</w:t>
            </w:r>
            <w:r w:rsidR="00DD7C2E">
              <w:rPr>
                <w:rFonts w:cs="Arial"/>
              </w:rPr>
              <w:t>odel for 2017-2019.</w:t>
            </w:r>
            <w:r w:rsidR="005612AB">
              <w:rPr>
                <w:rFonts w:cs="Arial"/>
              </w:rPr>
              <w:t xml:space="preserve"> As sub-recipients of </w:t>
            </w:r>
            <w:r w:rsidRPr="00DD7C2E">
              <w:rPr>
                <w:rFonts w:cs="Arial"/>
              </w:rPr>
              <w:t xml:space="preserve">small grants for </w:t>
            </w:r>
            <w:r w:rsidR="005612AB">
              <w:rPr>
                <w:rFonts w:cs="Arial"/>
              </w:rPr>
              <w:t>TB control in vulnerable groups such as</w:t>
            </w:r>
            <w:r w:rsidRPr="00DD7C2E">
              <w:rPr>
                <w:rFonts w:cs="Arial"/>
              </w:rPr>
              <w:t xml:space="preserve"> people who use drugs (PWUD), PLHIV, alcohol abusers, homeless people, former</w:t>
            </w:r>
            <w:r w:rsidR="005612AB">
              <w:rPr>
                <w:rFonts w:cs="Arial"/>
              </w:rPr>
              <w:t xml:space="preserve"> prisoners,</w:t>
            </w:r>
            <w:r w:rsidRPr="00C83059">
              <w:rPr>
                <w:rFonts w:cs="Arial"/>
              </w:rPr>
              <w:t xml:space="preserve"> </w:t>
            </w:r>
            <w:r w:rsidR="005612AB">
              <w:rPr>
                <w:rFonts w:cs="Arial"/>
              </w:rPr>
              <w:t xml:space="preserve">initially selected </w:t>
            </w:r>
            <w:r w:rsidR="00E04A64" w:rsidRPr="00E04A64">
              <w:rPr>
                <w:rFonts w:cs="Arial"/>
              </w:rPr>
              <w:t>ten NGOs were involv</w:t>
            </w:r>
            <w:r w:rsidR="005612AB">
              <w:rPr>
                <w:rFonts w:cs="Arial"/>
              </w:rPr>
              <w:t xml:space="preserve">ed. </w:t>
            </w:r>
            <w:r w:rsidR="00FF6A95" w:rsidRPr="00FF6A95">
              <w:rPr>
                <w:rFonts w:cs="Arial"/>
              </w:rPr>
              <w:t>Later, in 2019, the PR signed contracts with four and in 2020 with five other organizations, forming a total of 19 NGOs, to implement the pr</w:t>
            </w:r>
            <w:r w:rsidR="00FF6A95">
              <w:rPr>
                <w:rFonts w:cs="Arial"/>
              </w:rPr>
              <w:t>oject interventions until 2022. The</w:t>
            </w:r>
            <w:r w:rsidR="00E04A64" w:rsidRPr="00E04A64">
              <w:rPr>
                <w:rFonts w:cs="Arial"/>
              </w:rPr>
              <w:t xml:space="preserve"> key and vulnerable population groups</w:t>
            </w:r>
            <w:r w:rsidR="00FF6A95">
              <w:rPr>
                <w:rFonts w:cs="Arial"/>
              </w:rPr>
              <w:t xml:space="preserve"> were expanded</w:t>
            </w:r>
            <w:r w:rsidR="00E04A64" w:rsidRPr="00E04A64">
              <w:rPr>
                <w:rFonts w:cs="Arial"/>
              </w:rPr>
              <w:t xml:space="preserve"> from five to seven by adding external migrants and</w:t>
            </w:r>
            <w:r w:rsidR="00E04A64">
              <w:rPr>
                <w:rFonts w:cs="Arial"/>
              </w:rPr>
              <w:t xml:space="preserve"> poor households. </w:t>
            </w:r>
            <w:r w:rsidR="00E00BA1">
              <w:rPr>
                <w:rFonts w:cs="Arial"/>
              </w:rPr>
              <w:t xml:space="preserve">The NGO engagement in </w:t>
            </w:r>
            <w:r w:rsidR="001740E2">
              <w:rPr>
                <w:rFonts w:cs="Arial"/>
              </w:rPr>
              <w:t xml:space="preserve">expansion of </w:t>
            </w:r>
            <w:r w:rsidR="00E00BA1">
              <w:rPr>
                <w:rFonts w:cs="Arial"/>
              </w:rPr>
              <w:t xml:space="preserve">TB control activities </w:t>
            </w:r>
            <w:r w:rsidR="001740E2">
              <w:rPr>
                <w:rFonts w:cs="Arial"/>
              </w:rPr>
              <w:t xml:space="preserve">at the community level have contributed to TB burden reduction through an </w:t>
            </w:r>
            <w:r w:rsidR="00180343" w:rsidRPr="00180343">
              <w:rPr>
                <w:rFonts w:cs="Arial"/>
              </w:rPr>
              <w:t xml:space="preserve">increase in the number of beneficiaries covered by </w:t>
            </w:r>
            <w:r w:rsidR="001740E2">
              <w:rPr>
                <w:rFonts w:cs="Arial"/>
              </w:rPr>
              <w:t xml:space="preserve">the cascade of TB preventive and treatment </w:t>
            </w:r>
            <w:r w:rsidR="00180343" w:rsidRPr="00180343">
              <w:rPr>
                <w:rFonts w:cs="Arial"/>
              </w:rPr>
              <w:t xml:space="preserve">services and </w:t>
            </w:r>
            <w:r w:rsidR="001740E2">
              <w:rPr>
                <w:rFonts w:cs="Arial"/>
              </w:rPr>
              <w:t xml:space="preserve">TB notifications for new and relapse cases among vulnerable and marginalized population groups </w:t>
            </w:r>
            <w:r w:rsidR="00AB771B">
              <w:rPr>
                <w:rFonts w:cs="Arial"/>
              </w:rPr>
              <w:t>(Table 4</w:t>
            </w:r>
            <w:r w:rsidR="00180343" w:rsidRPr="00180343">
              <w:rPr>
                <w:rFonts w:cs="Arial"/>
              </w:rPr>
              <w:t>)</w:t>
            </w:r>
            <w:r w:rsidR="001740E2">
              <w:rPr>
                <w:rFonts w:cs="Arial"/>
              </w:rPr>
              <w:t>.</w:t>
            </w:r>
          </w:p>
          <w:p w14:paraId="0B12B6D5" w14:textId="77777777" w:rsidR="00AB771B" w:rsidRPr="003C1ADC" w:rsidRDefault="00AB771B" w:rsidP="00486181">
            <w:pPr>
              <w:spacing w:after="0" w:line="240" w:lineRule="auto"/>
              <w:jc w:val="both"/>
              <w:rPr>
                <w:rFonts w:cs="Arial"/>
              </w:rPr>
            </w:pPr>
          </w:p>
          <w:p w14:paraId="24255273" w14:textId="781FC7C1" w:rsidR="003C1ADC" w:rsidRPr="003C1ADC" w:rsidRDefault="00AB771B" w:rsidP="003C1ADC">
            <w:pPr>
              <w:jc w:val="both"/>
              <w:rPr>
                <w:rFonts w:cs="Arial"/>
                <w:b/>
              </w:rPr>
            </w:pPr>
            <w:r>
              <w:rPr>
                <w:rFonts w:cs="Arial"/>
                <w:b/>
              </w:rPr>
              <w:t>Table 4</w:t>
            </w:r>
            <w:r w:rsidR="003C1ADC" w:rsidRPr="00AB771B">
              <w:rPr>
                <w:rFonts w:cs="Arial"/>
                <w:b/>
              </w:rPr>
              <w:t>.</w:t>
            </w:r>
            <w:r w:rsidR="003C1ADC" w:rsidRPr="003C1ADC">
              <w:rPr>
                <w:rFonts w:cs="Arial"/>
                <w:b/>
              </w:rPr>
              <w:t xml:space="preserve"> Cascade of screening services realized by NGO, Kazakhstan, 2018 –</w:t>
            </w:r>
            <w:r w:rsidR="003C1ADC">
              <w:rPr>
                <w:rFonts w:cs="Arial"/>
                <w:b/>
              </w:rPr>
              <w:t xml:space="preserve">2020, and </w:t>
            </w:r>
            <w:r w:rsidR="00C06D56">
              <w:rPr>
                <w:rFonts w:cs="Arial"/>
                <w:b/>
              </w:rPr>
              <w:t>nine months</w:t>
            </w:r>
            <w:r w:rsidR="003C1ADC">
              <w:rPr>
                <w:rFonts w:cs="Arial"/>
                <w:b/>
              </w:rPr>
              <w:t xml:space="preserve"> of </w:t>
            </w:r>
            <w:r w:rsidR="003C1ADC" w:rsidRPr="003C1ADC">
              <w:rPr>
                <w:rFonts w:cs="Arial"/>
                <w:b/>
              </w:rPr>
              <w:t>2021</w:t>
            </w:r>
          </w:p>
          <w:tbl>
            <w:tblPr>
              <w:tblStyle w:val="ListTable3-Accent5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018"/>
              <w:gridCol w:w="1250"/>
              <w:gridCol w:w="2126"/>
              <w:gridCol w:w="1985"/>
            </w:tblGrid>
            <w:tr w:rsidR="003C1ADC" w:rsidRPr="003C1ADC" w14:paraId="69EC1D2F" w14:textId="77777777" w:rsidTr="003C1ADC">
              <w:trPr>
                <w:cnfStyle w:val="100000000000" w:firstRow="1" w:lastRow="0" w:firstColumn="0" w:lastColumn="0" w:oddVBand="0" w:evenVBand="0" w:oddHBand="0" w:evenHBand="0" w:firstRowFirstColumn="0" w:firstRowLastColumn="0" w:lastRowFirstColumn="0" w:lastRowLastColumn="0"/>
                <w:trHeight w:val="202"/>
              </w:trPr>
              <w:tc>
                <w:tcPr>
                  <w:cnfStyle w:val="001000000100" w:firstRow="0" w:lastRow="0" w:firstColumn="1" w:lastColumn="0" w:oddVBand="0" w:evenVBand="0" w:oddHBand="0" w:evenHBand="0" w:firstRowFirstColumn="1" w:firstRowLastColumn="0" w:lastRowFirstColumn="0" w:lastRowLastColumn="0"/>
                  <w:tcW w:w="4106" w:type="dxa"/>
                  <w:shd w:val="clear" w:color="auto" w:fill="auto"/>
                  <w:vAlign w:val="center"/>
                  <w:hideMark/>
                </w:tcPr>
                <w:p w14:paraId="46D8C744" w14:textId="77777777" w:rsidR="003C1ADC" w:rsidRPr="003C1ADC" w:rsidRDefault="003C1ADC" w:rsidP="003C1ADC">
                  <w:pPr>
                    <w:spacing w:after="0" w:line="240" w:lineRule="auto"/>
                    <w:jc w:val="center"/>
                    <w:rPr>
                      <w:rFonts w:asciiTheme="minorHAnsi" w:hAnsiTheme="minorHAnsi" w:cstheme="minorHAnsi"/>
                      <w:color w:val="auto"/>
                      <w:sz w:val="18"/>
                      <w:szCs w:val="18"/>
                      <w:lang w:eastAsia="en-GB"/>
                    </w:rPr>
                  </w:pPr>
                </w:p>
              </w:tc>
              <w:tc>
                <w:tcPr>
                  <w:tcW w:w="1018" w:type="dxa"/>
                  <w:shd w:val="clear" w:color="auto" w:fill="auto"/>
                  <w:noWrap/>
                  <w:vAlign w:val="center"/>
                  <w:hideMark/>
                </w:tcPr>
                <w:p w14:paraId="05614C1B" w14:textId="77777777" w:rsidR="003C1ADC" w:rsidRPr="003C1ADC" w:rsidRDefault="003C1ADC" w:rsidP="003C1AD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ru-RU" w:eastAsia="en-GB"/>
                    </w:rPr>
                  </w:pPr>
                  <w:r w:rsidRPr="003C1ADC">
                    <w:rPr>
                      <w:rFonts w:asciiTheme="minorHAnsi" w:hAnsiTheme="minorHAnsi" w:cstheme="minorHAnsi"/>
                      <w:color w:val="auto"/>
                      <w:sz w:val="18"/>
                      <w:szCs w:val="18"/>
                      <w:lang w:val="ru-RU" w:eastAsia="en-GB"/>
                    </w:rPr>
                    <w:t>2018</w:t>
                  </w:r>
                </w:p>
              </w:tc>
              <w:tc>
                <w:tcPr>
                  <w:tcW w:w="1250" w:type="dxa"/>
                  <w:shd w:val="clear" w:color="auto" w:fill="auto"/>
                  <w:noWrap/>
                  <w:vAlign w:val="center"/>
                  <w:hideMark/>
                </w:tcPr>
                <w:p w14:paraId="00B15778" w14:textId="77777777" w:rsidR="003C1ADC" w:rsidRPr="003C1ADC" w:rsidRDefault="003C1ADC" w:rsidP="003C1AD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ru-RU" w:eastAsia="en-GB"/>
                    </w:rPr>
                  </w:pPr>
                  <w:r w:rsidRPr="003C1ADC">
                    <w:rPr>
                      <w:rFonts w:asciiTheme="minorHAnsi" w:hAnsiTheme="minorHAnsi" w:cstheme="minorHAnsi"/>
                      <w:color w:val="auto"/>
                      <w:sz w:val="18"/>
                      <w:szCs w:val="18"/>
                      <w:lang w:val="ru-RU" w:eastAsia="en-GB"/>
                    </w:rPr>
                    <w:t>2019</w:t>
                  </w:r>
                </w:p>
              </w:tc>
              <w:tc>
                <w:tcPr>
                  <w:tcW w:w="2126" w:type="dxa"/>
                  <w:shd w:val="clear" w:color="auto" w:fill="auto"/>
                  <w:vAlign w:val="center"/>
                </w:tcPr>
                <w:p w14:paraId="2E7537CA" w14:textId="77777777" w:rsidR="003C1ADC" w:rsidRPr="003C1ADC" w:rsidRDefault="003C1ADC" w:rsidP="003C1AD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ru-RU" w:eastAsia="en-GB"/>
                    </w:rPr>
                  </w:pPr>
                  <w:r w:rsidRPr="003C1ADC">
                    <w:rPr>
                      <w:rFonts w:asciiTheme="minorHAnsi" w:hAnsiTheme="minorHAnsi" w:cstheme="minorHAnsi"/>
                      <w:color w:val="auto"/>
                      <w:sz w:val="18"/>
                      <w:szCs w:val="18"/>
                      <w:lang w:val="ru-RU" w:eastAsia="en-GB"/>
                    </w:rPr>
                    <w:t>2020</w:t>
                  </w:r>
                </w:p>
              </w:tc>
              <w:tc>
                <w:tcPr>
                  <w:tcW w:w="1985" w:type="dxa"/>
                  <w:shd w:val="clear" w:color="auto" w:fill="auto"/>
                  <w:vAlign w:val="center"/>
                </w:tcPr>
                <w:p w14:paraId="61EA05C4" w14:textId="77777777" w:rsidR="003C1ADC" w:rsidRPr="003C1ADC" w:rsidRDefault="003C1ADC" w:rsidP="003C1AD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ru-RU" w:eastAsia="en-GB"/>
                    </w:rPr>
                  </w:pPr>
                  <w:r w:rsidRPr="003C1ADC">
                    <w:rPr>
                      <w:rFonts w:asciiTheme="minorHAnsi" w:hAnsiTheme="minorHAnsi" w:cstheme="minorHAnsi"/>
                      <w:color w:val="auto"/>
                      <w:sz w:val="18"/>
                      <w:szCs w:val="18"/>
                      <w:lang w:val="ru-RU" w:eastAsia="en-GB"/>
                    </w:rPr>
                    <w:t>9</w:t>
                  </w:r>
                  <w:r w:rsidRPr="003C1ADC">
                    <w:rPr>
                      <w:rFonts w:asciiTheme="minorHAnsi" w:hAnsiTheme="minorHAnsi" w:cstheme="minorHAnsi"/>
                      <w:color w:val="auto"/>
                      <w:sz w:val="18"/>
                      <w:szCs w:val="18"/>
                      <w:lang w:eastAsia="en-GB"/>
                    </w:rPr>
                    <w:t>m</w:t>
                  </w:r>
                  <w:r w:rsidRPr="003C1ADC">
                    <w:rPr>
                      <w:rFonts w:asciiTheme="minorHAnsi" w:hAnsiTheme="minorHAnsi" w:cstheme="minorHAnsi"/>
                      <w:color w:val="auto"/>
                      <w:sz w:val="18"/>
                      <w:szCs w:val="18"/>
                      <w:lang w:val="ru-RU" w:eastAsia="en-GB"/>
                    </w:rPr>
                    <w:t>.2021</w:t>
                  </w:r>
                </w:p>
              </w:tc>
            </w:tr>
            <w:tr w:rsidR="003C1ADC" w:rsidRPr="003C1ADC" w14:paraId="4328DC3D" w14:textId="77777777" w:rsidTr="003C1ADC">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106" w:type="dxa"/>
                  <w:hideMark/>
                </w:tcPr>
                <w:p w14:paraId="222888AA" w14:textId="77777777" w:rsidR="003C1ADC" w:rsidRPr="003C1ADC" w:rsidRDefault="003C1ADC" w:rsidP="003C1ADC">
                  <w:pPr>
                    <w:spacing w:after="0" w:line="240" w:lineRule="auto"/>
                    <w:rPr>
                      <w:rFonts w:asciiTheme="minorHAnsi" w:hAnsiTheme="minorHAnsi" w:cstheme="minorHAnsi"/>
                      <w:sz w:val="18"/>
                      <w:szCs w:val="18"/>
                      <w:lang w:eastAsia="en-GB"/>
                    </w:rPr>
                  </w:pPr>
                  <w:r w:rsidRPr="003C1ADC">
                    <w:rPr>
                      <w:rFonts w:asciiTheme="minorHAnsi" w:hAnsiTheme="minorHAnsi" w:cstheme="minorHAnsi"/>
                      <w:sz w:val="18"/>
                      <w:szCs w:val="18"/>
                      <w:lang w:eastAsia="en-GB"/>
                    </w:rPr>
                    <w:t>People informed</w:t>
                  </w:r>
                </w:p>
              </w:tc>
              <w:tc>
                <w:tcPr>
                  <w:tcW w:w="1018" w:type="dxa"/>
                  <w:noWrap/>
                </w:tcPr>
                <w:p w14:paraId="080FAD84"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32,257 </w:t>
                  </w:r>
                </w:p>
              </w:tc>
              <w:tc>
                <w:tcPr>
                  <w:tcW w:w="1250" w:type="dxa"/>
                  <w:noWrap/>
                </w:tcPr>
                <w:p w14:paraId="5C804691"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 xml:space="preserve"> 45,086</w:t>
                  </w:r>
                </w:p>
              </w:tc>
              <w:tc>
                <w:tcPr>
                  <w:tcW w:w="2126" w:type="dxa"/>
                </w:tcPr>
                <w:p w14:paraId="4020098F"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53,361</w:t>
                  </w:r>
                </w:p>
              </w:tc>
              <w:tc>
                <w:tcPr>
                  <w:tcW w:w="1985" w:type="dxa"/>
                </w:tcPr>
                <w:p w14:paraId="281B8778"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62,201 </w:t>
                  </w:r>
                </w:p>
              </w:tc>
            </w:tr>
            <w:tr w:rsidR="003C1ADC" w:rsidRPr="003C1ADC" w14:paraId="124C1A70" w14:textId="77777777" w:rsidTr="003C1ADC">
              <w:trPr>
                <w:trHeight w:val="377"/>
              </w:trPr>
              <w:tc>
                <w:tcPr>
                  <w:cnfStyle w:val="001000000000" w:firstRow="0" w:lastRow="0" w:firstColumn="1" w:lastColumn="0" w:oddVBand="0" w:evenVBand="0" w:oddHBand="0" w:evenHBand="0" w:firstRowFirstColumn="0" w:firstRowLastColumn="0" w:lastRowFirstColumn="0" w:lastRowLastColumn="0"/>
                  <w:tcW w:w="4106" w:type="dxa"/>
                </w:tcPr>
                <w:p w14:paraId="1195DB3E" w14:textId="77777777" w:rsidR="003C1ADC" w:rsidRPr="003C1ADC" w:rsidRDefault="003C1ADC" w:rsidP="003C1ADC">
                  <w:pPr>
                    <w:spacing w:after="0" w:line="240" w:lineRule="auto"/>
                    <w:rPr>
                      <w:rFonts w:asciiTheme="minorHAnsi" w:hAnsiTheme="minorHAnsi" w:cstheme="minorHAnsi"/>
                      <w:sz w:val="18"/>
                      <w:szCs w:val="18"/>
                      <w:lang w:eastAsia="en-GB"/>
                    </w:rPr>
                  </w:pPr>
                  <w:r w:rsidRPr="003C1ADC">
                    <w:rPr>
                      <w:rFonts w:asciiTheme="minorHAnsi" w:hAnsiTheme="minorHAnsi" w:cstheme="minorHAnsi"/>
                      <w:sz w:val="18"/>
                      <w:szCs w:val="18"/>
                      <w:lang w:eastAsia="en-GB"/>
                    </w:rPr>
                    <w:t>People screened (% from informed)</w:t>
                  </w:r>
                </w:p>
              </w:tc>
              <w:tc>
                <w:tcPr>
                  <w:tcW w:w="1018" w:type="dxa"/>
                  <w:noWrap/>
                </w:tcPr>
                <w:p w14:paraId="3D088D26"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6,291 (19.5%) </w:t>
                  </w:r>
                </w:p>
              </w:tc>
              <w:tc>
                <w:tcPr>
                  <w:tcW w:w="1250" w:type="dxa"/>
                  <w:noWrap/>
                </w:tcPr>
                <w:p w14:paraId="0C1BCA6B"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10,013</w:t>
                  </w:r>
                  <w:proofErr w:type="gramStart"/>
                  <w:r w:rsidRPr="003C1ADC">
                    <w:rPr>
                      <w:rFonts w:eastAsia="Calibri" w:cs="Arial"/>
                      <w:sz w:val="18"/>
                      <w:szCs w:val="18"/>
                    </w:rPr>
                    <w:t xml:space="preserve">   (</w:t>
                  </w:r>
                  <w:proofErr w:type="gramEnd"/>
                  <w:r w:rsidRPr="003C1ADC">
                    <w:rPr>
                      <w:rFonts w:eastAsia="Calibri" w:cs="Arial"/>
                      <w:sz w:val="18"/>
                      <w:szCs w:val="18"/>
                    </w:rPr>
                    <w:t>22%)</w:t>
                  </w:r>
                </w:p>
              </w:tc>
              <w:tc>
                <w:tcPr>
                  <w:tcW w:w="2126" w:type="dxa"/>
                </w:tcPr>
                <w:p w14:paraId="213115A8"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lang w:eastAsia="en-GB"/>
                    </w:rPr>
                  </w:pPr>
                </w:p>
              </w:tc>
              <w:tc>
                <w:tcPr>
                  <w:tcW w:w="1985" w:type="dxa"/>
                </w:tcPr>
                <w:p w14:paraId="73189D01"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lang w:eastAsia="en-GB"/>
                    </w:rPr>
                  </w:pPr>
                </w:p>
              </w:tc>
            </w:tr>
            <w:tr w:rsidR="003C1ADC" w:rsidRPr="003C1ADC" w14:paraId="51C914C1" w14:textId="77777777" w:rsidTr="003C1ADC">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106" w:type="dxa"/>
                </w:tcPr>
                <w:p w14:paraId="0C9F03E5" w14:textId="77777777" w:rsidR="003C1ADC" w:rsidRPr="003C1ADC" w:rsidRDefault="003C1ADC" w:rsidP="003C1ADC">
                  <w:pPr>
                    <w:spacing w:after="0" w:line="240" w:lineRule="auto"/>
                    <w:rPr>
                      <w:rFonts w:asciiTheme="minorHAnsi" w:hAnsiTheme="minorHAnsi" w:cstheme="minorHAnsi"/>
                      <w:sz w:val="18"/>
                      <w:szCs w:val="18"/>
                      <w:lang w:eastAsia="en-GB"/>
                    </w:rPr>
                  </w:pPr>
                  <w:r w:rsidRPr="003C1ADC">
                    <w:rPr>
                      <w:rFonts w:asciiTheme="minorHAnsi" w:hAnsiTheme="minorHAnsi" w:cstheme="minorHAnsi"/>
                      <w:sz w:val="18"/>
                      <w:szCs w:val="18"/>
                      <w:lang w:eastAsia="en-GB"/>
                    </w:rPr>
                    <w:t>People escorted to PHC (% of screened)</w:t>
                  </w:r>
                </w:p>
              </w:tc>
              <w:tc>
                <w:tcPr>
                  <w:tcW w:w="1018" w:type="dxa"/>
                  <w:noWrap/>
                </w:tcPr>
                <w:p w14:paraId="4B652D6D"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 xml:space="preserve">2,217 </w:t>
                  </w:r>
                  <w:proofErr w:type="gramStart"/>
                  <w:r w:rsidRPr="003C1ADC">
                    <w:rPr>
                      <w:rFonts w:eastAsia="Calibri" w:cs="Arial"/>
                      <w:sz w:val="18"/>
                      <w:szCs w:val="18"/>
                    </w:rPr>
                    <w:t xml:space="preserve">   (</w:t>
                  </w:r>
                  <w:proofErr w:type="gramEnd"/>
                  <w:r w:rsidRPr="003C1ADC">
                    <w:rPr>
                      <w:rFonts w:eastAsia="Calibri" w:cs="Arial"/>
                      <w:sz w:val="18"/>
                      <w:szCs w:val="18"/>
                    </w:rPr>
                    <w:t>35%)</w:t>
                  </w:r>
                </w:p>
              </w:tc>
              <w:tc>
                <w:tcPr>
                  <w:tcW w:w="1250" w:type="dxa"/>
                  <w:noWrap/>
                </w:tcPr>
                <w:p w14:paraId="038C8226"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 xml:space="preserve">3,006 </w:t>
                  </w:r>
                  <w:proofErr w:type="gramStart"/>
                  <w:r w:rsidRPr="003C1ADC">
                    <w:rPr>
                      <w:rFonts w:eastAsia="Calibri" w:cs="Arial"/>
                      <w:sz w:val="18"/>
                      <w:szCs w:val="18"/>
                    </w:rPr>
                    <w:t xml:space="preserve">   (</w:t>
                  </w:r>
                  <w:proofErr w:type="gramEnd"/>
                  <w:r w:rsidRPr="003C1ADC">
                    <w:rPr>
                      <w:rFonts w:eastAsia="Calibri" w:cs="Arial"/>
                      <w:sz w:val="18"/>
                      <w:szCs w:val="18"/>
                    </w:rPr>
                    <w:t>30%)</w:t>
                  </w:r>
                </w:p>
              </w:tc>
              <w:tc>
                <w:tcPr>
                  <w:tcW w:w="2126" w:type="dxa"/>
                </w:tcPr>
                <w:p w14:paraId="7A34AE60" w14:textId="77777777" w:rsid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3C1ADC">
                    <w:rPr>
                      <w:rFonts w:eastAsia="Calibri" w:cs="Arial"/>
                      <w:sz w:val="18"/>
                      <w:szCs w:val="18"/>
                    </w:rPr>
                    <w:t xml:space="preserve">6,787 </w:t>
                  </w:r>
                </w:p>
                <w:p w14:paraId="40698D39" w14:textId="52128931"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(12.7% from informed)</w:t>
                  </w:r>
                </w:p>
              </w:tc>
              <w:tc>
                <w:tcPr>
                  <w:tcW w:w="1985" w:type="dxa"/>
                </w:tcPr>
                <w:p w14:paraId="104242A6" w14:textId="77777777" w:rsid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3C1ADC">
                    <w:rPr>
                      <w:rFonts w:eastAsia="Calibri" w:cs="Arial"/>
                      <w:sz w:val="18"/>
                      <w:szCs w:val="18"/>
                    </w:rPr>
                    <w:t xml:space="preserve">9,304   </w:t>
                  </w:r>
                </w:p>
                <w:p w14:paraId="2C5B9DFF" w14:textId="590399EB"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(15%</w:t>
                  </w:r>
                  <w:r w:rsidRPr="003C1ADC">
                    <w:rPr>
                      <w:sz w:val="18"/>
                      <w:szCs w:val="18"/>
                    </w:rPr>
                    <w:t xml:space="preserve"> </w:t>
                  </w:r>
                  <w:r w:rsidRPr="003C1ADC">
                    <w:rPr>
                      <w:rFonts w:eastAsia="Calibri" w:cs="Arial"/>
                      <w:sz w:val="18"/>
                      <w:szCs w:val="18"/>
                    </w:rPr>
                    <w:t>from informed) </w:t>
                  </w:r>
                </w:p>
              </w:tc>
            </w:tr>
            <w:tr w:rsidR="003C1ADC" w:rsidRPr="003C1ADC" w14:paraId="37705B6E" w14:textId="77777777" w:rsidTr="003C1ADC">
              <w:trPr>
                <w:trHeight w:val="300"/>
              </w:trPr>
              <w:tc>
                <w:tcPr>
                  <w:cnfStyle w:val="001000000000" w:firstRow="0" w:lastRow="0" w:firstColumn="1" w:lastColumn="0" w:oddVBand="0" w:evenVBand="0" w:oddHBand="0" w:evenHBand="0" w:firstRowFirstColumn="0" w:firstRowLastColumn="0" w:lastRowFirstColumn="0" w:lastRowLastColumn="0"/>
                  <w:tcW w:w="4106" w:type="dxa"/>
                </w:tcPr>
                <w:p w14:paraId="2A2E1724" w14:textId="77777777" w:rsidR="003C1ADC" w:rsidRPr="003C1ADC" w:rsidRDefault="003C1ADC" w:rsidP="003C1ADC">
                  <w:pPr>
                    <w:spacing w:after="0" w:line="240" w:lineRule="auto"/>
                    <w:rPr>
                      <w:rFonts w:asciiTheme="minorHAnsi" w:hAnsiTheme="minorHAnsi" w:cstheme="minorHAnsi"/>
                      <w:sz w:val="18"/>
                      <w:szCs w:val="18"/>
                      <w:lang w:eastAsia="en-GB"/>
                    </w:rPr>
                  </w:pPr>
                  <w:r w:rsidRPr="003C1ADC">
                    <w:rPr>
                      <w:rFonts w:asciiTheme="minorHAnsi" w:hAnsiTheme="minorHAnsi" w:cstheme="minorHAnsi"/>
                      <w:sz w:val="18"/>
                      <w:szCs w:val="18"/>
                      <w:lang w:eastAsia="en-GB"/>
                    </w:rPr>
                    <w:t>Tested for TB (% of screened)</w:t>
                  </w:r>
                </w:p>
              </w:tc>
              <w:tc>
                <w:tcPr>
                  <w:tcW w:w="1018" w:type="dxa"/>
                  <w:noWrap/>
                </w:tcPr>
                <w:p w14:paraId="453A908D"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1,923 (30.5%)</w:t>
                  </w:r>
                </w:p>
              </w:tc>
              <w:tc>
                <w:tcPr>
                  <w:tcW w:w="1250" w:type="dxa"/>
                  <w:noWrap/>
                </w:tcPr>
                <w:p w14:paraId="72C84E35"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2,971 (29.6%)</w:t>
                  </w:r>
                </w:p>
              </w:tc>
              <w:tc>
                <w:tcPr>
                  <w:tcW w:w="2126" w:type="dxa"/>
                </w:tcPr>
                <w:p w14:paraId="2C26016E" w14:textId="77777777" w:rsid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3C1ADC">
                    <w:rPr>
                      <w:rFonts w:eastAsia="Calibri" w:cs="Arial"/>
                      <w:sz w:val="18"/>
                      <w:szCs w:val="18"/>
                    </w:rPr>
                    <w:t xml:space="preserve">3,569     </w:t>
                  </w:r>
                </w:p>
                <w:p w14:paraId="096D310E" w14:textId="4911B0A0" w:rsidR="003C1ADC" w:rsidRPr="003C1ADC" w:rsidDel="00092E30"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(52% from escorted)</w:t>
                  </w:r>
                </w:p>
              </w:tc>
              <w:tc>
                <w:tcPr>
                  <w:tcW w:w="1985" w:type="dxa"/>
                </w:tcPr>
                <w:p w14:paraId="46B1D7E5" w14:textId="77777777" w:rsid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3C1ADC">
                    <w:rPr>
                      <w:rFonts w:eastAsia="Calibri" w:cs="Arial"/>
                      <w:sz w:val="18"/>
                      <w:szCs w:val="18"/>
                    </w:rPr>
                    <w:t xml:space="preserve">4,875     </w:t>
                  </w:r>
                </w:p>
                <w:p w14:paraId="3CFFABD8" w14:textId="2FB44A01"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(52%</w:t>
                  </w:r>
                  <w:r w:rsidRPr="003C1ADC">
                    <w:rPr>
                      <w:sz w:val="18"/>
                      <w:szCs w:val="18"/>
                    </w:rPr>
                    <w:t xml:space="preserve"> </w:t>
                  </w:r>
                  <w:r w:rsidRPr="003C1ADC">
                    <w:rPr>
                      <w:rFonts w:eastAsia="Calibri" w:cs="Arial"/>
                      <w:sz w:val="18"/>
                      <w:szCs w:val="18"/>
                    </w:rPr>
                    <w:t>from escorted)</w:t>
                  </w:r>
                </w:p>
              </w:tc>
            </w:tr>
            <w:tr w:rsidR="003C1ADC" w:rsidRPr="003C1ADC" w14:paraId="1E3C0788" w14:textId="77777777" w:rsidTr="003C1A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hideMark/>
                </w:tcPr>
                <w:p w14:paraId="6C705C41" w14:textId="77777777" w:rsidR="003C1ADC" w:rsidRPr="003C1ADC" w:rsidRDefault="003C1ADC" w:rsidP="003C1ADC">
                  <w:pPr>
                    <w:spacing w:after="0" w:line="240" w:lineRule="auto"/>
                    <w:rPr>
                      <w:rFonts w:asciiTheme="minorHAnsi" w:hAnsiTheme="minorHAnsi" w:cstheme="minorHAnsi"/>
                      <w:sz w:val="18"/>
                      <w:szCs w:val="18"/>
                      <w:lang w:eastAsia="en-GB"/>
                    </w:rPr>
                  </w:pPr>
                  <w:r w:rsidRPr="003C1ADC">
                    <w:rPr>
                      <w:rFonts w:asciiTheme="minorHAnsi" w:hAnsiTheme="minorHAnsi" w:cstheme="minorHAnsi"/>
                      <w:sz w:val="18"/>
                      <w:szCs w:val="18"/>
                      <w:lang w:eastAsia="en-GB"/>
                    </w:rPr>
                    <w:t>TB diagnosed (% of tested)</w:t>
                  </w:r>
                </w:p>
              </w:tc>
              <w:tc>
                <w:tcPr>
                  <w:tcW w:w="1018" w:type="dxa"/>
                  <w:noWrap/>
                </w:tcPr>
                <w:p w14:paraId="2D902CE4"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263 (13.6%)</w:t>
                  </w:r>
                </w:p>
              </w:tc>
              <w:tc>
                <w:tcPr>
                  <w:tcW w:w="1250" w:type="dxa"/>
                  <w:noWrap/>
                </w:tcPr>
                <w:p w14:paraId="0F16E34C"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294 (9.8%)</w:t>
                  </w:r>
                </w:p>
              </w:tc>
              <w:tc>
                <w:tcPr>
                  <w:tcW w:w="2126" w:type="dxa"/>
                </w:tcPr>
                <w:p w14:paraId="7C1AA47C"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335 (9.4%)</w:t>
                  </w:r>
                </w:p>
              </w:tc>
              <w:tc>
                <w:tcPr>
                  <w:tcW w:w="1985" w:type="dxa"/>
                </w:tcPr>
                <w:p w14:paraId="25252CFF"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546 (11.2%)</w:t>
                  </w:r>
                </w:p>
              </w:tc>
            </w:tr>
            <w:tr w:rsidR="003C1ADC" w:rsidRPr="003C1ADC" w14:paraId="652DE5FC" w14:textId="77777777" w:rsidTr="003C1ADC">
              <w:trPr>
                <w:trHeight w:val="300"/>
              </w:trPr>
              <w:tc>
                <w:tcPr>
                  <w:cnfStyle w:val="001000000000" w:firstRow="0" w:lastRow="0" w:firstColumn="1" w:lastColumn="0" w:oddVBand="0" w:evenVBand="0" w:oddHBand="0" w:evenHBand="0" w:firstRowFirstColumn="0" w:firstRowLastColumn="0" w:lastRowFirstColumn="0" w:lastRowLastColumn="0"/>
                  <w:tcW w:w="4106" w:type="dxa"/>
                  <w:hideMark/>
                </w:tcPr>
                <w:p w14:paraId="7FF9BE86" w14:textId="1A4C09C8" w:rsidR="003C1ADC" w:rsidRPr="003C1ADC" w:rsidRDefault="003C1ADC" w:rsidP="00681D1C">
                  <w:pPr>
                    <w:spacing w:after="0" w:line="240" w:lineRule="auto"/>
                    <w:rPr>
                      <w:rFonts w:asciiTheme="minorHAnsi" w:hAnsiTheme="minorHAnsi" w:cstheme="minorHAnsi"/>
                      <w:sz w:val="18"/>
                      <w:szCs w:val="18"/>
                      <w:lang w:eastAsia="en-GB"/>
                    </w:rPr>
                  </w:pPr>
                  <w:r>
                    <w:rPr>
                      <w:rFonts w:asciiTheme="minorHAnsi" w:hAnsiTheme="minorHAnsi" w:cstheme="minorHAnsi"/>
                      <w:sz w:val="18"/>
                      <w:szCs w:val="18"/>
                      <w:lang w:eastAsia="en-GB"/>
                    </w:rPr>
                    <w:t xml:space="preserve">Share of </w:t>
                  </w:r>
                  <w:r w:rsidRPr="003C1ADC">
                    <w:rPr>
                      <w:rFonts w:asciiTheme="minorHAnsi" w:hAnsiTheme="minorHAnsi" w:cstheme="minorHAnsi"/>
                      <w:sz w:val="18"/>
                      <w:szCs w:val="18"/>
                      <w:lang w:eastAsia="en-GB"/>
                    </w:rPr>
                    <w:t xml:space="preserve">TB cases notified in regions </w:t>
                  </w:r>
                  <w:r w:rsidR="00681D1C">
                    <w:rPr>
                      <w:rFonts w:asciiTheme="minorHAnsi" w:hAnsiTheme="minorHAnsi" w:cstheme="minorHAnsi"/>
                      <w:sz w:val="18"/>
                      <w:szCs w:val="18"/>
                      <w:lang w:eastAsia="en-GB"/>
                    </w:rPr>
                    <w:t>targeted by activities</w:t>
                  </w:r>
                </w:p>
              </w:tc>
              <w:tc>
                <w:tcPr>
                  <w:tcW w:w="1018" w:type="dxa"/>
                  <w:noWrap/>
                </w:tcPr>
                <w:p w14:paraId="2B0F1DE1"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asciiTheme="minorHAnsi" w:hAnsiTheme="minorHAnsi" w:cstheme="minorHAnsi"/>
                      <w:sz w:val="18"/>
                      <w:szCs w:val="18"/>
                      <w:lang w:eastAsia="en-GB"/>
                    </w:rPr>
                    <w:t>N/A</w:t>
                  </w:r>
                </w:p>
              </w:tc>
              <w:tc>
                <w:tcPr>
                  <w:tcW w:w="1250" w:type="dxa"/>
                  <w:noWrap/>
                </w:tcPr>
                <w:p w14:paraId="7DFA1CAC"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asciiTheme="minorHAnsi" w:hAnsiTheme="minorHAnsi" w:cstheme="minorHAnsi"/>
                      <w:sz w:val="18"/>
                      <w:szCs w:val="18"/>
                      <w:lang w:eastAsia="en-GB"/>
                    </w:rPr>
                    <w:t>N/A</w:t>
                  </w:r>
                </w:p>
              </w:tc>
              <w:tc>
                <w:tcPr>
                  <w:tcW w:w="2126" w:type="dxa"/>
                </w:tcPr>
                <w:p w14:paraId="7F2AEDD0"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7.14% </w:t>
                  </w:r>
                </w:p>
              </w:tc>
              <w:tc>
                <w:tcPr>
                  <w:tcW w:w="1985" w:type="dxa"/>
                </w:tcPr>
                <w:p w14:paraId="2CF2442B" w14:textId="77777777" w:rsidR="003C1ADC" w:rsidRPr="003C1ADC" w:rsidRDefault="003C1ADC" w:rsidP="003C1AD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10.1%</w:t>
                  </w:r>
                </w:p>
              </w:tc>
            </w:tr>
            <w:tr w:rsidR="003C1ADC" w:rsidRPr="003C1ADC" w14:paraId="35A28620" w14:textId="77777777" w:rsidTr="003C1A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6" w:type="dxa"/>
                </w:tcPr>
                <w:p w14:paraId="2CDCCF83" w14:textId="680B3021" w:rsidR="003C1ADC" w:rsidRPr="003C1ADC" w:rsidRDefault="003C1ADC" w:rsidP="003C1ADC">
                  <w:pPr>
                    <w:spacing w:after="0" w:line="240" w:lineRule="auto"/>
                    <w:rPr>
                      <w:rFonts w:asciiTheme="minorHAnsi" w:hAnsiTheme="minorHAnsi" w:cstheme="minorHAnsi"/>
                      <w:sz w:val="18"/>
                      <w:szCs w:val="18"/>
                      <w:lang w:eastAsia="en-GB"/>
                    </w:rPr>
                  </w:pPr>
                  <w:r w:rsidRPr="003C1ADC">
                    <w:rPr>
                      <w:rFonts w:asciiTheme="minorHAnsi" w:hAnsiTheme="minorHAnsi" w:cstheme="minorHAnsi"/>
                      <w:sz w:val="18"/>
                      <w:szCs w:val="18"/>
                      <w:lang w:eastAsia="en-GB"/>
                    </w:rPr>
                    <w:t>Number of co</w:t>
                  </w:r>
                  <w:r>
                    <w:rPr>
                      <w:rFonts w:asciiTheme="minorHAnsi" w:hAnsiTheme="minorHAnsi" w:cstheme="minorHAnsi"/>
                      <w:sz w:val="18"/>
                      <w:szCs w:val="18"/>
                      <w:lang w:eastAsia="en-GB"/>
                    </w:rPr>
                    <w:t>ntacts referred to examinations</w:t>
                  </w:r>
                </w:p>
              </w:tc>
              <w:tc>
                <w:tcPr>
                  <w:tcW w:w="1018" w:type="dxa"/>
                  <w:noWrap/>
                </w:tcPr>
                <w:p w14:paraId="2E119BB3"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486</w:t>
                  </w:r>
                </w:p>
              </w:tc>
              <w:tc>
                <w:tcPr>
                  <w:tcW w:w="1250" w:type="dxa"/>
                  <w:noWrap/>
                </w:tcPr>
                <w:p w14:paraId="748EE3F6"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513</w:t>
                  </w:r>
                </w:p>
              </w:tc>
              <w:tc>
                <w:tcPr>
                  <w:tcW w:w="2126" w:type="dxa"/>
                </w:tcPr>
                <w:p w14:paraId="28CC4E94" w14:textId="77777777"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675</w:t>
                  </w:r>
                </w:p>
              </w:tc>
              <w:tc>
                <w:tcPr>
                  <w:tcW w:w="1985" w:type="dxa"/>
                </w:tcPr>
                <w:p w14:paraId="40EF4122" w14:textId="58695089" w:rsidR="003C1ADC" w:rsidRPr="003C1ADC" w:rsidRDefault="003C1ADC" w:rsidP="003C1A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n-GB"/>
                    </w:rPr>
                  </w:pPr>
                  <w:r w:rsidRPr="003C1ADC">
                    <w:rPr>
                      <w:rFonts w:eastAsia="Calibri" w:cs="Arial"/>
                      <w:sz w:val="18"/>
                      <w:szCs w:val="18"/>
                    </w:rPr>
                    <w:t>1</w:t>
                  </w:r>
                  <w:r w:rsidR="00E72948">
                    <w:rPr>
                      <w:rFonts w:eastAsia="Calibri" w:cs="Arial"/>
                      <w:sz w:val="18"/>
                      <w:szCs w:val="18"/>
                    </w:rPr>
                    <w:t>,</w:t>
                  </w:r>
                  <w:r w:rsidRPr="003C1ADC">
                    <w:rPr>
                      <w:rFonts w:eastAsia="Calibri" w:cs="Arial"/>
                      <w:sz w:val="18"/>
                      <w:szCs w:val="18"/>
                    </w:rPr>
                    <w:t>136</w:t>
                  </w:r>
                </w:p>
              </w:tc>
            </w:tr>
          </w:tbl>
          <w:p w14:paraId="0E3C11F3" w14:textId="77777777" w:rsidR="001740E2" w:rsidRDefault="001740E2" w:rsidP="00B96A8B">
            <w:pPr>
              <w:jc w:val="both"/>
              <w:rPr>
                <w:rFonts w:cs="Arial"/>
              </w:rPr>
            </w:pPr>
          </w:p>
          <w:p w14:paraId="4D602CF3" w14:textId="7DA93792" w:rsidR="00FF6A95" w:rsidRPr="00FF6A95" w:rsidRDefault="00FF6A95" w:rsidP="001D599C">
            <w:pPr>
              <w:rPr>
                <w:rFonts w:cs="Arial"/>
                <w:b/>
              </w:rPr>
            </w:pPr>
            <w:r w:rsidRPr="00FF6A95">
              <w:rPr>
                <w:rFonts w:cs="Arial"/>
                <w:b/>
              </w:rPr>
              <w:t>TB laboratory network</w:t>
            </w:r>
          </w:p>
          <w:p w14:paraId="30B4A5CE" w14:textId="5B9AB744" w:rsidR="00FF6A95" w:rsidRPr="00974FD7" w:rsidRDefault="00C27693" w:rsidP="00FF6A95">
            <w:pPr>
              <w:spacing w:after="0" w:line="240" w:lineRule="auto"/>
              <w:jc w:val="both"/>
              <w:rPr>
                <w:rFonts w:cs="Arial"/>
              </w:rPr>
            </w:pPr>
            <w:r w:rsidRPr="00974FD7">
              <w:rPr>
                <w:rFonts w:cs="Arial"/>
              </w:rPr>
              <w:t>The network of TB laboratories in Kazakhstan has undergone significant optimization resulted in the closure of laboratories performing mainly cultur</w:t>
            </w:r>
            <w:r w:rsidR="00E72948" w:rsidRPr="00974FD7">
              <w:rPr>
                <w:rFonts w:cs="Arial"/>
              </w:rPr>
              <w:t>e investigations</w:t>
            </w:r>
            <w:r w:rsidRPr="00974FD7">
              <w:rPr>
                <w:rFonts w:cs="Arial"/>
              </w:rPr>
              <w:t xml:space="preserve"> and DST on solid media, a sharp reduction in the number of microscopy laboratories, and an increase in mo</w:t>
            </w:r>
            <w:r w:rsidR="00FF6A95" w:rsidRPr="00974FD7">
              <w:rPr>
                <w:rFonts w:cs="Arial"/>
              </w:rPr>
              <w:t>lecular diagnostics systems</w:t>
            </w:r>
            <w:r w:rsidRPr="00974FD7">
              <w:rPr>
                <w:rFonts w:cs="Arial"/>
              </w:rPr>
              <w:t xml:space="preserve">. The current laboratory network includes the National Reference Laboratory (NRL), regional and city-level 19 bacteriological laboratories, including one placed in the penitentiary system, 119 Xpert MTB/RIF testing sites, and 245 laboratories performing smear microscopy </w:t>
            </w:r>
            <w:r w:rsidR="00681D1C" w:rsidRPr="00974FD7">
              <w:rPr>
                <w:rFonts w:cs="Arial"/>
              </w:rPr>
              <w:t xml:space="preserve">(Table </w:t>
            </w:r>
            <w:r w:rsidR="007E0318" w:rsidRPr="00974FD7">
              <w:rPr>
                <w:rFonts w:cs="Arial"/>
              </w:rPr>
              <w:t xml:space="preserve">5 </w:t>
            </w:r>
            <w:r w:rsidR="00681D1C" w:rsidRPr="00974FD7">
              <w:rPr>
                <w:rFonts w:cs="Arial"/>
              </w:rPr>
              <w:t xml:space="preserve">and Figure </w:t>
            </w:r>
            <w:r w:rsidR="007E0318" w:rsidRPr="00974FD7">
              <w:rPr>
                <w:rFonts w:cs="Arial"/>
              </w:rPr>
              <w:t>27</w:t>
            </w:r>
            <w:r w:rsidR="001D599C" w:rsidRPr="00974FD7">
              <w:rPr>
                <w:rFonts w:cs="Arial"/>
              </w:rPr>
              <w:t>)</w:t>
            </w:r>
            <w:r w:rsidR="00FF6A95" w:rsidRPr="00974FD7">
              <w:rPr>
                <w:rFonts w:cs="Arial"/>
              </w:rPr>
              <w:t>.</w:t>
            </w:r>
          </w:p>
          <w:p w14:paraId="69FBE34B" w14:textId="1046EE78" w:rsidR="00681D1C" w:rsidRPr="00681D1C" w:rsidRDefault="007E0318" w:rsidP="007E0318">
            <w:pPr>
              <w:spacing w:before="120" w:after="0" w:line="240" w:lineRule="auto"/>
              <w:jc w:val="both"/>
              <w:textAlignment w:val="baseline"/>
              <w:rPr>
                <w:rFonts w:eastAsia="Times New Roman" w:cs="Arial"/>
                <w:b/>
                <w:bCs/>
                <w:lang w:eastAsia="ru-RU"/>
              </w:rPr>
            </w:pPr>
            <w:r>
              <w:rPr>
                <w:rFonts w:eastAsia="Times New Roman" w:cs="Arial"/>
                <w:b/>
                <w:bCs/>
                <w:lang w:eastAsia="ru-RU"/>
              </w:rPr>
              <w:t>Table 5</w:t>
            </w:r>
            <w:r w:rsidR="00681D1C" w:rsidRPr="007E0318">
              <w:rPr>
                <w:rFonts w:eastAsia="Times New Roman" w:cs="Arial"/>
                <w:b/>
                <w:bCs/>
                <w:lang w:eastAsia="ru-RU"/>
              </w:rPr>
              <w:t>.</w:t>
            </w:r>
            <w:r w:rsidR="00681D1C" w:rsidRPr="00681D1C">
              <w:rPr>
                <w:rFonts w:eastAsia="Times New Roman" w:cs="Arial"/>
                <w:b/>
                <w:bCs/>
                <w:lang w:eastAsia="ru-RU"/>
              </w:rPr>
              <w:t xml:space="preserve"> Structure of laboratory network and methods used, as per January 2021</w:t>
            </w:r>
          </w:p>
          <w:p w14:paraId="7F4BA289" w14:textId="77777777" w:rsidR="00681D1C" w:rsidRPr="00EB4821" w:rsidRDefault="00681D1C" w:rsidP="00681D1C">
            <w:pPr>
              <w:spacing w:after="0" w:line="240" w:lineRule="auto"/>
              <w:jc w:val="both"/>
              <w:textAlignment w:val="baseline"/>
              <w:rPr>
                <w:rFonts w:asciiTheme="minorHAnsi" w:eastAsia="Times New Roman" w:hAnsiTheme="minorHAnsi" w:cstheme="minorHAnsi"/>
                <w:bCs/>
                <w:color w:val="7030A0"/>
                <w:lang w:eastAsia="ru-RU"/>
              </w:rPr>
            </w:pPr>
          </w:p>
          <w:tbl>
            <w:tblPr>
              <w:tblW w:w="1048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52"/>
              <w:gridCol w:w="937"/>
              <w:gridCol w:w="586"/>
              <w:gridCol w:w="764"/>
              <w:gridCol w:w="630"/>
              <w:gridCol w:w="720"/>
              <w:gridCol w:w="630"/>
              <w:gridCol w:w="720"/>
              <w:gridCol w:w="720"/>
              <w:gridCol w:w="720"/>
              <w:gridCol w:w="990"/>
              <w:gridCol w:w="1513"/>
            </w:tblGrid>
            <w:tr w:rsidR="00681D1C" w:rsidRPr="00681D1C" w14:paraId="50BA3E49" w14:textId="77777777" w:rsidTr="00681D1C">
              <w:tc>
                <w:tcPr>
                  <w:tcW w:w="155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3A7705C" w14:textId="77777777"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r w:rsidRPr="00681D1C">
                    <w:rPr>
                      <w:rFonts w:asciiTheme="majorHAnsi" w:eastAsia="Times New Roman" w:hAnsiTheme="majorHAnsi" w:cstheme="majorHAnsi"/>
                      <w:b/>
                      <w:bCs/>
                      <w:sz w:val="16"/>
                      <w:szCs w:val="16"/>
                      <w:lang w:eastAsia="ru-RU"/>
                    </w:rPr>
                    <w:t>Region / sector</w:t>
                  </w:r>
                </w:p>
              </w:tc>
              <w:tc>
                <w:tcPr>
                  <w:tcW w:w="937"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98E4660" w14:textId="7D4A716A"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eastAsia="ru-RU"/>
                    </w:rPr>
                  </w:pPr>
                  <w:r w:rsidRPr="00681D1C">
                    <w:rPr>
                      <w:rFonts w:asciiTheme="majorHAnsi" w:eastAsia="Times New Roman" w:hAnsiTheme="majorHAnsi" w:cstheme="majorHAnsi"/>
                      <w:b/>
                      <w:bCs/>
                      <w:sz w:val="16"/>
                      <w:szCs w:val="16"/>
                      <w:lang w:eastAsia="ru-RU"/>
                    </w:rPr>
                    <w:t>Number of TB diagnostic</w:t>
                  </w:r>
                  <w:r>
                    <w:rPr>
                      <w:rFonts w:asciiTheme="majorHAnsi" w:eastAsia="Times New Roman" w:hAnsiTheme="majorHAnsi" w:cstheme="majorHAnsi"/>
                      <w:b/>
                      <w:bCs/>
                      <w:sz w:val="16"/>
                      <w:szCs w:val="16"/>
                      <w:lang w:eastAsia="ru-RU"/>
                    </w:rPr>
                    <w:t xml:space="preserve"> </w:t>
                  </w:r>
                  <w:r w:rsidRPr="00681D1C">
                    <w:rPr>
                      <w:rFonts w:asciiTheme="majorHAnsi" w:eastAsia="Times New Roman" w:hAnsiTheme="majorHAnsi" w:cstheme="majorHAnsi"/>
                      <w:b/>
                      <w:bCs/>
                      <w:sz w:val="16"/>
                      <w:szCs w:val="16"/>
                      <w:lang w:eastAsia="ru-RU"/>
                    </w:rPr>
                    <w:t>facilities</w:t>
                  </w:r>
                </w:p>
              </w:tc>
              <w:tc>
                <w:tcPr>
                  <w:tcW w:w="7993" w:type="dxa"/>
                  <w:gridSpan w:val="10"/>
                  <w:tcBorders>
                    <w:top w:val="single" w:sz="6" w:space="0" w:color="auto"/>
                    <w:left w:val="single" w:sz="6" w:space="0" w:color="auto"/>
                    <w:bottom w:val="single" w:sz="6" w:space="0" w:color="auto"/>
                    <w:right w:val="single" w:sz="6" w:space="0" w:color="auto"/>
                  </w:tcBorders>
                  <w:shd w:val="clear" w:color="auto" w:fill="auto"/>
                  <w:vAlign w:val="center"/>
                  <w:hideMark/>
                </w:tcPr>
                <w:p w14:paraId="022E9943" w14:textId="77777777"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r w:rsidRPr="00681D1C">
                    <w:rPr>
                      <w:rFonts w:asciiTheme="majorHAnsi" w:eastAsia="Times New Roman" w:hAnsiTheme="majorHAnsi" w:cstheme="majorHAnsi"/>
                      <w:b/>
                      <w:bCs/>
                      <w:sz w:val="16"/>
                      <w:szCs w:val="16"/>
                      <w:lang w:eastAsia="ru-RU"/>
                    </w:rPr>
                    <w:t>Number of facilities performing</w:t>
                  </w:r>
                </w:p>
              </w:tc>
            </w:tr>
            <w:tr w:rsidR="00681D1C" w:rsidRPr="00681D1C" w14:paraId="0AEE78E5" w14:textId="77777777" w:rsidTr="00681D1C">
              <w:tc>
                <w:tcPr>
                  <w:tcW w:w="15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3F4510A" w14:textId="77777777" w:rsidR="00681D1C" w:rsidRPr="00681D1C" w:rsidRDefault="00681D1C" w:rsidP="00552AD6">
                  <w:pPr>
                    <w:spacing w:after="0" w:line="240" w:lineRule="auto"/>
                    <w:jc w:val="center"/>
                    <w:rPr>
                      <w:rFonts w:asciiTheme="majorHAnsi" w:eastAsia="Times New Roman" w:hAnsiTheme="majorHAnsi" w:cstheme="majorHAnsi"/>
                      <w:b/>
                      <w:sz w:val="16"/>
                      <w:szCs w:val="16"/>
                      <w:lang w:val="ru-RU" w:eastAsia="ru-RU"/>
                    </w:rPr>
                  </w:pPr>
                </w:p>
              </w:tc>
              <w:tc>
                <w:tcPr>
                  <w:tcW w:w="93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ED5A0EF" w14:textId="77777777" w:rsidR="00681D1C" w:rsidRPr="00681D1C" w:rsidRDefault="00681D1C" w:rsidP="00552AD6">
                  <w:pPr>
                    <w:spacing w:after="0" w:line="240" w:lineRule="auto"/>
                    <w:jc w:val="center"/>
                    <w:rPr>
                      <w:rFonts w:asciiTheme="majorHAnsi" w:eastAsia="Times New Roman" w:hAnsiTheme="majorHAnsi" w:cstheme="majorHAnsi"/>
                      <w:b/>
                      <w:sz w:val="16"/>
                      <w:szCs w:val="16"/>
                      <w:lang w:val="ru-RU" w:eastAsia="ru-RU"/>
                    </w:rPr>
                  </w:pPr>
                </w:p>
              </w:tc>
              <w:tc>
                <w:tcPr>
                  <w:tcW w:w="586" w:type="dxa"/>
                  <w:vMerge w:val="restart"/>
                  <w:tcBorders>
                    <w:top w:val="single" w:sz="6" w:space="0" w:color="auto"/>
                    <w:left w:val="nil"/>
                    <w:bottom w:val="single" w:sz="6" w:space="0" w:color="auto"/>
                    <w:right w:val="single" w:sz="6" w:space="0" w:color="auto"/>
                  </w:tcBorders>
                  <w:shd w:val="clear" w:color="auto" w:fill="auto"/>
                  <w:vAlign w:val="center"/>
                  <w:hideMark/>
                </w:tcPr>
                <w:p w14:paraId="048BC26D" w14:textId="77777777"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eastAsia="ru-RU"/>
                    </w:rPr>
                  </w:pPr>
                  <w:r w:rsidRPr="00681D1C">
                    <w:rPr>
                      <w:rFonts w:asciiTheme="majorHAnsi" w:eastAsia="Times New Roman" w:hAnsiTheme="majorHAnsi" w:cstheme="majorHAnsi"/>
                      <w:b/>
                      <w:sz w:val="16"/>
                      <w:szCs w:val="16"/>
                      <w:lang w:eastAsia="ru-RU"/>
                    </w:rPr>
                    <w:t>Smear microscopy</w:t>
                  </w:r>
                </w:p>
              </w:tc>
              <w:tc>
                <w:tcPr>
                  <w:tcW w:w="764" w:type="dxa"/>
                  <w:vMerge w:val="restart"/>
                  <w:tcBorders>
                    <w:top w:val="nil"/>
                    <w:left w:val="single" w:sz="6" w:space="0" w:color="auto"/>
                    <w:bottom w:val="single" w:sz="6" w:space="0" w:color="auto"/>
                    <w:right w:val="single" w:sz="6" w:space="0" w:color="auto"/>
                  </w:tcBorders>
                  <w:shd w:val="clear" w:color="auto" w:fill="auto"/>
                  <w:vAlign w:val="center"/>
                  <w:hideMark/>
                </w:tcPr>
                <w:p w14:paraId="00AE7BA9" w14:textId="77777777"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val="ru-RU" w:eastAsia="ru-RU"/>
                    </w:rPr>
                  </w:pPr>
                  <w:r w:rsidRPr="00681D1C">
                    <w:rPr>
                      <w:rFonts w:asciiTheme="majorHAnsi" w:eastAsia="Times New Roman" w:hAnsiTheme="majorHAnsi" w:cstheme="majorHAnsi"/>
                      <w:b/>
                      <w:sz w:val="16"/>
                      <w:szCs w:val="16"/>
                      <w:lang w:eastAsia="ru-RU"/>
                    </w:rPr>
                    <w:t>Xpert MTB/RIF</w:t>
                  </w:r>
                </w:p>
              </w:tc>
              <w:tc>
                <w:tcPr>
                  <w:tcW w:w="1980" w:type="dxa"/>
                  <w:gridSpan w:val="3"/>
                  <w:tcBorders>
                    <w:top w:val="nil"/>
                    <w:left w:val="single" w:sz="6" w:space="0" w:color="auto"/>
                    <w:bottom w:val="single" w:sz="6" w:space="0" w:color="auto"/>
                    <w:right w:val="single" w:sz="6" w:space="0" w:color="auto"/>
                  </w:tcBorders>
                  <w:shd w:val="clear" w:color="auto" w:fill="auto"/>
                  <w:vAlign w:val="center"/>
                  <w:hideMark/>
                </w:tcPr>
                <w:p w14:paraId="40CAAE61" w14:textId="77777777"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eastAsia="ru-RU"/>
                    </w:rPr>
                  </w:pPr>
                  <w:r w:rsidRPr="00681D1C">
                    <w:rPr>
                      <w:rFonts w:asciiTheme="majorHAnsi" w:eastAsia="Times New Roman" w:hAnsiTheme="majorHAnsi" w:cstheme="majorHAnsi"/>
                      <w:b/>
                      <w:bCs/>
                      <w:iCs/>
                      <w:sz w:val="16"/>
                      <w:szCs w:val="16"/>
                      <w:lang w:eastAsia="ru-RU"/>
                    </w:rPr>
                    <w:t>Solid culture (</w:t>
                  </w:r>
                  <w:proofErr w:type="gramStart"/>
                  <w:r w:rsidRPr="00681D1C">
                    <w:rPr>
                      <w:rFonts w:asciiTheme="majorHAnsi" w:eastAsia="Times New Roman" w:hAnsiTheme="majorHAnsi" w:cstheme="majorHAnsi"/>
                      <w:b/>
                      <w:bCs/>
                      <w:iCs/>
                      <w:sz w:val="16"/>
                      <w:szCs w:val="16"/>
                      <w:lang w:eastAsia="ru-RU"/>
                    </w:rPr>
                    <w:t>e.g.</w:t>
                  </w:r>
                  <w:proofErr w:type="gramEnd"/>
                  <w:r w:rsidRPr="00681D1C">
                    <w:rPr>
                      <w:rFonts w:asciiTheme="majorHAnsi" w:eastAsia="Times New Roman" w:hAnsiTheme="majorHAnsi" w:cstheme="majorHAnsi"/>
                      <w:b/>
                      <w:bCs/>
                      <w:iCs/>
                      <w:sz w:val="16"/>
                      <w:szCs w:val="16"/>
                      <w:lang w:eastAsia="ru-RU"/>
                    </w:rPr>
                    <w:t> LJ)</w:t>
                  </w:r>
                </w:p>
              </w:tc>
              <w:tc>
                <w:tcPr>
                  <w:tcW w:w="2160" w:type="dxa"/>
                  <w:gridSpan w:val="3"/>
                  <w:tcBorders>
                    <w:top w:val="nil"/>
                    <w:left w:val="nil"/>
                    <w:bottom w:val="single" w:sz="6" w:space="0" w:color="auto"/>
                    <w:right w:val="single" w:sz="6" w:space="0" w:color="auto"/>
                  </w:tcBorders>
                  <w:shd w:val="clear" w:color="auto" w:fill="auto"/>
                  <w:vAlign w:val="center"/>
                  <w:hideMark/>
                </w:tcPr>
                <w:p w14:paraId="3A908A9E" w14:textId="77777777"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eastAsia="ru-RU"/>
                    </w:rPr>
                  </w:pPr>
                  <w:r w:rsidRPr="00681D1C">
                    <w:rPr>
                      <w:rFonts w:asciiTheme="majorHAnsi" w:eastAsia="Times New Roman" w:hAnsiTheme="majorHAnsi" w:cstheme="majorHAnsi"/>
                      <w:b/>
                      <w:bCs/>
                      <w:iCs/>
                      <w:sz w:val="16"/>
                      <w:szCs w:val="16"/>
                      <w:lang w:eastAsia="ru-RU"/>
                    </w:rPr>
                    <w:t>Liquid culture (MGIT)</w:t>
                  </w:r>
                </w:p>
              </w:tc>
              <w:tc>
                <w:tcPr>
                  <w:tcW w:w="2503" w:type="dxa"/>
                  <w:gridSpan w:val="2"/>
                  <w:tcBorders>
                    <w:top w:val="nil"/>
                    <w:left w:val="nil"/>
                    <w:bottom w:val="single" w:sz="6" w:space="0" w:color="auto"/>
                    <w:right w:val="single" w:sz="6" w:space="0" w:color="auto"/>
                  </w:tcBorders>
                  <w:shd w:val="clear" w:color="auto" w:fill="auto"/>
                  <w:vAlign w:val="center"/>
                  <w:hideMark/>
                </w:tcPr>
                <w:p w14:paraId="5622AA5C" w14:textId="77777777"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eastAsia="ru-RU"/>
                    </w:rPr>
                  </w:pPr>
                  <w:r w:rsidRPr="00681D1C">
                    <w:rPr>
                      <w:rFonts w:asciiTheme="majorHAnsi" w:eastAsia="Times New Roman" w:hAnsiTheme="majorHAnsi" w:cstheme="majorHAnsi"/>
                      <w:b/>
                      <w:bCs/>
                      <w:iCs/>
                      <w:sz w:val="16"/>
                      <w:szCs w:val="16"/>
                      <w:lang w:eastAsia="ru-RU"/>
                    </w:rPr>
                    <w:t>LineProbeAssays (LPA)</w:t>
                  </w:r>
                </w:p>
              </w:tc>
            </w:tr>
            <w:tr w:rsidR="00681D1C" w:rsidRPr="00681D1C" w14:paraId="7582E9B5" w14:textId="77777777" w:rsidTr="00681D1C">
              <w:tc>
                <w:tcPr>
                  <w:tcW w:w="15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9A0AB20" w14:textId="77777777" w:rsidR="00681D1C" w:rsidRPr="00681D1C" w:rsidRDefault="00681D1C" w:rsidP="00552AD6">
                  <w:pPr>
                    <w:spacing w:after="0" w:line="240" w:lineRule="auto"/>
                    <w:jc w:val="center"/>
                    <w:rPr>
                      <w:rFonts w:asciiTheme="majorHAnsi" w:eastAsia="Times New Roman" w:hAnsiTheme="majorHAnsi" w:cstheme="majorHAnsi"/>
                      <w:b/>
                      <w:sz w:val="16"/>
                      <w:szCs w:val="16"/>
                      <w:lang w:eastAsia="ru-RU"/>
                    </w:rPr>
                  </w:pPr>
                </w:p>
              </w:tc>
              <w:tc>
                <w:tcPr>
                  <w:tcW w:w="93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3D1E4D6" w14:textId="77777777" w:rsidR="00681D1C" w:rsidRPr="00681D1C" w:rsidRDefault="00681D1C" w:rsidP="00552AD6">
                  <w:pPr>
                    <w:spacing w:after="0" w:line="240" w:lineRule="auto"/>
                    <w:jc w:val="center"/>
                    <w:rPr>
                      <w:rFonts w:asciiTheme="majorHAnsi" w:eastAsia="Times New Roman" w:hAnsiTheme="majorHAnsi" w:cstheme="majorHAnsi"/>
                      <w:b/>
                      <w:sz w:val="16"/>
                      <w:szCs w:val="16"/>
                      <w:lang w:eastAsia="ru-RU"/>
                    </w:rPr>
                  </w:pPr>
                </w:p>
              </w:tc>
              <w:tc>
                <w:tcPr>
                  <w:tcW w:w="586" w:type="dxa"/>
                  <w:vMerge/>
                  <w:tcBorders>
                    <w:top w:val="single" w:sz="6" w:space="0" w:color="auto"/>
                    <w:left w:val="nil"/>
                    <w:bottom w:val="single" w:sz="6" w:space="0" w:color="auto"/>
                    <w:right w:val="single" w:sz="6" w:space="0" w:color="auto"/>
                  </w:tcBorders>
                  <w:shd w:val="clear" w:color="auto" w:fill="auto"/>
                  <w:vAlign w:val="center"/>
                  <w:hideMark/>
                </w:tcPr>
                <w:p w14:paraId="4644A31C" w14:textId="77777777" w:rsidR="00681D1C" w:rsidRPr="00681D1C" w:rsidRDefault="00681D1C" w:rsidP="00552AD6">
                  <w:pPr>
                    <w:spacing w:after="0" w:line="240" w:lineRule="auto"/>
                    <w:jc w:val="center"/>
                    <w:rPr>
                      <w:rFonts w:asciiTheme="majorHAnsi" w:eastAsia="Times New Roman" w:hAnsiTheme="majorHAnsi" w:cstheme="majorHAnsi"/>
                      <w:b/>
                      <w:sz w:val="16"/>
                      <w:szCs w:val="16"/>
                      <w:lang w:eastAsia="ru-RU"/>
                    </w:rPr>
                  </w:pPr>
                </w:p>
              </w:tc>
              <w:tc>
                <w:tcPr>
                  <w:tcW w:w="764" w:type="dxa"/>
                  <w:vMerge/>
                  <w:tcBorders>
                    <w:top w:val="nil"/>
                    <w:left w:val="single" w:sz="6" w:space="0" w:color="auto"/>
                    <w:bottom w:val="single" w:sz="6" w:space="0" w:color="auto"/>
                    <w:right w:val="single" w:sz="6" w:space="0" w:color="auto"/>
                  </w:tcBorders>
                  <w:shd w:val="clear" w:color="auto" w:fill="auto"/>
                  <w:vAlign w:val="center"/>
                  <w:hideMark/>
                </w:tcPr>
                <w:p w14:paraId="523239F2" w14:textId="77777777" w:rsidR="00681D1C" w:rsidRPr="00681D1C" w:rsidRDefault="00681D1C" w:rsidP="00552AD6">
                  <w:pPr>
                    <w:spacing w:after="0" w:line="240" w:lineRule="auto"/>
                    <w:jc w:val="center"/>
                    <w:rPr>
                      <w:rFonts w:asciiTheme="majorHAnsi" w:eastAsia="Times New Roman" w:hAnsiTheme="majorHAnsi" w:cstheme="majorHAnsi"/>
                      <w:b/>
                      <w:sz w:val="16"/>
                      <w:szCs w:val="16"/>
                      <w:lang w:eastAsia="ru-RU"/>
                    </w:rPr>
                  </w:pPr>
                </w:p>
              </w:tc>
              <w:tc>
                <w:tcPr>
                  <w:tcW w:w="630" w:type="dxa"/>
                  <w:tcBorders>
                    <w:top w:val="single" w:sz="6" w:space="0" w:color="auto"/>
                    <w:left w:val="nil"/>
                    <w:bottom w:val="single" w:sz="6" w:space="0" w:color="auto"/>
                    <w:right w:val="single" w:sz="6" w:space="0" w:color="auto"/>
                  </w:tcBorders>
                  <w:shd w:val="clear" w:color="auto" w:fill="auto"/>
                  <w:vAlign w:val="center"/>
                  <w:hideMark/>
                </w:tcPr>
                <w:p w14:paraId="6BE5CB68" w14:textId="77777777"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eastAsia="ru-RU"/>
                    </w:rPr>
                  </w:pPr>
                  <w:r w:rsidRPr="00681D1C">
                    <w:rPr>
                      <w:rFonts w:asciiTheme="majorHAnsi" w:eastAsia="Times New Roman" w:hAnsiTheme="majorHAnsi" w:cstheme="majorHAnsi"/>
                      <w:b/>
                      <w:sz w:val="16"/>
                      <w:szCs w:val="16"/>
                      <w:lang w:eastAsia="ru-RU"/>
                    </w:rPr>
                    <w:t>Culture</w:t>
                  </w:r>
                </w:p>
              </w:tc>
              <w:tc>
                <w:tcPr>
                  <w:tcW w:w="720" w:type="dxa"/>
                  <w:tcBorders>
                    <w:top w:val="nil"/>
                    <w:left w:val="single" w:sz="6" w:space="0" w:color="auto"/>
                    <w:bottom w:val="single" w:sz="6" w:space="0" w:color="auto"/>
                    <w:right w:val="single" w:sz="6" w:space="0" w:color="auto"/>
                  </w:tcBorders>
                  <w:shd w:val="clear" w:color="auto" w:fill="auto"/>
                  <w:vAlign w:val="center"/>
                  <w:hideMark/>
                </w:tcPr>
                <w:p w14:paraId="69B95475" w14:textId="77777777"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eastAsia="ru-RU"/>
                    </w:rPr>
                  </w:pPr>
                  <w:r w:rsidRPr="00681D1C">
                    <w:rPr>
                      <w:rFonts w:asciiTheme="majorHAnsi" w:eastAsia="Times New Roman" w:hAnsiTheme="majorHAnsi" w:cstheme="majorHAnsi"/>
                      <w:b/>
                      <w:sz w:val="16"/>
                      <w:szCs w:val="16"/>
                      <w:lang w:eastAsia="ru-RU"/>
                    </w:rPr>
                    <w:t>DST to FLDs</w:t>
                  </w:r>
                </w:p>
              </w:tc>
              <w:tc>
                <w:tcPr>
                  <w:tcW w:w="630" w:type="dxa"/>
                  <w:tcBorders>
                    <w:top w:val="nil"/>
                    <w:left w:val="single" w:sz="6" w:space="0" w:color="auto"/>
                    <w:bottom w:val="single" w:sz="6" w:space="0" w:color="auto"/>
                    <w:right w:val="single" w:sz="6" w:space="0" w:color="auto"/>
                  </w:tcBorders>
                  <w:shd w:val="clear" w:color="auto" w:fill="auto"/>
                  <w:vAlign w:val="center"/>
                  <w:hideMark/>
                </w:tcPr>
                <w:p w14:paraId="05E9FA21" w14:textId="77777777"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eastAsia="ru-RU"/>
                    </w:rPr>
                  </w:pPr>
                  <w:r w:rsidRPr="00681D1C">
                    <w:rPr>
                      <w:rFonts w:asciiTheme="majorHAnsi" w:eastAsia="Times New Roman" w:hAnsiTheme="majorHAnsi" w:cstheme="majorHAnsi"/>
                      <w:b/>
                      <w:sz w:val="16"/>
                      <w:szCs w:val="16"/>
                      <w:lang w:eastAsia="ru-RU"/>
                    </w:rPr>
                    <w:t>DST to SLDs</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2D6D7F" w14:textId="77777777"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eastAsia="ru-RU"/>
                    </w:rPr>
                  </w:pPr>
                  <w:r w:rsidRPr="00681D1C">
                    <w:rPr>
                      <w:rFonts w:asciiTheme="majorHAnsi" w:eastAsia="Times New Roman" w:hAnsiTheme="majorHAnsi" w:cstheme="majorHAnsi"/>
                      <w:b/>
                      <w:sz w:val="16"/>
                      <w:szCs w:val="16"/>
                      <w:lang w:eastAsia="ru-RU"/>
                    </w:rPr>
                    <w:t>Culture</w:t>
                  </w:r>
                </w:p>
              </w:tc>
              <w:tc>
                <w:tcPr>
                  <w:tcW w:w="720" w:type="dxa"/>
                  <w:tcBorders>
                    <w:top w:val="nil"/>
                    <w:left w:val="single" w:sz="6" w:space="0" w:color="auto"/>
                    <w:bottom w:val="single" w:sz="6" w:space="0" w:color="auto"/>
                    <w:right w:val="single" w:sz="6" w:space="0" w:color="auto"/>
                  </w:tcBorders>
                  <w:shd w:val="clear" w:color="auto" w:fill="auto"/>
                  <w:vAlign w:val="center"/>
                  <w:hideMark/>
                </w:tcPr>
                <w:p w14:paraId="75CE931A" w14:textId="77777777"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eastAsia="ru-RU"/>
                    </w:rPr>
                  </w:pPr>
                  <w:r w:rsidRPr="00681D1C">
                    <w:rPr>
                      <w:rFonts w:asciiTheme="majorHAnsi" w:eastAsia="Times New Roman" w:hAnsiTheme="majorHAnsi" w:cstheme="majorHAnsi"/>
                      <w:b/>
                      <w:sz w:val="16"/>
                      <w:szCs w:val="16"/>
                      <w:lang w:eastAsia="ru-RU"/>
                    </w:rPr>
                    <w:t>DST to SLDs</w:t>
                  </w:r>
                </w:p>
              </w:tc>
              <w:tc>
                <w:tcPr>
                  <w:tcW w:w="720" w:type="dxa"/>
                  <w:tcBorders>
                    <w:top w:val="nil"/>
                    <w:left w:val="single" w:sz="6" w:space="0" w:color="auto"/>
                    <w:bottom w:val="single" w:sz="6" w:space="0" w:color="auto"/>
                    <w:right w:val="single" w:sz="6" w:space="0" w:color="auto"/>
                  </w:tcBorders>
                  <w:shd w:val="clear" w:color="auto" w:fill="auto"/>
                  <w:vAlign w:val="center"/>
                  <w:hideMark/>
                </w:tcPr>
                <w:p w14:paraId="10EE30ED" w14:textId="77777777"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eastAsia="ru-RU"/>
                    </w:rPr>
                  </w:pPr>
                  <w:r w:rsidRPr="00681D1C">
                    <w:rPr>
                      <w:rFonts w:asciiTheme="majorHAnsi" w:eastAsia="Times New Roman" w:hAnsiTheme="majorHAnsi" w:cstheme="majorHAnsi"/>
                      <w:b/>
                      <w:sz w:val="16"/>
                      <w:szCs w:val="16"/>
                      <w:lang w:eastAsia="ru-RU"/>
                    </w:rPr>
                    <w:t>DST to FLDs</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D7BDE8" w14:textId="77777777"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eastAsia="ru-RU"/>
                    </w:rPr>
                  </w:pPr>
                  <w:r w:rsidRPr="00681D1C">
                    <w:rPr>
                      <w:rFonts w:asciiTheme="majorHAnsi" w:eastAsia="Times New Roman" w:hAnsiTheme="majorHAnsi" w:cstheme="majorHAnsi"/>
                      <w:b/>
                      <w:sz w:val="16"/>
                      <w:szCs w:val="16"/>
                      <w:lang w:eastAsia="ru-RU"/>
                    </w:rPr>
                    <w:t>GenoType MTBDR-Plus</w:t>
                  </w:r>
                </w:p>
              </w:tc>
              <w:tc>
                <w:tcPr>
                  <w:tcW w:w="1513" w:type="dxa"/>
                  <w:tcBorders>
                    <w:top w:val="nil"/>
                    <w:left w:val="single" w:sz="6" w:space="0" w:color="auto"/>
                    <w:bottom w:val="single" w:sz="6" w:space="0" w:color="auto"/>
                    <w:right w:val="single" w:sz="6" w:space="0" w:color="auto"/>
                  </w:tcBorders>
                  <w:shd w:val="clear" w:color="auto" w:fill="auto"/>
                  <w:vAlign w:val="center"/>
                  <w:hideMark/>
                </w:tcPr>
                <w:p w14:paraId="1B9D1D8A" w14:textId="77777777" w:rsidR="00681D1C" w:rsidRPr="00681D1C" w:rsidRDefault="00681D1C" w:rsidP="00552AD6">
                  <w:pPr>
                    <w:spacing w:after="0" w:line="240" w:lineRule="auto"/>
                    <w:jc w:val="center"/>
                    <w:textAlignment w:val="baseline"/>
                    <w:rPr>
                      <w:rFonts w:asciiTheme="majorHAnsi" w:eastAsia="Times New Roman" w:hAnsiTheme="majorHAnsi" w:cstheme="majorHAnsi"/>
                      <w:b/>
                      <w:sz w:val="16"/>
                      <w:szCs w:val="16"/>
                      <w:lang w:eastAsia="ru-RU"/>
                    </w:rPr>
                  </w:pPr>
                  <w:r w:rsidRPr="00681D1C">
                    <w:rPr>
                      <w:rFonts w:asciiTheme="majorHAnsi" w:eastAsia="Times New Roman" w:hAnsiTheme="majorHAnsi" w:cstheme="majorHAnsi"/>
                      <w:b/>
                      <w:sz w:val="16"/>
                      <w:szCs w:val="16"/>
                      <w:lang w:eastAsia="ru-RU"/>
                    </w:rPr>
                    <w:t>GenoType MTBDR-sl</w:t>
                  </w:r>
                </w:p>
              </w:tc>
            </w:tr>
            <w:tr w:rsidR="00681D1C" w:rsidRPr="00681D1C" w14:paraId="726E58C9" w14:textId="77777777" w:rsidTr="00681D1C">
              <w:tc>
                <w:tcPr>
                  <w:tcW w:w="1552" w:type="dxa"/>
                  <w:tcBorders>
                    <w:top w:val="single" w:sz="6" w:space="0" w:color="auto"/>
                    <w:left w:val="single" w:sz="6" w:space="0" w:color="auto"/>
                    <w:bottom w:val="single" w:sz="6" w:space="0" w:color="auto"/>
                    <w:right w:val="single" w:sz="6" w:space="0" w:color="auto"/>
                  </w:tcBorders>
                  <w:shd w:val="clear" w:color="auto" w:fill="auto"/>
                  <w:hideMark/>
                </w:tcPr>
                <w:p w14:paraId="3A4CB5E5" w14:textId="77777777" w:rsidR="00681D1C" w:rsidRPr="00681D1C" w:rsidRDefault="00681D1C" w:rsidP="00552AD6">
                  <w:pPr>
                    <w:spacing w:after="0" w:line="240" w:lineRule="auto"/>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Civilian sector</w:t>
                  </w:r>
                </w:p>
              </w:tc>
              <w:tc>
                <w:tcPr>
                  <w:tcW w:w="9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EAF6D2"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19</w:t>
                  </w:r>
                </w:p>
              </w:tc>
              <w:tc>
                <w:tcPr>
                  <w:tcW w:w="5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0BADF4"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244</w:t>
                  </w:r>
                </w:p>
              </w:tc>
              <w:tc>
                <w:tcPr>
                  <w:tcW w:w="7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1D576A"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118</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AF3507"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19</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923E3B"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6A64D5"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AFB8D"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19</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80FE3A"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19</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A5E524"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19</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546979"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16</w:t>
                  </w:r>
                </w:p>
              </w:tc>
              <w:tc>
                <w:tcPr>
                  <w:tcW w:w="15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5F272B"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16</w:t>
                  </w:r>
                </w:p>
              </w:tc>
            </w:tr>
            <w:tr w:rsidR="00681D1C" w:rsidRPr="00681D1C" w14:paraId="2EAD7645" w14:textId="77777777" w:rsidTr="00681D1C">
              <w:tc>
                <w:tcPr>
                  <w:tcW w:w="1552" w:type="dxa"/>
                  <w:tcBorders>
                    <w:top w:val="single" w:sz="6" w:space="0" w:color="auto"/>
                    <w:left w:val="single" w:sz="6" w:space="0" w:color="auto"/>
                    <w:bottom w:val="single" w:sz="6" w:space="0" w:color="auto"/>
                    <w:right w:val="single" w:sz="6" w:space="0" w:color="auto"/>
                  </w:tcBorders>
                  <w:shd w:val="clear" w:color="auto" w:fill="auto"/>
                  <w:hideMark/>
                </w:tcPr>
                <w:p w14:paraId="0E5111C1" w14:textId="77777777" w:rsidR="00681D1C" w:rsidRPr="00681D1C" w:rsidRDefault="00681D1C" w:rsidP="00552AD6">
                  <w:pPr>
                    <w:spacing w:after="0" w:line="240" w:lineRule="auto"/>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Penitentiary sector</w:t>
                  </w:r>
                </w:p>
              </w:tc>
              <w:tc>
                <w:tcPr>
                  <w:tcW w:w="9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22E0F8"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1</w:t>
                  </w:r>
                </w:p>
              </w:tc>
              <w:tc>
                <w:tcPr>
                  <w:tcW w:w="5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1D6B59"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1</w:t>
                  </w:r>
                </w:p>
              </w:tc>
              <w:tc>
                <w:tcPr>
                  <w:tcW w:w="7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AC2CB2"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1</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3B69C6"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1</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55CB36"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61C13D"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3F2D35"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1</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B6213E"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1</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26434E"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1</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F0E3DF"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1</w:t>
                  </w:r>
                </w:p>
              </w:tc>
              <w:tc>
                <w:tcPr>
                  <w:tcW w:w="15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62C85C"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Cs/>
                      <w:sz w:val="18"/>
                      <w:szCs w:val="18"/>
                      <w:lang w:eastAsia="ru-RU"/>
                    </w:rPr>
                    <w:t>1</w:t>
                  </w:r>
                </w:p>
              </w:tc>
            </w:tr>
            <w:tr w:rsidR="00681D1C" w:rsidRPr="00681D1C" w14:paraId="271B6076" w14:textId="77777777" w:rsidTr="00681D1C">
              <w:tc>
                <w:tcPr>
                  <w:tcW w:w="1552" w:type="dxa"/>
                  <w:tcBorders>
                    <w:top w:val="single" w:sz="6" w:space="0" w:color="auto"/>
                    <w:left w:val="single" w:sz="6" w:space="0" w:color="auto"/>
                    <w:bottom w:val="single" w:sz="6" w:space="0" w:color="auto"/>
                    <w:right w:val="single" w:sz="6" w:space="0" w:color="auto"/>
                  </w:tcBorders>
                  <w:shd w:val="clear" w:color="auto" w:fill="auto"/>
                  <w:hideMark/>
                </w:tcPr>
                <w:p w14:paraId="4F9F10DA" w14:textId="755596A4" w:rsidR="00681D1C" w:rsidRPr="00681D1C" w:rsidRDefault="00681D1C" w:rsidP="00552AD6">
                  <w:pPr>
                    <w:spacing w:after="0" w:line="240" w:lineRule="auto"/>
                    <w:jc w:val="both"/>
                    <w:textAlignment w:val="baseline"/>
                    <w:rPr>
                      <w:rFonts w:asciiTheme="majorHAnsi" w:eastAsia="Times New Roman" w:hAnsiTheme="majorHAnsi" w:cstheme="majorHAnsi"/>
                      <w:sz w:val="18"/>
                      <w:szCs w:val="18"/>
                      <w:lang w:eastAsia="ru-RU"/>
                    </w:rPr>
                  </w:pPr>
                  <w:r>
                    <w:rPr>
                      <w:rFonts w:asciiTheme="majorHAnsi" w:eastAsia="Times New Roman" w:hAnsiTheme="majorHAnsi" w:cstheme="majorHAnsi"/>
                      <w:b/>
                      <w:bCs/>
                      <w:sz w:val="18"/>
                      <w:szCs w:val="18"/>
                      <w:lang w:eastAsia="ru-RU"/>
                    </w:rPr>
                    <w:t>Total</w:t>
                  </w:r>
                </w:p>
              </w:tc>
              <w:tc>
                <w:tcPr>
                  <w:tcW w:w="93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566898"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
                      <w:bCs/>
                      <w:sz w:val="18"/>
                      <w:szCs w:val="18"/>
                      <w:lang w:eastAsia="ru-RU"/>
                    </w:rPr>
                    <w:t>20</w:t>
                  </w:r>
                </w:p>
              </w:tc>
              <w:tc>
                <w:tcPr>
                  <w:tcW w:w="5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F74A31"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
                      <w:bCs/>
                      <w:sz w:val="18"/>
                      <w:szCs w:val="18"/>
                      <w:lang w:eastAsia="ru-RU"/>
                    </w:rPr>
                    <w:t>245</w:t>
                  </w:r>
                </w:p>
              </w:tc>
              <w:tc>
                <w:tcPr>
                  <w:tcW w:w="7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E5EB68"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
                      <w:bCs/>
                      <w:sz w:val="18"/>
                      <w:szCs w:val="18"/>
                      <w:lang w:eastAsia="ru-RU"/>
                    </w:rPr>
                    <w:t>119</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84B1B2"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
                      <w:bCs/>
                      <w:sz w:val="18"/>
                      <w:szCs w:val="18"/>
                      <w:lang w:eastAsia="ru-RU"/>
                    </w:rPr>
                    <w:t>20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A1ED5A"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
                      <w:bCs/>
                      <w:sz w:val="18"/>
                      <w:szCs w:val="18"/>
                      <w:lang w:eastAsia="ru-RU"/>
                    </w:rPr>
                    <w:t>0</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1B80EB"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
                      <w:bCs/>
                      <w:sz w:val="18"/>
                      <w:szCs w:val="18"/>
                      <w:lang w:eastAsia="ru-RU"/>
                    </w:rPr>
                    <w:t>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2D8E70"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
                      <w:bCs/>
                      <w:sz w:val="18"/>
                      <w:szCs w:val="18"/>
                      <w:lang w:eastAsia="ru-RU"/>
                    </w:rPr>
                    <w:t>20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BE3B12"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
                      <w:bCs/>
                      <w:sz w:val="18"/>
                      <w:szCs w:val="18"/>
                      <w:lang w:eastAsia="ru-RU"/>
                    </w:rPr>
                    <w:t>20</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ED2052"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
                      <w:bCs/>
                      <w:sz w:val="18"/>
                      <w:szCs w:val="18"/>
                      <w:lang w:eastAsia="ru-RU"/>
                    </w:rPr>
                    <w:t>20</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FDAA27"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
                      <w:bCs/>
                      <w:sz w:val="18"/>
                      <w:szCs w:val="18"/>
                      <w:lang w:eastAsia="ru-RU"/>
                    </w:rPr>
                    <w:t>17</w:t>
                  </w:r>
                </w:p>
              </w:tc>
              <w:tc>
                <w:tcPr>
                  <w:tcW w:w="151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757522" w14:textId="77777777" w:rsidR="00681D1C" w:rsidRPr="00681D1C" w:rsidRDefault="00681D1C" w:rsidP="00552AD6">
                  <w:pPr>
                    <w:spacing w:after="0" w:line="240" w:lineRule="auto"/>
                    <w:jc w:val="center"/>
                    <w:textAlignment w:val="baseline"/>
                    <w:rPr>
                      <w:rFonts w:asciiTheme="majorHAnsi" w:eastAsia="Times New Roman" w:hAnsiTheme="majorHAnsi" w:cstheme="majorHAnsi"/>
                      <w:sz w:val="18"/>
                      <w:szCs w:val="18"/>
                      <w:lang w:eastAsia="ru-RU"/>
                    </w:rPr>
                  </w:pPr>
                  <w:r w:rsidRPr="00681D1C">
                    <w:rPr>
                      <w:rFonts w:asciiTheme="majorHAnsi" w:eastAsia="Times New Roman" w:hAnsiTheme="majorHAnsi" w:cstheme="majorHAnsi"/>
                      <w:b/>
                      <w:bCs/>
                      <w:sz w:val="18"/>
                      <w:szCs w:val="18"/>
                      <w:lang w:eastAsia="ru-RU"/>
                    </w:rPr>
                    <w:t>17</w:t>
                  </w:r>
                </w:p>
              </w:tc>
            </w:tr>
          </w:tbl>
          <w:p w14:paraId="439AB004" w14:textId="77777777" w:rsidR="00DE07FB" w:rsidRDefault="00DE07FB" w:rsidP="00B96A8B">
            <w:pPr>
              <w:jc w:val="both"/>
              <w:rPr>
                <w:rFonts w:cs="Arial"/>
              </w:rPr>
            </w:pPr>
          </w:p>
          <w:p w14:paraId="50FEBD86" w14:textId="2F134111" w:rsidR="003F7D19" w:rsidRPr="00C017AB" w:rsidRDefault="007E0318" w:rsidP="00C017AB">
            <w:pPr>
              <w:spacing w:before="120" w:after="0" w:line="240" w:lineRule="auto"/>
              <w:rPr>
                <w:rFonts w:cs="Arial"/>
                <w:b/>
              </w:rPr>
            </w:pPr>
            <w:r w:rsidRPr="00C017AB">
              <w:rPr>
                <w:rFonts w:cs="Arial"/>
                <w:b/>
              </w:rPr>
              <w:t>Figure 27</w:t>
            </w:r>
            <w:r w:rsidR="003F7D19" w:rsidRPr="00C017AB">
              <w:rPr>
                <w:rFonts w:cs="Arial"/>
                <w:b/>
              </w:rPr>
              <w:t xml:space="preserve">. Geographic distribution of TB diagnostic equipment’s, by regions of </w:t>
            </w:r>
            <w:r w:rsidR="00C1608E">
              <w:rPr>
                <w:rFonts w:cs="Arial"/>
                <w:b/>
              </w:rPr>
              <w:t>RK</w:t>
            </w:r>
            <w:r w:rsidR="003F7D19" w:rsidRPr="00C017AB">
              <w:rPr>
                <w:rFonts w:cs="Arial"/>
                <w:b/>
              </w:rPr>
              <w:t>, 2021.</w:t>
            </w:r>
          </w:p>
          <w:p w14:paraId="507A3EA8" w14:textId="57E38B25" w:rsidR="003F7D19" w:rsidRDefault="00BD5A1B" w:rsidP="00FF6A95">
            <w:pPr>
              <w:jc w:val="center"/>
              <w:rPr>
                <w:rFonts w:cs="Arial"/>
                <w:i/>
                <w:lang w:val="ru-RU"/>
              </w:rPr>
            </w:pPr>
            <w:r w:rsidRPr="00974FD7">
              <w:rPr>
                <w:rFonts w:cs="Arial"/>
                <w:noProof/>
              </w:rPr>
              <w:drawing>
                <wp:inline distT="0" distB="0" distL="0" distR="0" wp14:anchorId="4F5DFFDA" wp14:editId="6C112B4F">
                  <wp:extent cx="4723129" cy="2570480"/>
                  <wp:effectExtent l="0" t="0" r="1905" b="0"/>
                  <wp:docPr id="258" name="Picture 258" descr="C:\Users\Victor\Desktop\TB lab network K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Desktop\TB lab network KAZ.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29442" cy="2573916"/>
                          </a:xfrm>
                          <a:prstGeom prst="rect">
                            <a:avLst/>
                          </a:prstGeom>
                          <a:noFill/>
                          <a:ln>
                            <a:noFill/>
                          </a:ln>
                        </pic:spPr>
                      </pic:pic>
                    </a:graphicData>
                  </a:graphic>
                </wp:inline>
              </w:drawing>
            </w:r>
          </w:p>
          <w:p w14:paraId="598392E3" w14:textId="77777777" w:rsidR="00FF6A95" w:rsidRPr="00FF6A95" w:rsidRDefault="00FF6A95" w:rsidP="00FF6A95">
            <w:pPr>
              <w:jc w:val="center"/>
              <w:rPr>
                <w:rFonts w:cs="Arial"/>
                <w:i/>
                <w:lang w:val="ru-RU"/>
              </w:rPr>
            </w:pPr>
          </w:p>
          <w:p w14:paraId="7CF51528" w14:textId="17518905" w:rsidR="00BF576B" w:rsidRPr="00334A2B" w:rsidRDefault="003F3046" w:rsidP="00334A2B">
            <w:pPr>
              <w:spacing w:after="0" w:line="240" w:lineRule="auto"/>
              <w:jc w:val="both"/>
              <w:rPr>
                <w:rFonts w:cs="Arial"/>
              </w:rPr>
            </w:pPr>
            <w:r w:rsidRPr="00334A2B">
              <w:rPr>
                <w:rFonts w:cs="Arial"/>
              </w:rPr>
              <w:t xml:space="preserve">The diagnostic algorithm has been repeatedly revised over the past years linked with the introduction and expansion of molecular methods for rapid diagnosis of tuberculosis at the regional and district levels, aligned with the WHO recommendations. This allows the gradual replacement of </w:t>
            </w:r>
            <w:r w:rsidR="00BF576B" w:rsidRPr="00334A2B">
              <w:rPr>
                <w:rFonts w:cs="Arial"/>
              </w:rPr>
              <w:t xml:space="preserve">smear microscopy by GeneXpert </w:t>
            </w:r>
            <w:r w:rsidRPr="00334A2B">
              <w:rPr>
                <w:rFonts w:cs="Arial"/>
              </w:rPr>
              <w:t>assay as initial diagnostic test for TB</w:t>
            </w:r>
            <w:r w:rsidR="00BF576B" w:rsidRPr="00334A2B">
              <w:rPr>
                <w:rFonts w:cs="Arial"/>
              </w:rPr>
              <w:t xml:space="preserve"> </w:t>
            </w:r>
            <w:r w:rsidRPr="00334A2B">
              <w:rPr>
                <w:rFonts w:cs="Arial"/>
              </w:rPr>
              <w:t>suspects</w:t>
            </w:r>
            <w:r w:rsidR="00BF576B" w:rsidRPr="00334A2B">
              <w:rPr>
                <w:rFonts w:cs="Arial"/>
              </w:rPr>
              <w:t>.</w:t>
            </w:r>
          </w:p>
          <w:p w14:paraId="7C7EE615" w14:textId="77777777" w:rsidR="00FF6A95" w:rsidRPr="00334A2B" w:rsidRDefault="00FF6A95" w:rsidP="00334A2B">
            <w:pPr>
              <w:spacing w:after="0" w:line="240" w:lineRule="auto"/>
              <w:jc w:val="both"/>
              <w:rPr>
                <w:rFonts w:cs="Arial"/>
              </w:rPr>
            </w:pPr>
          </w:p>
          <w:p w14:paraId="4F50B599" w14:textId="77777777" w:rsidR="001A18B2" w:rsidRDefault="003715C7" w:rsidP="00334A2B">
            <w:pPr>
              <w:spacing w:after="0" w:line="240" w:lineRule="auto"/>
              <w:jc w:val="both"/>
              <w:rPr>
                <w:rFonts w:cs="Arial"/>
              </w:rPr>
            </w:pPr>
            <w:r w:rsidRPr="00334A2B">
              <w:rPr>
                <w:rFonts w:asciiTheme="minorHAnsi" w:hAnsiTheme="minorHAnsi" w:cstheme="minorHAnsi"/>
              </w:rPr>
              <w:t>The introduction of rapid molecular diagnostics (GeneXpert technology) in Kazakhstan started in 2012 with the support of various donors. By the end of 2017, 56 GeneXpert devices were operating in the country, main</w:t>
            </w:r>
            <w:r w:rsidR="00334A2B">
              <w:rPr>
                <w:rFonts w:asciiTheme="minorHAnsi" w:hAnsiTheme="minorHAnsi" w:cstheme="minorHAnsi"/>
              </w:rPr>
              <w:t>ly at the NSCP and regional TB C</w:t>
            </w:r>
            <w:r w:rsidRPr="00334A2B">
              <w:rPr>
                <w:rFonts w:asciiTheme="minorHAnsi" w:hAnsiTheme="minorHAnsi" w:cstheme="minorHAnsi"/>
              </w:rPr>
              <w:t>enters</w:t>
            </w:r>
            <w:r w:rsidR="00334A2B">
              <w:rPr>
                <w:rFonts w:asciiTheme="minorHAnsi" w:hAnsiTheme="minorHAnsi" w:cstheme="minorHAnsi"/>
              </w:rPr>
              <w:t>’</w:t>
            </w:r>
            <w:r w:rsidRPr="00334A2B">
              <w:rPr>
                <w:rFonts w:asciiTheme="minorHAnsi" w:hAnsiTheme="minorHAnsi" w:cstheme="minorHAnsi"/>
              </w:rPr>
              <w:t xml:space="preserve"> levels and in the penitentiary sector. In 2018, the NTP and the Stop TB Partnership assessed the country's needs for the GeneXpert tool to ensure universal access of individuals with presumptive TB to molecular diagnostic testing as the primary method for diagnosing pulmonary TB. </w:t>
            </w:r>
            <w:r w:rsidR="00BF576B" w:rsidRPr="00334A2B">
              <w:rPr>
                <w:rFonts w:cs="Arial"/>
              </w:rPr>
              <w:t xml:space="preserve">As a result of the assessment, the </w:t>
            </w:r>
            <w:r w:rsidR="00F55491">
              <w:rPr>
                <w:rFonts w:cs="Arial"/>
              </w:rPr>
              <w:t>need in</w:t>
            </w:r>
            <w:r w:rsidR="00BF576B" w:rsidRPr="00334A2B">
              <w:rPr>
                <w:rFonts w:cs="Arial"/>
              </w:rPr>
              <w:t xml:space="preserve"> </w:t>
            </w:r>
            <w:r w:rsidR="00F55491">
              <w:rPr>
                <w:rFonts w:cs="Arial"/>
              </w:rPr>
              <w:t xml:space="preserve">GeneXpert instruments </w:t>
            </w:r>
            <w:r w:rsidR="00BF576B" w:rsidRPr="00334A2B">
              <w:rPr>
                <w:rFonts w:cs="Arial"/>
              </w:rPr>
              <w:t xml:space="preserve">in Kazakhstan was estimated at 166 in total (civilian sector only, excluding the </w:t>
            </w:r>
            <w:r w:rsidR="00F55491">
              <w:rPr>
                <w:rFonts w:cs="Arial"/>
              </w:rPr>
              <w:t>NRL</w:t>
            </w:r>
            <w:r w:rsidR="00BF576B" w:rsidRPr="00334A2B">
              <w:rPr>
                <w:rFonts w:cs="Arial"/>
              </w:rPr>
              <w:t xml:space="preserve"> and AIDS Centers). With the support </w:t>
            </w:r>
            <w:r w:rsidR="00570DD6" w:rsidRPr="00334A2B">
              <w:rPr>
                <w:rFonts w:cs="Arial"/>
              </w:rPr>
              <w:t>the GF and USAID</w:t>
            </w:r>
            <w:r w:rsidR="00BF576B" w:rsidRPr="00334A2B">
              <w:rPr>
                <w:rFonts w:cs="Arial"/>
              </w:rPr>
              <w:t>, additional GeneXpert machines were procured and installed in civil sector' health facilities, improving acc</w:t>
            </w:r>
            <w:r w:rsidR="00570DD6" w:rsidRPr="00334A2B">
              <w:rPr>
                <w:rFonts w:cs="Arial"/>
              </w:rPr>
              <w:t>ess to the service and minimizing</w:t>
            </w:r>
            <w:r w:rsidR="00BF576B" w:rsidRPr="00334A2B">
              <w:rPr>
                <w:rFonts w:cs="Arial"/>
              </w:rPr>
              <w:t xml:space="preserve"> the average distance for sputum s</w:t>
            </w:r>
            <w:r w:rsidR="00570DD6" w:rsidRPr="00334A2B">
              <w:rPr>
                <w:rFonts w:cs="Arial"/>
              </w:rPr>
              <w:t>amples transportation from rayons to o</w:t>
            </w:r>
            <w:r w:rsidR="00BF576B" w:rsidRPr="00334A2B">
              <w:rPr>
                <w:rFonts w:cs="Arial"/>
              </w:rPr>
              <w:t xml:space="preserve">blast/ inter-district GeneXpert laboratories. </w:t>
            </w:r>
            <w:r w:rsidR="001A18B2" w:rsidRPr="001A18B2">
              <w:rPr>
                <w:rFonts w:cs="Arial"/>
              </w:rPr>
              <w:t>The widespread use of Xpert MTB/RIF to detect pulmonary tuberculosis and rifampicin resistance has improved diagnostics and shortened the time between detection and treatment of the MDR-TB.</w:t>
            </w:r>
          </w:p>
          <w:p w14:paraId="2FE72EEA" w14:textId="77777777" w:rsidR="001A18B2" w:rsidRDefault="001A18B2" w:rsidP="00334A2B">
            <w:pPr>
              <w:spacing w:after="0" w:line="240" w:lineRule="auto"/>
              <w:jc w:val="both"/>
              <w:rPr>
                <w:rFonts w:cs="Arial"/>
              </w:rPr>
            </w:pPr>
          </w:p>
          <w:p w14:paraId="320AD414" w14:textId="6653977B" w:rsidR="00BF576B" w:rsidRPr="00334A2B" w:rsidRDefault="00BF576B" w:rsidP="00334A2B">
            <w:pPr>
              <w:spacing w:after="0" w:line="240" w:lineRule="auto"/>
              <w:jc w:val="both"/>
              <w:rPr>
                <w:rFonts w:cs="Arial"/>
              </w:rPr>
            </w:pPr>
            <w:r w:rsidRPr="00334A2B">
              <w:rPr>
                <w:rFonts w:cs="Arial"/>
              </w:rPr>
              <w:t xml:space="preserve">Currently, the </w:t>
            </w:r>
            <w:r w:rsidR="00F20941" w:rsidRPr="00334A2B">
              <w:rPr>
                <w:rFonts w:cs="Arial"/>
              </w:rPr>
              <w:t xml:space="preserve">Xpert </w:t>
            </w:r>
            <w:r w:rsidRPr="00334A2B">
              <w:rPr>
                <w:rFonts w:cs="Arial"/>
              </w:rPr>
              <w:t>laboratory netw</w:t>
            </w:r>
            <w:r w:rsidR="00800FC1">
              <w:rPr>
                <w:rFonts w:cs="Arial"/>
              </w:rPr>
              <w:t>ork includes 119</w:t>
            </w:r>
            <w:r w:rsidR="00BD5A1B">
              <w:rPr>
                <w:rFonts w:cs="Arial"/>
              </w:rPr>
              <w:t xml:space="preserve"> laboratories with 126 GeneXpert instruments (310</w:t>
            </w:r>
            <w:r w:rsidRPr="00334A2B">
              <w:rPr>
                <w:rFonts w:cs="Arial"/>
              </w:rPr>
              <w:t xml:space="preserve"> active module</w:t>
            </w:r>
            <w:r w:rsidR="00BD5A1B">
              <w:rPr>
                <w:rFonts w:cs="Arial"/>
              </w:rPr>
              <w:t>s) (except those at the NRL): 94</w:t>
            </w:r>
            <w:r w:rsidRPr="00334A2B">
              <w:rPr>
                <w:rFonts w:cs="Arial"/>
              </w:rPr>
              <w:t xml:space="preserve"> machines</w:t>
            </w:r>
            <w:r w:rsidR="00BD5A1B">
              <w:rPr>
                <w:rFonts w:cs="Arial"/>
              </w:rPr>
              <w:t xml:space="preserve"> are placed at the PHC level, 28</w:t>
            </w:r>
            <w:r w:rsidRPr="00334A2B">
              <w:rPr>
                <w:rFonts w:cs="Arial"/>
              </w:rPr>
              <w:t xml:space="preserve"> - in the TB facilities, one in the AIDS Prevention Center, and three in the penitentiary system. This has resulted in a steady increase in GeneXpert MTB/RIF tests performed from 14,500 in </w:t>
            </w:r>
            <w:r w:rsidR="00D1429F" w:rsidRPr="00334A2B">
              <w:rPr>
                <w:rFonts w:cs="Arial"/>
              </w:rPr>
              <w:t xml:space="preserve">2013 to 78,723 in 2020. </w:t>
            </w:r>
            <w:r w:rsidR="00B92739" w:rsidRPr="00334A2B">
              <w:rPr>
                <w:rFonts w:cs="Arial"/>
              </w:rPr>
              <w:t>Th</w:t>
            </w:r>
            <w:r w:rsidRPr="00334A2B">
              <w:rPr>
                <w:rFonts w:cs="Arial"/>
              </w:rPr>
              <w:t xml:space="preserve">e total number of GeneXpert MTB/RIF tests grew in 2020. </w:t>
            </w:r>
            <w:proofErr w:type="gramStart"/>
            <w:r w:rsidR="00D1429F" w:rsidRPr="00334A2B">
              <w:rPr>
                <w:rFonts w:cs="Arial"/>
              </w:rPr>
              <w:t>And,</w:t>
            </w:r>
            <w:proofErr w:type="gramEnd"/>
            <w:r w:rsidR="00D1429F" w:rsidRPr="00334A2B">
              <w:rPr>
                <w:rFonts w:cs="Arial"/>
              </w:rPr>
              <w:t xml:space="preserve"> t</w:t>
            </w:r>
            <w:r w:rsidRPr="00334A2B">
              <w:rPr>
                <w:rFonts w:cs="Arial"/>
              </w:rPr>
              <w:t xml:space="preserve">he molecular diagnostic testing coverage of estimated TB suspects was enhanced from 68% in 2018 to 89% in </w:t>
            </w:r>
            <w:r w:rsidRPr="00E01376">
              <w:rPr>
                <w:rFonts w:cs="Arial"/>
              </w:rPr>
              <w:t xml:space="preserve">2020 (Figure </w:t>
            </w:r>
            <w:r w:rsidR="00E01376" w:rsidRPr="00974FD7">
              <w:rPr>
                <w:rFonts w:cs="Arial"/>
              </w:rPr>
              <w:t>28</w:t>
            </w:r>
            <w:r w:rsidRPr="00334A2B">
              <w:rPr>
                <w:rFonts w:cs="Arial"/>
              </w:rPr>
              <w:t xml:space="preserve">). </w:t>
            </w:r>
          </w:p>
          <w:p w14:paraId="71CC89A7" w14:textId="77777777" w:rsidR="00C74E42" w:rsidRPr="00F20941" w:rsidRDefault="00C74E42" w:rsidP="00FF6A95">
            <w:pPr>
              <w:spacing w:after="0" w:line="240" w:lineRule="auto"/>
              <w:jc w:val="both"/>
              <w:rPr>
                <w:rFonts w:cs="Arial"/>
              </w:rPr>
            </w:pPr>
          </w:p>
          <w:p w14:paraId="6476C0A1" w14:textId="7A1800D9" w:rsidR="00BF576B" w:rsidRPr="00F20941" w:rsidRDefault="00BF576B" w:rsidP="00BF576B">
            <w:pPr>
              <w:jc w:val="both"/>
              <w:rPr>
                <w:rFonts w:cs="Arial"/>
                <w:b/>
              </w:rPr>
            </w:pPr>
            <w:r w:rsidRPr="00E01376">
              <w:rPr>
                <w:rFonts w:cs="Arial"/>
                <w:b/>
              </w:rPr>
              <w:t xml:space="preserve">Figure </w:t>
            </w:r>
            <w:r w:rsidR="00E01376" w:rsidRPr="00974FD7">
              <w:rPr>
                <w:rFonts w:cs="Arial"/>
                <w:b/>
              </w:rPr>
              <w:t>28</w:t>
            </w:r>
            <w:r w:rsidRPr="00F20941">
              <w:rPr>
                <w:rFonts w:cs="Arial"/>
                <w:b/>
              </w:rPr>
              <w:t xml:space="preserve">. </w:t>
            </w:r>
            <w:r w:rsidR="00F44DDE">
              <w:rPr>
                <w:rFonts w:cs="Arial"/>
                <w:b/>
              </w:rPr>
              <w:t xml:space="preserve">Coverage </w:t>
            </w:r>
            <w:r w:rsidR="00E86ACF">
              <w:rPr>
                <w:rFonts w:cs="Arial"/>
                <w:b/>
              </w:rPr>
              <w:t xml:space="preserve">of individuals suspected of having TB </w:t>
            </w:r>
            <w:r w:rsidR="00F44DDE">
              <w:rPr>
                <w:rFonts w:cs="Arial"/>
                <w:b/>
              </w:rPr>
              <w:t>with Xpert tests in Kaz</w:t>
            </w:r>
            <w:r w:rsidR="00E01376">
              <w:rPr>
                <w:rFonts w:cs="Arial"/>
                <w:b/>
              </w:rPr>
              <w:t>akhstan, 2018- 9 months of 2021</w:t>
            </w:r>
            <w:r w:rsidR="00F44DDE">
              <w:rPr>
                <w:rFonts w:cs="Arial"/>
                <w:b/>
              </w:rPr>
              <w:t xml:space="preserve"> </w:t>
            </w:r>
          </w:p>
          <w:p w14:paraId="3AC8D7A0" w14:textId="70893474" w:rsidR="00BF576B" w:rsidRPr="007323C5" w:rsidRDefault="0018292F" w:rsidP="00BF576B">
            <w:pPr>
              <w:jc w:val="center"/>
              <w:rPr>
                <w:rFonts w:cs="Arial"/>
                <w:i/>
                <w:lang w:val="ru-RU"/>
              </w:rPr>
            </w:pPr>
            <w:r w:rsidRPr="007323C5">
              <w:rPr>
                <w:rFonts w:cs="Arial"/>
                <w:i/>
                <w:noProof/>
              </w:rPr>
              <w:drawing>
                <wp:inline distT="0" distB="0" distL="0" distR="0" wp14:anchorId="5AAE2F0A" wp14:editId="40321446">
                  <wp:extent cx="5669280" cy="1832610"/>
                  <wp:effectExtent l="0" t="0" r="20320" b="2159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604E79F" w14:textId="2A398029" w:rsidR="00BF576B" w:rsidRDefault="00F20941" w:rsidP="00E01376">
            <w:pPr>
              <w:spacing w:after="0" w:line="240" w:lineRule="auto"/>
              <w:jc w:val="both"/>
              <w:rPr>
                <w:rFonts w:cs="Arial"/>
              </w:rPr>
            </w:pPr>
            <w:r w:rsidRPr="00051723">
              <w:rPr>
                <w:rFonts w:asciiTheme="minorHAnsi" w:hAnsiTheme="minorHAnsi" w:cstheme="minorHAnsi"/>
              </w:rPr>
              <w:t xml:space="preserve">Though the total number of GeneXpert MTB/RIF tests grew in 2020 despite the pandemic, at present certain </w:t>
            </w:r>
            <w:r>
              <w:rPr>
                <w:rFonts w:asciiTheme="minorHAnsi" w:hAnsiTheme="minorHAnsi" w:cstheme="minorHAnsi"/>
              </w:rPr>
              <w:t xml:space="preserve">testing </w:t>
            </w:r>
            <w:r w:rsidRPr="00051723">
              <w:rPr>
                <w:rFonts w:asciiTheme="minorHAnsi" w:hAnsiTheme="minorHAnsi" w:cstheme="minorHAnsi"/>
              </w:rPr>
              <w:t xml:space="preserve">limitations non-related to COVID-19 are caused by the </w:t>
            </w:r>
            <w:r>
              <w:rPr>
                <w:rFonts w:asciiTheme="minorHAnsi" w:hAnsiTheme="minorHAnsi" w:cstheme="minorHAnsi"/>
              </w:rPr>
              <w:t>necessity</w:t>
            </w:r>
            <w:r w:rsidRPr="00051723">
              <w:rPr>
                <w:rFonts w:asciiTheme="minorHAnsi" w:hAnsiTheme="minorHAnsi" w:cstheme="minorHAnsi"/>
              </w:rPr>
              <w:t xml:space="preserve"> to transport sput</w:t>
            </w:r>
            <w:r w:rsidR="00BB316B">
              <w:rPr>
                <w:rFonts w:asciiTheme="minorHAnsi" w:hAnsiTheme="minorHAnsi" w:cstheme="minorHAnsi"/>
              </w:rPr>
              <w:t>um to regional and inter-district</w:t>
            </w:r>
            <w:r w:rsidRPr="00051723">
              <w:rPr>
                <w:rFonts w:asciiTheme="minorHAnsi" w:hAnsiTheme="minorHAnsi" w:cstheme="minorHAnsi"/>
              </w:rPr>
              <w:t xml:space="preserve"> laboratories, </w:t>
            </w:r>
            <w:r w:rsidRPr="009E7CF3">
              <w:rPr>
                <w:rFonts w:asciiTheme="minorHAnsi" w:hAnsiTheme="minorHAnsi" w:cstheme="minorHAnsi"/>
              </w:rPr>
              <w:t xml:space="preserve">where GeneXpert systems are placed. The transportation of sputum samples is performed on average twice a week, and less frequently </w:t>
            </w:r>
            <w:r w:rsidR="00BF576B" w:rsidRPr="009E7CF3">
              <w:rPr>
                <w:rFonts w:cs="Arial"/>
              </w:rPr>
              <w:t xml:space="preserve">during the wintertime, as weather conditions create difficulties in regular delivery of </w:t>
            </w:r>
            <w:r w:rsidR="009E7CF3" w:rsidRPr="009E7CF3">
              <w:rPr>
                <w:rFonts w:cs="Arial"/>
              </w:rPr>
              <w:t>specimens.</w:t>
            </w:r>
            <w:r w:rsidR="009E7CF3">
              <w:rPr>
                <w:rFonts w:cs="Arial"/>
                <w:color w:val="7030A0"/>
              </w:rPr>
              <w:t xml:space="preserve"> </w:t>
            </w:r>
            <w:r w:rsidR="009E7CF3" w:rsidRPr="009E7CF3">
              <w:rPr>
                <w:rFonts w:cs="Arial"/>
              </w:rPr>
              <w:t>From</w:t>
            </w:r>
            <w:r w:rsidR="00BF576B" w:rsidRPr="009E7CF3">
              <w:rPr>
                <w:rFonts w:cs="Arial"/>
              </w:rPr>
              <w:t xml:space="preserve"> </w:t>
            </w:r>
            <w:r w:rsidR="009E7CF3" w:rsidRPr="009E7CF3">
              <w:rPr>
                <w:rFonts w:cs="Arial"/>
              </w:rPr>
              <w:t xml:space="preserve">the </w:t>
            </w:r>
            <w:r w:rsidR="00BF576B" w:rsidRPr="009E7CF3">
              <w:rPr>
                <w:rFonts w:cs="Arial"/>
              </w:rPr>
              <w:t>GF</w:t>
            </w:r>
            <w:r w:rsidR="009E7CF3" w:rsidRPr="009E7CF3">
              <w:rPr>
                <w:rFonts w:cs="Arial"/>
              </w:rPr>
              <w:t xml:space="preserve"> C19RM supplementary funds</w:t>
            </w:r>
            <w:r w:rsidR="009E7CF3">
              <w:rPr>
                <w:rFonts w:cs="Arial"/>
              </w:rPr>
              <w:t xml:space="preserve">, the </w:t>
            </w:r>
            <w:proofErr w:type="gramStart"/>
            <w:r w:rsidR="009E7CF3">
              <w:rPr>
                <w:rFonts w:cs="Arial"/>
              </w:rPr>
              <w:t>P</w:t>
            </w:r>
            <w:r w:rsidR="007547EF">
              <w:rPr>
                <w:rFonts w:cs="Arial"/>
              </w:rPr>
              <w:t>rinciple</w:t>
            </w:r>
            <w:proofErr w:type="gramEnd"/>
            <w:r w:rsidR="007547EF">
              <w:rPr>
                <w:rFonts w:cs="Arial"/>
              </w:rPr>
              <w:t xml:space="preserve"> </w:t>
            </w:r>
            <w:r w:rsidR="009E7CF3">
              <w:rPr>
                <w:rFonts w:cs="Arial"/>
              </w:rPr>
              <w:t>R</w:t>
            </w:r>
            <w:r w:rsidR="007547EF">
              <w:rPr>
                <w:rFonts w:cs="Arial"/>
              </w:rPr>
              <w:t>ecipient (PR)</w:t>
            </w:r>
            <w:r w:rsidR="009E7CF3" w:rsidRPr="009E7CF3">
              <w:rPr>
                <w:rFonts w:cs="Arial"/>
              </w:rPr>
              <w:t xml:space="preserve"> </w:t>
            </w:r>
            <w:r w:rsidR="009E7CF3">
              <w:rPr>
                <w:rFonts w:cs="Arial"/>
              </w:rPr>
              <w:t>intends</w:t>
            </w:r>
            <w:r w:rsidR="009E7CF3" w:rsidRPr="009E7CF3">
              <w:rPr>
                <w:rFonts w:cs="Arial"/>
              </w:rPr>
              <w:t xml:space="preserve"> to procure</w:t>
            </w:r>
            <w:r w:rsidR="00BF576B" w:rsidRPr="009E7CF3">
              <w:rPr>
                <w:rFonts w:cs="Arial"/>
              </w:rPr>
              <w:t xml:space="preserve"> 20 units of 10-color module of GeneXpert machine in four-module configuration for bacteriological laboratories. </w:t>
            </w:r>
            <w:r w:rsidR="009E7CF3" w:rsidRPr="009E7CF3">
              <w:rPr>
                <w:rFonts w:cs="Arial"/>
              </w:rPr>
              <w:t>The planned procurement is aligned</w:t>
            </w:r>
            <w:r w:rsidR="00BF576B" w:rsidRPr="009E7CF3">
              <w:rPr>
                <w:rFonts w:cs="Arial"/>
              </w:rPr>
              <w:t xml:space="preserve"> with the WHO latest recommendations, assessment carried out by the WHO </w:t>
            </w:r>
            <w:r w:rsidR="00393B18">
              <w:rPr>
                <w:rFonts w:cs="Arial"/>
              </w:rPr>
              <w:t xml:space="preserve">regional </w:t>
            </w:r>
            <w:r w:rsidR="00BF576B" w:rsidRPr="009E7CF3">
              <w:rPr>
                <w:rFonts w:cs="Arial"/>
              </w:rPr>
              <w:t>Green Light Committee's mission that highlighted the need to consider the countrywide introduction of Xpert XDR technology, and national protocols and algorithms for screening persons wit</w:t>
            </w:r>
            <w:r w:rsidR="00806980">
              <w:rPr>
                <w:rFonts w:cs="Arial"/>
              </w:rPr>
              <w:t xml:space="preserve">h suspected tuberculosis. </w:t>
            </w:r>
            <w:r w:rsidR="00806980" w:rsidRPr="00806980">
              <w:rPr>
                <w:rFonts w:cs="Arial"/>
              </w:rPr>
              <w:t>According to</w:t>
            </w:r>
            <w:r w:rsidR="00806980">
              <w:rPr>
                <w:rFonts w:cs="Arial"/>
              </w:rPr>
              <w:t xml:space="preserve"> the NTP assessment data, there are </w:t>
            </w:r>
            <w:r w:rsidR="00806980" w:rsidRPr="00806980">
              <w:rPr>
                <w:rFonts w:cs="Arial"/>
              </w:rPr>
              <w:t xml:space="preserve">sites </w:t>
            </w:r>
            <w:r w:rsidR="00806980">
              <w:rPr>
                <w:rFonts w:cs="Arial"/>
              </w:rPr>
              <w:t xml:space="preserve">that </w:t>
            </w:r>
            <w:r w:rsidR="00806980" w:rsidRPr="00806980">
              <w:rPr>
                <w:rFonts w:cs="Arial"/>
              </w:rPr>
              <w:t>have the average distance for sputum samples transporta</w:t>
            </w:r>
            <w:r w:rsidR="00806980">
              <w:rPr>
                <w:rFonts w:cs="Arial"/>
              </w:rPr>
              <w:t>tion from the rayons to oblast/</w:t>
            </w:r>
            <w:r w:rsidR="00806980" w:rsidRPr="00806980">
              <w:rPr>
                <w:rFonts w:cs="Arial"/>
              </w:rPr>
              <w:t>inter-district</w:t>
            </w:r>
            <w:r w:rsidR="00B92739">
              <w:rPr>
                <w:rFonts w:cs="Arial"/>
              </w:rPr>
              <w:t>’</w:t>
            </w:r>
            <w:r w:rsidR="00806980" w:rsidRPr="00806980">
              <w:rPr>
                <w:rFonts w:cs="Arial"/>
              </w:rPr>
              <w:t xml:space="preserve"> GeneXper</w:t>
            </w:r>
            <w:r w:rsidR="00806980">
              <w:rPr>
                <w:rFonts w:cs="Arial"/>
              </w:rPr>
              <w:t>t laboratories exceeding 100 km</w:t>
            </w:r>
            <w:r w:rsidR="00806980" w:rsidRPr="009E7CF3">
              <w:rPr>
                <w:rFonts w:cs="Arial"/>
              </w:rPr>
              <w:t>.</w:t>
            </w:r>
            <w:r w:rsidR="00806980" w:rsidRPr="00596342">
              <w:rPr>
                <w:rFonts w:cs="Arial"/>
                <w:color w:val="7030A0"/>
              </w:rPr>
              <w:t xml:space="preserve"> </w:t>
            </w:r>
            <w:r w:rsidR="00806980" w:rsidRPr="00806980">
              <w:rPr>
                <w:rFonts w:cs="Arial"/>
              </w:rPr>
              <w:t xml:space="preserve">In addressing the access issue, 20 units of the available 6-color module equipment from bacteriological laboratories will be transferred to </w:t>
            </w:r>
            <w:r w:rsidR="00806980">
              <w:rPr>
                <w:rFonts w:cs="Arial"/>
              </w:rPr>
              <w:t xml:space="preserve">the </w:t>
            </w:r>
            <w:r w:rsidR="00806980" w:rsidRPr="00806980">
              <w:rPr>
                <w:rFonts w:cs="Arial"/>
              </w:rPr>
              <w:t>selected per</w:t>
            </w:r>
            <w:r w:rsidR="00806980">
              <w:rPr>
                <w:rFonts w:cs="Arial"/>
              </w:rPr>
              <w:t>ipheral district facilities</w:t>
            </w:r>
            <w:r w:rsidR="00806980" w:rsidRPr="00806980">
              <w:rPr>
                <w:rFonts w:cs="Arial"/>
              </w:rPr>
              <w:t xml:space="preserve">. </w:t>
            </w:r>
          </w:p>
          <w:p w14:paraId="504B0743" w14:textId="77777777" w:rsidR="00E01376" w:rsidRPr="00EB4821" w:rsidRDefault="00E01376" w:rsidP="00E01376">
            <w:pPr>
              <w:spacing w:after="0" w:line="240" w:lineRule="auto"/>
              <w:jc w:val="both"/>
              <w:rPr>
                <w:rFonts w:cs="Arial"/>
                <w:color w:val="7030A0"/>
              </w:rPr>
            </w:pPr>
          </w:p>
          <w:p w14:paraId="45369814" w14:textId="29420BCB" w:rsidR="00BF576B" w:rsidRDefault="00FB7101" w:rsidP="00E01376">
            <w:pPr>
              <w:spacing w:after="0" w:line="240" w:lineRule="auto"/>
              <w:jc w:val="both"/>
              <w:rPr>
                <w:rFonts w:cs="Arial"/>
              </w:rPr>
            </w:pPr>
            <w:r w:rsidRPr="00F76879">
              <w:rPr>
                <w:rFonts w:cs="Arial"/>
              </w:rPr>
              <w:t xml:space="preserve">From </w:t>
            </w:r>
            <w:r w:rsidR="00294DEA">
              <w:rPr>
                <w:rFonts w:cs="Arial"/>
              </w:rPr>
              <w:t xml:space="preserve">the </w:t>
            </w:r>
            <w:r w:rsidRPr="00F76879">
              <w:rPr>
                <w:rFonts w:cs="Arial"/>
              </w:rPr>
              <w:t>laboratory data, m</w:t>
            </w:r>
            <w:r w:rsidR="00BF576B" w:rsidRPr="00F76879">
              <w:rPr>
                <w:rFonts w:cs="Arial"/>
              </w:rPr>
              <w:t>ore than 94% of pulmonary bacteriologically confirmed cases had the results of DST to rifampicin; and about 90% of RR-TB cases had DST to SLD. The proportion of fluoroquinolone-resistant cases among those, with available DST to SL</w:t>
            </w:r>
            <w:r w:rsidRPr="00F76879">
              <w:rPr>
                <w:rFonts w:cs="Arial"/>
              </w:rPr>
              <w:t xml:space="preserve">D was 11% and 22% among </w:t>
            </w:r>
            <w:r w:rsidR="00BB316B" w:rsidRPr="00F76879">
              <w:rPr>
                <w:rFonts w:cs="Arial"/>
              </w:rPr>
              <w:t xml:space="preserve">RR-TB </w:t>
            </w:r>
            <w:r w:rsidRPr="00F76879">
              <w:rPr>
                <w:rFonts w:cs="Arial"/>
              </w:rPr>
              <w:t>new and</w:t>
            </w:r>
            <w:r w:rsidR="00BF576B" w:rsidRPr="00F76879">
              <w:rPr>
                <w:rFonts w:cs="Arial"/>
              </w:rPr>
              <w:t xml:space="preserve"> </w:t>
            </w:r>
            <w:r w:rsidR="00F76879" w:rsidRPr="00F76879">
              <w:rPr>
                <w:rFonts w:cs="Arial"/>
              </w:rPr>
              <w:t xml:space="preserve">relapse </w:t>
            </w:r>
            <w:r w:rsidR="00BF576B" w:rsidRPr="00F76879">
              <w:rPr>
                <w:rFonts w:cs="Arial"/>
              </w:rPr>
              <w:t>cases</w:t>
            </w:r>
            <w:r w:rsidR="00F76879" w:rsidRPr="00F76879">
              <w:rPr>
                <w:rFonts w:cs="Arial"/>
              </w:rPr>
              <w:t>, correspondingly</w:t>
            </w:r>
            <w:r w:rsidR="00BF576B" w:rsidRPr="00F76879">
              <w:rPr>
                <w:rFonts w:cs="Arial"/>
              </w:rPr>
              <w:t>.</w:t>
            </w:r>
            <w:r w:rsidR="00EC1294">
              <w:rPr>
                <w:rFonts w:cs="Arial"/>
                <w:color w:val="7030A0"/>
              </w:rPr>
              <w:t xml:space="preserve"> </w:t>
            </w:r>
            <w:r w:rsidR="00EC1294" w:rsidRPr="002778FC">
              <w:rPr>
                <w:rFonts w:cs="Arial"/>
              </w:rPr>
              <w:t>However, t</w:t>
            </w:r>
            <w:r w:rsidR="00BF576B" w:rsidRPr="002778FC">
              <w:rPr>
                <w:rFonts w:cs="Arial"/>
              </w:rPr>
              <w:t xml:space="preserve">here is no representative </w:t>
            </w:r>
            <w:r w:rsidR="00EC1294" w:rsidRPr="002778FC">
              <w:rPr>
                <w:rFonts w:cs="Arial"/>
              </w:rPr>
              <w:t xml:space="preserve">data on </w:t>
            </w:r>
            <w:r w:rsidR="00BF576B" w:rsidRPr="002778FC">
              <w:rPr>
                <w:rFonts w:cs="Arial"/>
              </w:rPr>
              <w:t>resistance to</w:t>
            </w:r>
            <w:r w:rsidR="00EC1294" w:rsidRPr="002778FC">
              <w:rPr>
                <w:rFonts w:cs="Arial"/>
              </w:rPr>
              <w:t xml:space="preserve"> new and repurposed TB drugs, as</w:t>
            </w:r>
            <w:r w:rsidR="00BF576B" w:rsidRPr="002778FC">
              <w:rPr>
                <w:rFonts w:cs="Arial"/>
              </w:rPr>
              <w:t xml:space="preserve"> the DST to Linezolid (Lzd) and Clofazimine (Cfz) have been introduced since 2020, and DST to Bdq - since 2021. </w:t>
            </w:r>
            <w:r w:rsidR="00EC1294" w:rsidRPr="002778FC">
              <w:rPr>
                <w:rFonts w:cs="Arial"/>
              </w:rPr>
              <w:t xml:space="preserve">The </w:t>
            </w:r>
            <w:r w:rsidR="00BF576B" w:rsidRPr="002778FC">
              <w:rPr>
                <w:rFonts w:cs="Arial"/>
              </w:rPr>
              <w:t xml:space="preserve">DST to Delamanid (Dlm) has not been </w:t>
            </w:r>
            <w:r w:rsidR="0018292F" w:rsidRPr="002778FC">
              <w:rPr>
                <w:rFonts w:cs="Arial"/>
              </w:rPr>
              <w:t>initiated</w:t>
            </w:r>
            <w:r w:rsidR="00BF576B" w:rsidRPr="002778FC">
              <w:rPr>
                <w:rFonts w:cs="Arial"/>
              </w:rPr>
              <w:t xml:space="preserve"> yet due to absence of regular supply with pure substance</w:t>
            </w:r>
            <w:r w:rsidR="002778FC">
              <w:rPr>
                <w:rFonts w:cs="Arial"/>
              </w:rPr>
              <w:t xml:space="preserve">. </w:t>
            </w:r>
            <w:r w:rsidR="001B75C2" w:rsidRPr="001B75C2">
              <w:rPr>
                <w:rFonts w:cs="Arial"/>
              </w:rPr>
              <w:t xml:space="preserve">Moreover, there are needs identified for additional training for the laboratory specialists in 2022 and adjustments to the NRBT system, </w:t>
            </w:r>
            <w:proofErr w:type="gramStart"/>
            <w:r w:rsidR="001B75C2" w:rsidRPr="001B75C2">
              <w:rPr>
                <w:rFonts w:cs="Arial"/>
              </w:rPr>
              <w:t>as yet</w:t>
            </w:r>
            <w:proofErr w:type="gramEnd"/>
            <w:r w:rsidR="001B75C2" w:rsidRPr="001B75C2">
              <w:rPr>
                <w:rFonts w:cs="Arial"/>
              </w:rPr>
              <w:t xml:space="preserve"> the TB Register does not allow registration of these results</w:t>
            </w:r>
            <w:r w:rsidR="00BF576B" w:rsidRPr="002778FC">
              <w:rPr>
                <w:rStyle w:val="af"/>
                <w:rFonts w:cs="Arial"/>
              </w:rPr>
              <w:footnoteReference w:id="49"/>
            </w:r>
            <w:r w:rsidR="00BF576B" w:rsidRPr="001B75C2">
              <w:rPr>
                <w:rFonts w:cs="Arial"/>
              </w:rPr>
              <w:t>.</w:t>
            </w:r>
          </w:p>
          <w:p w14:paraId="13B50DE6" w14:textId="77777777" w:rsidR="000068AA" w:rsidRPr="00EB4821" w:rsidRDefault="000068AA" w:rsidP="00E01376">
            <w:pPr>
              <w:spacing w:after="0" w:line="240" w:lineRule="auto"/>
              <w:jc w:val="both"/>
              <w:rPr>
                <w:rFonts w:cs="Arial"/>
                <w:color w:val="7030A0"/>
              </w:rPr>
            </w:pPr>
          </w:p>
          <w:p w14:paraId="5A74FE85" w14:textId="1837D8C4" w:rsidR="00BF576B" w:rsidRPr="001B75C2" w:rsidRDefault="00BF576B" w:rsidP="00BF576B">
            <w:pPr>
              <w:jc w:val="both"/>
              <w:rPr>
                <w:rFonts w:cs="Arial"/>
              </w:rPr>
            </w:pPr>
            <w:r w:rsidRPr="001B75C2">
              <w:rPr>
                <w:rFonts w:cs="Arial"/>
              </w:rPr>
              <w:t xml:space="preserve">The </w:t>
            </w:r>
            <w:r w:rsidR="001B75C2">
              <w:rPr>
                <w:rFonts w:cs="Arial"/>
              </w:rPr>
              <w:t xml:space="preserve">wide </w:t>
            </w:r>
            <w:r w:rsidR="001B75C2" w:rsidRPr="001B75C2">
              <w:rPr>
                <w:rFonts w:cs="Arial"/>
              </w:rPr>
              <w:t>variety of</w:t>
            </w:r>
            <w:r w:rsidRPr="001B75C2">
              <w:rPr>
                <w:rFonts w:cs="Arial"/>
              </w:rPr>
              <w:t xml:space="preserve"> diagnostic tests for TB performed by laboratories from civilian sector </w:t>
            </w:r>
            <w:r w:rsidR="001B75C2" w:rsidRPr="001B75C2">
              <w:rPr>
                <w:rFonts w:cs="Arial"/>
              </w:rPr>
              <w:t>of Kazakhstan</w:t>
            </w:r>
            <w:r w:rsidRPr="001B75C2">
              <w:rPr>
                <w:rFonts w:cs="Arial"/>
              </w:rPr>
              <w:t xml:space="preserve"> </w:t>
            </w:r>
            <w:r w:rsidR="001B75C2" w:rsidRPr="001B75C2">
              <w:rPr>
                <w:rFonts w:cs="Arial"/>
              </w:rPr>
              <w:t>is</w:t>
            </w:r>
            <w:r w:rsidRPr="001B75C2">
              <w:rPr>
                <w:rFonts w:cs="Arial"/>
              </w:rPr>
              <w:t xml:space="preserve"> </w:t>
            </w:r>
            <w:r w:rsidR="001B75C2" w:rsidRPr="001B75C2">
              <w:rPr>
                <w:rFonts w:cs="Arial"/>
              </w:rPr>
              <w:t>presented</w:t>
            </w:r>
            <w:r w:rsidRPr="001B75C2">
              <w:rPr>
                <w:rFonts w:cs="Arial"/>
              </w:rPr>
              <w:t xml:space="preserve"> in </w:t>
            </w:r>
            <w:r w:rsidR="000068AA">
              <w:rPr>
                <w:rFonts w:cs="Arial"/>
              </w:rPr>
              <w:t xml:space="preserve">Table 6 </w:t>
            </w:r>
            <w:r w:rsidRPr="001B75C2">
              <w:rPr>
                <w:rFonts w:cs="Arial"/>
              </w:rPr>
              <w:t>below.</w:t>
            </w:r>
          </w:p>
          <w:p w14:paraId="55552A8D" w14:textId="0C6BF625" w:rsidR="00BF576B" w:rsidRPr="001B75C2" w:rsidRDefault="00BF576B" w:rsidP="00BF576B">
            <w:pPr>
              <w:spacing w:after="0" w:line="240" w:lineRule="auto"/>
              <w:jc w:val="both"/>
              <w:textAlignment w:val="baseline"/>
              <w:rPr>
                <w:rFonts w:eastAsia="Times New Roman" w:cs="Arial"/>
                <w:bCs/>
                <w:sz w:val="20"/>
                <w:lang w:eastAsia="ru-RU"/>
              </w:rPr>
            </w:pPr>
            <w:r w:rsidRPr="000068AA">
              <w:rPr>
                <w:rFonts w:eastAsia="Times New Roman" w:cs="Arial"/>
                <w:b/>
                <w:bCs/>
                <w:sz w:val="20"/>
                <w:lang w:eastAsia="ru-RU"/>
              </w:rPr>
              <w:t xml:space="preserve">Table </w:t>
            </w:r>
            <w:r w:rsidR="000068AA">
              <w:rPr>
                <w:rFonts w:eastAsia="Times New Roman" w:cs="Arial"/>
                <w:b/>
                <w:bCs/>
                <w:lang w:eastAsia="ru-RU"/>
              </w:rPr>
              <w:t>6</w:t>
            </w:r>
            <w:r w:rsidRPr="001B75C2">
              <w:rPr>
                <w:rFonts w:eastAsia="Times New Roman" w:cs="Arial"/>
                <w:b/>
                <w:bCs/>
                <w:lang w:eastAsia="ru-RU"/>
              </w:rPr>
              <w:t>. </w:t>
            </w:r>
            <w:r w:rsidR="001B75C2">
              <w:rPr>
                <w:rFonts w:eastAsia="Times New Roman" w:cs="Arial"/>
                <w:b/>
                <w:bCs/>
                <w:lang w:eastAsia="ru-RU"/>
              </w:rPr>
              <w:t>Types and quantity of diagnostic tests performed in civilian sector</w:t>
            </w:r>
            <w:r w:rsidR="000068AA">
              <w:rPr>
                <w:rFonts w:eastAsia="Times New Roman" w:cs="Arial"/>
                <w:b/>
                <w:bCs/>
                <w:lang w:eastAsia="ru-RU"/>
              </w:rPr>
              <w:t xml:space="preserve">, </w:t>
            </w:r>
            <w:r w:rsidR="001B75C2">
              <w:rPr>
                <w:rFonts w:eastAsia="Times New Roman" w:cs="Arial"/>
                <w:b/>
                <w:bCs/>
                <w:lang w:eastAsia="ru-RU"/>
              </w:rPr>
              <w:t>Kazakhstan</w:t>
            </w:r>
            <w:r w:rsidR="000068AA">
              <w:rPr>
                <w:rFonts w:eastAsia="Times New Roman" w:cs="Arial"/>
                <w:b/>
                <w:bCs/>
                <w:lang w:eastAsia="ru-RU"/>
              </w:rPr>
              <w:t xml:space="preserve">, </w:t>
            </w:r>
            <w:r w:rsidR="001B75C2">
              <w:rPr>
                <w:rFonts w:eastAsia="Times New Roman" w:cs="Arial"/>
                <w:b/>
                <w:bCs/>
                <w:lang w:eastAsia="ru-RU"/>
              </w:rPr>
              <w:t>2016-2020</w:t>
            </w:r>
          </w:p>
          <w:p w14:paraId="3F4E5530" w14:textId="77777777" w:rsidR="00BF576B" w:rsidRPr="00EB4821" w:rsidRDefault="00BF576B" w:rsidP="00BF576B">
            <w:pPr>
              <w:spacing w:after="0" w:line="240" w:lineRule="auto"/>
              <w:jc w:val="center"/>
              <w:textAlignment w:val="baseline"/>
              <w:rPr>
                <w:rFonts w:ascii="Calibri" w:eastAsia="Times New Roman" w:hAnsi="Calibri" w:cs="Calibri"/>
                <w:b/>
                <w:bCs/>
                <w:color w:val="7030A0"/>
                <w:lang w:eastAsia="ru-RU"/>
              </w:rPr>
            </w:pPr>
          </w:p>
          <w:tbl>
            <w:tblPr>
              <w:tblW w:w="90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705"/>
              <w:gridCol w:w="1065"/>
              <w:gridCol w:w="1065"/>
              <w:gridCol w:w="1065"/>
              <w:gridCol w:w="1065"/>
              <w:gridCol w:w="1065"/>
            </w:tblGrid>
            <w:tr w:rsidR="00BF576B" w:rsidRPr="00E12FFA" w14:paraId="20310ADA" w14:textId="77777777" w:rsidTr="00B45F46">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B26F6D8" w14:textId="77777777" w:rsidR="00BF576B" w:rsidRPr="00E12FFA" w:rsidRDefault="00BF576B" w:rsidP="00B45F46">
                  <w:pPr>
                    <w:spacing w:after="0" w:line="240" w:lineRule="auto"/>
                    <w:jc w:val="both"/>
                    <w:textAlignment w:val="baseline"/>
                    <w:rPr>
                      <w:rFonts w:asciiTheme="majorHAnsi" w:eastAsia="Times New Roman" w:hAnsiTheme="majorHAnsi" w:cstheme="majorHAnsi"/>
                      <w:sz w:val="18"/>
                      <w:szCs w:val="18"/>
                      <w:lang w:eastAsia="ru-RU"/>
                    </w:rPr>
                  </w:pP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0D87F3A"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b/>
                      <w:bCs/>
                      <w:sz w:val="18"/>
                      <w:szCs w:val="18"/>
                      <w:lang w:eastAsia="ru-RU"/>
                    </w:rPr>
                    <w:t>2016</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C95CE33"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b/>
                      <w:bCs/>
                      <w:sz w:val="18"/>
                      <w:szCs w:val="18"/>
                      <w:lang w:eastAsia="ru-RU"/>
                    </w:rPr>
                    <w:t>2017</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A147D94"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b/>
                      <w:bCs/>
                      <w:sz w:val="18"/>
                      <w:szCs w:val="18"/>
                      <w:lang w:eastAsia="ru-RU"/>
                    </w:rPr>
                    <w:t>2018</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F2264C5"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b/>
                      <w:bCs/>
                      <w:sz w:val="18"/>
                      <w:szCs w:val="18"/>
                      <w:lang w:eastAsia="ru-RU"/>
                    </w:rPr>
                    <w:t>2019</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580906A"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b/>
                      <w:bCs/>
                      <w:sz w:val="18"/>
                      <w:szCs w:val="18"/>
                      <w:lang w:eastAsia="ru-RU"/>
                    </w:rPr>
                    <w:t>2020</w:t>
                  </w:r>
                </w:p>
              </w:tc>
            </w:tr>
            <w:tr w:rsidR="00BF576B" w:rsidRPr="00E12FFA" w14:paraId="310C253F" w14:textId="77777777" w:rsidTr="00B45F46">
              <w:trPr>
                <w:trHeight w:val="219"/>
              </w:trPr>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47A0698" w14:textId="77777777" w:rsidR="00BF576B" w:rsidRPr="00E12FFA" w:rsidRDefault="00BF576B" w:rsidP="00B45F46">
                  <w:pPr>
                    <w:spacing w:after="0" w:line="240" w:lineRule="auto"/>
                    <w:jc w:val="both"/>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Direct smear microscopy</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85BADF1"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501,688</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02CBD48"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535,360</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F665EFB"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419,840</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5568546"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378,952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34389D9"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321,468</w:t>
                  </w:r>
                </w:p>
              </w:tc>
            </w:tr>
            <w:tr w:rsidR="00BF576B" w:rsidRPr="00E12FFA" w14:paraId="2CAC7A37" w14:textId="77777777" w:rsidTr="00B45F46">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9FDAC71" w14:textId="77777777" w:rsidR="00BF576B" w:rsidRPr="00E12FFA" w:rsidRDefault="00BF576B" w:rsidP="00B45F46">
                  <w:pPr>
                    <w:spacing w:after="0" w:line="240" w:lineRule="auto"/>
                    <w:jc w:val="both"/>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Solid culture</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3CD3AA0"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164,973</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34EE239"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167,875</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4494CDF"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190,219</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B16C848"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223,507</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40E1E49"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181,887</w:t>
                  </w:r>
                </w:p>
              </w:tc>
            </w:tr>
            <w:tr w:rsidR="00BF576B" w:rsidRPr="00E12FFA" w14:paraId="2A20719B" w14:textId="77777777" w:rsidTr="00B45F46">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6FD95C8C" w14:textId="77777777" w:rsidR="00BF576B" w:rsidRPr="00E12FFA" w:rsidRDefault="00BF576B" w:rsidP="00B45F46">
                  <w:pPr>
                    <w:spacing w:after="0" w:line="240" w:lineRule="auto"/>
                    <w:jc w:val="both"/>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DST to FLD on solid culture</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0C049E2"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12,888</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BDF04E4"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10,175</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5CB9BF5"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6,555</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F2AF86B"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2,027</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E8908B9"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279</w:t>
                  </w:r>
                </w:p>
              </w:tc>
            </w:tr>
            <w:tr w:rsidR="00BF576B" w:rsidRPr="00E12FFA" w14:paraId="54DBDD14" w14:textId="77777777" w:rsidTr="00B45F46">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39B31D54" w14:textId="77777777" w:rsidR="00BF576B" w:rsidRPr="00E12FFA" w:rsidRDefault="00BF576B" w:rsidP="00B45F46">
                  <w:pPr>
                    <w:spacing w:after="0" w:line="240" w:lineRule="auto"/>
                    <w:jc w:val="both"/>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DST to SLD on solid culture</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778E713"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16,781</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4458949"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14,784</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AB09700"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9,043</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39DC0E7"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2,851</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5FE38F5"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713</w:t>
                  </w:r>
                </w:p>
              </w:tc>
            </w:tr>
            <w:tr w:rsidR="00BF576B" w:rsidRPr="00E12FFA" w14:paraId="2837E233" w14:textId="77777777" w:rsidTr="00B45F46">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1BD2C73" w14:textId="77777777" w:rsidR="00BF576B" w:rsidRPr="00E12FFA" w:rsidRDefault="00BF576B" w:rsidP="00B45F46">
                  <w:pPr>
                    <w:spacing w:after="0" w:line="240" w:lineRule="auto"/>
                    <w:jc w:val="both"/>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Liquid culture </w:t>
                  </w:r>
                  <w:r w:rsidRPr="00E12FFA">
                    <w:rPr>
                      <w:rFonts w:asciiTheme="majorHAnsi" w:eastAsia="Times New Roman" w:hAnsiTheme="majorHAnsi" w:cstheme="majorHAnsi"/>
                      <w:sz w:val="18"/>
                      <w:szCs w:val="18"/>
                      <w:lang w:val="ru-RU" w:eastAsia="ru-RU"/>
                    </w:rPr>
                    <w:t>(</w:t>
                  </w:r>
                  <w:r w:rsidRPr="00E12FFA">
                    <w:rPr>
                      <w:rFonts w:asciiTheme="majorHAnsi" w:eastAsia="Times New Roman" w:hAnsiTheme="majorHAnsi" w:cstheme="majorHAnsi"/>
                      <w:sz w:val="18"/>
                      <w:szCs w:val="18"/>
                      <w:lang w:eastAsia="ru-RU"/>
                    </w:rPr>
                    <w:t>MGIT</w:t>
                  </w:r>
                  <w:r w:rsidRPr="00E12FFA">
                    <w:rPr>
                      <w:rFonts w:asciiTheme="majorHAnsi" w:eastAsia="Times New Roman" w:hAnsiTheme="majorHAnsi" w:cstheme="majorHAnsi"/>
                      <w:sz w:val="18"/>
                      <w:szCs w:val="18"/>
                      <w:lang w:val="ru-RU" w:eastAsia="ru-RU"/>
                    </w:rPr>
                    <w:t>)</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15EE5A3"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47,072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09C57FC"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47,526</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8E83A1D"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49,368</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00A1CAA"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54,026</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EFA6D17"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53,845</w:t>
                  </w:r>
                </w:p>
              </w:tc>
            </w:tr>
            <w:tr w:rsidR="00BF576B" w:rsidRPr="00E12FFA" w14:paraId="3E9DE209" w14:textId="77777777" w:rsidTr="00B45F46">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2ED8603" w14:textId="77777777" w:rsidR="00BF576B" w:rsidRPr="00E12FFA" w:rsidRDefault="00BF576B" w:rsidP="00B45F46">
                  <w:pPr>
                    <w:spacing w:after="0" w:line="240" w:lineRule="auto"/>
                    <w:jc w:val="both"/>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DST FLD on liquid culture (MGIT)</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D3ADF81"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17,837</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69D3D79"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18,525</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94BFAD6"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16,690</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2E2C034"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19,026</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FF46A46"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val="ru-RU" w:eastAsia="ru-RU"/>
                    </w:rPr>
                  </w:pPr>
                  <w:r w:rsidRPr="00E12FFA">
                    <w:rPr>
                      <w:rFonts w:asciiTheme="majorHAnsi" w:eastAsia="Times New Roman" w:hAnsiTheme="majorHAnsi" w:cstheme="majorHAnsi"/>
                      <w:sz w:val="18"/>
                      <w:szCs w:val="18"/>
                      <w:lang w:eastAsia="ru-RU"/>
                    </w:rPr>
                    <w:t>16,416</w:t>
                  </w:r>
                </w:p>
              </w:tc>
            </w:tr>
            <w:tr w:rsidR="00BF576B" w:rsidRPr="00E12FFA" w14:paraId="30995312" w14:textId="77777777" w:rsidTr="00B45F46">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49F54E9B" w14:textId="77777777" w:rsidR="00BF576B" w:rsidRPr="00E12FFA" w:rsidRDefault="00BF576B" w:rsidP="00B45F46">
                  <w:pPr>
                    <w:spacing w:after="0" w:line="240" w:lineRule="auto"/>
                    <w:jc w:val="both"/>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DST SLD on liquid culture (MGIT)</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2D57A41"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7,984</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2C009AC"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9,554</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C3FE135"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9,874</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9AF59F1"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10,622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71A220F"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11,071</w:t>
                  </w:r>
                </w:p>
              </w:tc>
            </w:tr>
            <w:tr w:rsidR="00BF576B" w:rsidRPr="00E12FFA" w14:paraId="1BC6038B" w14:textId="77777777" w:rsidTr="00B45F46">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0514A72B" w14:textId="77777777" w:rsidR="00BF576B" w:rsidRPr="00E12FFA" w:rsidRDefault="00BF576B" w:rsidP="00B45F46">
                  <w:pPr>
                    <w:spacing w:after="0" w:line="240" w:lineRule="auto"/>
                    <w:jc w:val="both"/>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LPA MTBDR-Plus</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45DD6FF"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3,812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F0D94DC"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3,211</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7147371"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3,900</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69DA6BF"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4,364</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912A80E"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3,807</w:t>
                  </w:r>
                </w:p>
              </w:tc>
            </w:tr>
            <w:tr w:rsidR="00BF576B" w:rsidRPr="00E12FFA" w14:paraId="39B747A8" w14:textId="77777777" w:rsidTr="00B45F46">
              <w:tc>
                <w:tcPr>
                  <w:tcW w:w="3705" w:type="dxa"/>
                  <w:tcBorders>
                    <w:top w:val="single" w:sz="6" w:space="0" w:color="auto"/>
                    <w:left w:val="single" w:sz="6" w:space="0" w:color="auto"/>
                    <w:bottom w:val="single" w:sz="6" w:space="0" w:color="auto"/>
                    <w:right w:val="single" w:sz="6" w:space="0" w:color="auto"/>
                  </w:tcBorders>
                  <w:shd w:val="clear" w:color="auto" w:fill="auto"/>
                  <w:hideMark/>
                </w:tcPr>
                <w:p w14:paraId="1682B8E6" w14:textId="77777777" w:rsidR="00BF576B" w:rsidRPr="00E12FFA" w:rsidRDefault="00BF576B" w:rsidP="00B45F46">
                  <w:pPr>
                    <w:spacing w:after="0" w:line="240" w:lineRule="auto"/>
                    <w:jc w:val="both"/>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LPA MTBDR-sl</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FFC1B62"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1,521</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5B3518B"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1,756</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B4C449E"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2,602</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7F15CCE"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3,117</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1822AF8" w14:textId="77777777" w:rsidR="00BF576B" w:rsidRPr="00E12FFA" w:rsidRDefault="00BF576B" w:rsidP="00B45F46">
                  <w:pPr>
                    <w:spacing w:after="0" w:line="240" w:lineRule="auto"/>
                    <w:jc w:val="center"/>
                    <w:textAlignment w:val="baseline"/>
                    <w:rPr>
                      <w:rFonts w:asciiTheme="majorHAnsi" w:eastAsia="Times New Roman" w:hAnsiTheme="majorHAnsi" w:cstheme="majorHAnsi"/>
                      <w:sz w:val="18"/>
                      <w:szCs w:val="18"/>
                      <w:lang w:eastAsia="ru-RU"/>
                    </w:rPr>
                  </w:pPr>
                  <w:r w:rsidRPr="00E12FFA">
                    <w:rPr>
                      <w:rFonts w:asciiTheme="majorHAnsi" w:eastAsia="Times New Roman" w:hAnsiTheme="majorHAnsi" w:cstheme="majorHAnsi"/>
                      <w:sz w:val="18"/>
                      <w:szCs w:val="18"/>
                      <w:lang w:eastAsia="ru-RU"/>
                    </w:rPr>
                    <w:t>3,004</w:t>
                  </w:r>
                </w:p>
              </w:tc>
            </w:tr>
          </w:tbl>
          <w:p w14:paraId="4744D085" w14:textId="54AEF492" w:rsidR="00BF576B" w:rsidRPr="001B75C2" w:rsidRDefault="00BF576B" w:rsidP="00BF576B">
            <w:pPr>
              <w:autoSpaceDE w:val="0"/>
              <w:autoSpaceDN w:val="0"/>
              <w:adjustRightInd w:val="0"/>
              <w:spacing w:after="160" w:line="259" w:lineRule="auto"/>
              <w:jc w:val="both"/>
              <w:rPr>
                <w:rFonts w:asciiTheme="minorHAnsi" w:eastAsia="Calibri" w:hAnsiTheme="minorHAnsi" w:cstheme="minorHAnsi"/>
                <w:sz w:val="16"/>
                <w:szCs w:val="16"/>
              </w:rPr>
            </w:pPr>
            <w:r w:rsidRPr="001B75C2">
              <w:rPr>
                <w:rFonts w:asciiTheme="minorHAnsi" w:eastAsia="Calibri" w:hAnsiTheme="minorHAnsi" w:cstheme="minorHAnsi"/>
                <w:i/>
                <w:sz w:val="16"/>
                <w:szCs w:val="16"/>
              </w:rPr>
              <w:t xml:space="preserve">Source: </w:t>
            </w:r>
            <w:r w:rsidRPr="001B75C2">
              <w:rPr>
                <w:rFonts w:asciiTheme="minorHAnsi" w:eastAsia="Calibri" w:hAnsiTheme="minorHAnsi" w:cstheme="minorHAnsi"/>
                <w:sz w:val="16"/>
                <w:szCs w:val="16"/>
              </w:rPr>
              <w:t>N</w:t>
            </w:r>
            <w:r w:rsidR="001B75C2">
              <w:rPr>
                <w:rFonts w:asciiTheme="minorHAnsi" w:eastAsia="Calibri" w:hAnsiTheme="minorHAnsi" w:cstheme="minorHAnsi"/>
                <w:sz w:val="16"/>
                <w:szCs w:val="16"/>
              </w:rPr>
              <w:t xml:space="preserve">ational </w:t>
            </w:r>
            <w:r w:rsidRPr="001B75C2">
              <w:rPr>
                <w:rFonts w:asciiTheme="minorHAnsi" w:eastAsia="Calibri" w:hAnsiTheme="minorHAnsi" w:cstheme="minorHAnsi"/>
                <w:sz w:val="16"/>
                <w:szCs w:val="16"/>
              </w:rPr>
              <w:t>T</w:t>
            </w:r>
            <w:r w:rsidR="001B75C2">
              <w:rPr>
                <w:rFonts w:asciiTheme="minorHAnsi" w:eastAsia="Calibri" w:hAnsiTheme="minorHAnsi" w:cstheme="minorHAnsi"/>
                <w:sz w:val="16"/>
                <w:szCs w:val="16"/>
              </w:rPr>
              <w:t xml:space="preserve">B </w:t>
            </w:r>
            <w:r w:rsidRPr="001B75C2">
              <w:rPr>
                <w:rFonts w:asciiTheme="minorHAnsi" w:eastAsia="Calibri" w:hAnsiTheme="minorHAnsi" w:cstheme="minorHAnsi"/>
                <w:sz w:val="16"/>
                <w:szCs w:val="16"/>
              </w:rPr>
              <w:t>P</w:t>
            </w:r>
            <w:r w:rsidR="001B75C2">
              <w:rPr>
                <w:rFonts w:asciiTheme="minorHAnsi" w:eastAsia="Calibri" w:hAnsiTheme="minorHAnsi" w:cstheme="minorHAnsi"/>
                <w:sz w:val="16"/>
                <w:szCs w:val="16"/>
              </w:rPr>
              <w:t>rogram</w:t>
            </w:r>
            <w:r w:rsidR="00C91550">
              <w:rPr>
                <w:rFonts w:asciiTheme="minorHAnsi" w:eastAsia="Calibri" w:hAnsiTheme="minorHAnsi" w:cstheme="minorHAnsi"/>
                <w:sz w:val="16"/>
                <w:szCs w:val="16"/>
              </w:rPr>
              <w:t>.</w:t>
            </w:r>
          </w:p>
          <w:p w14:paraId="66B28F79" w14:textId="1C39F9D7" w:rsidR="00C91550" w:rsidRDefault="00E35845" w:rsidP="00C91550">
            <w:pPr>
              <w:spacing w:after="0" w:line="240" w:lineRule="auto"/>
              <w:jc w:val="both"/>
              <w:textAlignment w:val="baseline"/>
              <w:rPr>
                <w:rFonts w:asciiTheme="majorHAnsi" w:eastAsia="Times New Roman" w:hAnsiTheme="majorHAnsi" w:cstheme="majorHAnsi"/>
                <w:bdr w:val="none" w:sz="0" w:space="0" w:color="auto" w:frame="1"/>
              </w:rPr>
            </w:pPr>
            <w:r>
              <w:rPr>
                <w:rFonts w:cs="Arial"/>
              </w:rPr>
              <w:t>The country has</w:t>
            </w:r>
            <w:r w:rsidR="00BF576B" w:rsidRPr="00447915">
              <w:rPr>
                <w:rFonts w:cs="Arial"/>
              </w:rPr>
              <w:t xml:space="preserve"> an established system of internal and external quality control for molecular a</w:t>
            </w:r>
            <w:r w:rsidR="00BB316B">
              <w:rPr>
                <w:rFonts w:cs="Arial"/>
              </w:rPr>
              <w:t xml:space="preserve">nd phenotypic DST with SRL </w:t>
            </w:r>
            <w:r w:rsidR="00FE3051">
              <w:rPr>
                <w:rFonts w:cs="Arial"/>
              </w:rPr>
              <w:t xml:space="preserve">in </w:t>
            </w:r>
            <w:r w:rsidR="00BB316B">
              <w:rPr>
                <w:rFonts w:cs="Arial"/>
              </w:rPr>
              <w:t>Gauti</w:t>
            </w:r>
            <w:r w:rsidR="00BF576B" w:rsidRPr="00447915">
              <w:rPr>
                <w:rFonts w:cs="Arial"/>
              </w:rPr>
              <w:t>ng, Germany. In 2020 the NRL successfully passed ext</w:t>
            </w:r>
            <w:r w:rsidR="00447915" w:rsidRPr="00447915">
              <w:rPr>
                <w:rFonts w:cs="Arial"/>
              </w:rPr>
              <w:t>ernal quality assurance (EQA) of DST for</w:t>
            </w:r>
            <w:r w:rsidR="00BF576B" w:rsidRPr="00447915">
              <w:rPr>
                <w:rFonts w:cs="Arial"/>
              </w:rPr>
              <w:t xml:space="preserve"> first line </w:t>
            </w:r>
            <w:r w:rsidR="00447915" w:rsidRPr="00447915">
              <w:rPr>
                <w:rFonts w:cs="Arial"/>
              </w:rPr>
              <w:t xml:space="preserve">anti-TB </w:t>
            </w:r>
            <w:r w:rsidR="00BF576B" w:rsidRPr="00E35845">
              <w:rPr>
                <w:rFonts w:asciiTheme="majorHAnsi" w:hAnsiTheme="majorHAnsi" w:cstheme="majorHAnsi"/>
              </w:rPr>
              <w:t>drugs, levofloxa</w:t>
            </w:r>
            <w:r w:rsidR="00BB316B">
              <w:rPr>
                <w:rFonts w:asciiTheme="majorHAnsi" w:hAnsiTheme="majorHAnsi" w:cstheme="majorHAnsi"/>
              </w:rPr>
              <w:t>cin, moxifloxacin, amikacin, linezolid</w:t>
            </w:r>
            <w:r w:rsidR="00BF576B" w:rsidRPr="00E35845">
              <w:rPr>
                <w:rFonts w:asciiTheme="majorHAnsi" w:hAnsiTheme="majorHAnsi" w:cstheme="majorHAnsi"/>
              </w:rPr>
              <w:t xml:space="preserve">, and MTBDRplus/SL. </w:t>
            </w:r>
            <w:r w:rsidRPr="00E35845">
              <w:rPr>
                <w:rFonts w:asciiTheme="majorHAnsi" w:hAnsiTheme="majorHAnsi" w:cstheme="majorHAnsi"/>
              </w:rPr>
              <w:t>The NTP plans</w:t>
            </w:r>
            <w:r w:rsidR="00CC58F4" w:rsidRPr="00E35845">
              <w:rPr>
                <w:rFonts w:asciiTheme="majorHAnsi" w:hAnsiTheme="majorHAnsi" w:cstheme="majorHAnsi"/>
              </w:rPr>
              <w:t xml:space="preserve"> to initiate </w:t>
            </w:r>
            <w:r w:rsidR="00FE3051">
              <w:rPr>
                <w:rFonts w:asciiTheme="majorHAnsi" w:hAnsiTheme="majorHAnsi" w:cstheme="majorHAnsi"/>
              </w:rPr>
              <w:t xml:space="preserve">the </w:t>
            </w:r>
            <w:r w:rsidR="00CC58F4" w:rsidRPr="00E35845">
              <w:rPr>
                <w:rFonts w:asciiTheme="majorHAnsi" w:hAnsiTheme="majorHAnsi" w:cstheme="majorHAnsi"/>
              </w:rPr>
              <w:t xml:space="preserve">EQA for DST to Cfz, Bdq, and Dlm, when the </w:t>
            </w:r>
            <w:r w:rsidR="00D00F64" w:rsidRPr="00E35845">
              <w:rPr>
                <w:rFonts w:asciiTheme="majorHAnsi" w:hAnsiTheme="majorHAnsi" w:cstheme="majorHAnsi"/>
              </w:rPr>
              <w:t>pure substances for</w:t>
            </w:r>
            <w:r w:rsidR="00BE7AFE" w:rsidRPr="00E35845">
              <w:rPr>
                <w:rFonts w:asciiTheme="majorHAnsi" w:hAnsiTheme="majorHAnsi" w:cstheme="majorHAnsi"/>
              </w:rPr>
              <w:t xml:space="preserve"> </w:t>
            </w:r>
            <w:r w:rsidR="00CC58F4" w:rsidRPr="00E35845">
              <w:rPr>
                <w:rFonts w:asciiTheme="majorHAnsi" w:hAnsiTheme="majorHAnsi" w:cstheme="majorHAnsi"/>
              </w:rPr>
              <w:t xml:space="preserve">new drugs </w:t>
            </w:r>
            <w:r w:rsidR="00BE7AFE" w:rsidRPr="00E35845">
              <w:rPr>
                <w:rFonts w:asciiTheme="majorHAnsi" w:hAnsiTheme="majorHAnsi" w:cstheme="majorHAnsi"/>
              </w:rPr>
              <w:t>be</w:t>
            </w:r>
            <w:r w:rsidRPr="00E35845">
              <w:rPr>
                <w:rFonts w:asciiTheme="majorHAnsi" w:hAnsiTheme="majorHAnsi" w:cstheme="majorHAnsi"/>
              </w:rPr>
              <w:t>come</w:t>
            </w:r>
            <w:r w:rsidR="00BE7AFE" w:rsidRPr="00E35845">
              <w:rPr>
                <w:rFonts w:asciiTheme="majorHAnsi" w:hAnsiTheme="majorHAnsi" w:cstheme="majorHAnsi"/>
              </w:rPr>
              <w:t xml:space="preserve"> available.</w:t>
            </w:r>
            <w:r w:rsidR="00BF576B" w:rsidRPr="00E35845">
              <w:rPr>
                <w:rFonts w:asciiTheme="majorHAnsi" w:hAnsiTheme="majorHAnsi" w:cstheme="majorHAnsi"/>
              </w:rPr>
              <w:t xml:space="preserve"> </w:t>
            </w:r>
            <w:r w:rsidRPr="00E35845">
              <w:rPr>
                <w:rFonts w:asciiTheme="majorHAnsi" w:eastAsia="Times New Roman" w:hAnsiTheme="majorHAnsi" w:cstheme="majorHAnsi"/>
                <w:bdr w:val="none" w:sz="0" w:space="0" w:color="auto" w:frame="1"/>
              </w:rPr>
              <w:t xml:space="preserve">Currently, the USAID-funded project- Eliminating Tuberculosis in Central Asia (ETICA) </w:t>
            </w:r>
            <w:r w:rsidR="00F8555A">
              <w:rPr>
                <w:rFonts w:asciiTheme="majorHAnsi" w:eastAsia="Times New Roman" w:hAnsiTheme="majorHAnsi" w:cstheme="majorHAnsi"/>
                <w:bdr w:val="none" w:sz="0" w:space="0" w:color="auto" w:frame="1"/>
              </w:rPr>
              <w:t>supports</w:t>
            </w:r>
            <w:r w:rsidRPr="00E35845">
              <w:rPr>
                <w:rFonts w:asciiTheme="majorHAnsi" w:eastAsia="Times New Roman" w:hAnsiTheme="majorHAnsi" w:cstheme="majorHAnsi"/>
                <w:bdr w:val="none" w:sz="0" w:space="0" w:color="auto" w:frame="1"/>
              </w:rPr>
              <w:t xml:space="preserve"> the country to strengthen the laboratory sy</w:t>
            </w:r>
            <w:r w:rsidR="00200578">
              <w:rPr>
                <w:rFonts w:asciiTheme="majorHAnsi" w:eastAsia="Times New Roman" w:hAnsiTheme="majorHAnsi" w:cstheme="majorHAnsi"/>
                <w:bdr w:val="none" w:sz="0" w:space="0" w:color="auto" w:frame="1"/>
              </w:rPr>
              <w:t>stem, including quality control</w:t>
            </w:r>
            <w:r w:rsidRPr="00E35845">
              <w:rPr>
                <w:rFonts w:asciiTheme="majorHAnsi" w:eastAsia="Times New Roman" w:hAnsiTheme="majorHAnsi" w:cstheme="majorHAnsi"/>
                <w:bdr w:val="none" w:sz="0" w:space="0" w:color="auto" w:frame="1"/>
              </w:rPr>
              <w:t xml:space="preserve"> and prepare</w:t>
            </w:r>
            <w:r w:rsidR="00F8555A">
              <w:rPr>
                <w:rFonts w:asciiTheme="majorHAnsi" w:eastAsia="Times New Roman" w:hAnsiTheme="majorHAnsi" w:cstheme="majorHAnsi"/>
                <w:bdr w:val="none" w:sz="0" w:space="0" w:color="auto" w:frame="1"/>
              </w:rPr>
              <w:t>s NRL</w:t>
            </w:r>
            <w:r w:rsidRPr="00E35845">
              <w:rPr>
                <w:rFonts w:asciiTheme="majorHAnsi" w:eastAsia="Times New Roman" w:hAnsiTheme="majorHAnsi" w:cstheme="majorHAnsi"/>
                <w:bdr w:val="none" w:sz="0" w:space="0" w:color="auto" w:frame="1"/>
              </w:rPr>
              <w:t xml:space="preserve"> for ISO accreditation</w:t>
            </w:r>
            <w:r w:rsidR="00F8555A">
              <w:rPr>
                <w:rFonts w:asciiTheme="majorHAnsi" w:eastAsia="Times New Roman" w:hAnsiTheme="majorHAnsi" w:cstheme="majorHAnsi"/>
                <w:bdr w:val="none" w:sz="0" w:space="0" w:color="auto" w:frame="1"/>
              </w:rPr>
              <w:t xml:space="preserve"> by</w:t>
            </w:r>
            <w:r w:rsidRPr="00E35845">
              <w:rPr>
                <w:rFonts w:asciiTheme="majorHAnsi" w:eastAsia="Times New Roman" w:hAnsiTheme="majorHAnsi" w:cstheme="majorHAnsi"/>
                <w:bdr w:val="none" w:sz="0" w:space="0" w:color="auto" w:frame="1"/>
              </w:rPr>
              <w:t xml:space="preserve"> acknowledging 85% readines</w:t>
            </w:r>
            <w:r w:rsidR="00200578">
              <w:rPr>
                <w:rFonts w:asciiTheme="majorHAnsi" w:eastAsia="Times New Roman" w:hAnsiTheme="majorHAnsi" w:cstheme="majorHAnsi"/>
                <w:bdr w:val="none" w:sz="0" w:space="0" w:color="auto" w:frame="1"/>
              </w:rPr>
              <w:t>s of</w:t>
            </w:r>
            <w:r>
              <w:rPr>
                <w:rFonts w:asciiTheme="majorHAnsi" w:eastAsia="Times New Roman" w:hAnsiTheme="majorHAnsi" w:cstheme="majorHAnsi"/>
                <w:bdr w:val="none" w:sz="0" w:space="0" w:color="auto" w:frame="1"/>
              </w:rPr>
              <w:t xml:space="preserve"> the NRL in September 2021.</w:t>
            </w:r>
          </w:p>
          <w:p w14:paraId="74D59FA8" w14:textId="6FB9AE15" w:rsidR="00200578" w:rsidRPr="006C49B1" w:rsidRDefault="00200578" w:rsidP="00200578">
            <w:pPr>
              <w:spacing w:before="120" w:line="240" w:lineRule="auto"/>
              <w:rPr>
                <w:rFonts w:ascii="Times" w:eastAsia="Times New Roman" w:hAnsi="Times" w:cs="Times New Roman"/>
                <w:i/>
              </w:rPr>
            </w:pPr>
            <w:r w:rsidRPr="006C49B1">
              <w:rPr>
                <w:rFonts w:eastAsia="Times New Roman" w:cs="Arial"/>
                <w:i/>
                <w:color w:val="202124"/>
                <w:shd w:val="clear" w:color="auto" w:fill="FFFFFF"/>
              </w:rPr>
              <w:t>Whole-genome sequencing (WGS)</w:t>
            </w:r>
          </w:p>
          <w:p w14:paraId="1683778B" w14:textId="5696EDF3" w:rsidR="00BE504C" w:rsidRDefault="00200578" w:rsidP="00C91550">
            <w:pPr>
              <w:spacing w:after="0" w:line="240" w:lineRule="auto"/>
              <w:jc w:val="both"/>
              <w:rPr>
                <w:rFonts w:cs="Arial"/>
              </w:rPr>
            </w:pPr>
            <w:r>
              <w:rPr>
                <w:rFonts w:cs="Arial"/>
              </w:rPr>
              <w:t>The</w:t>
            </w:r>
            <w:r w:rsidR="00F12B98">
              <w:rPr>
                <w:rFonts w:cs="Arial"/>
              </w:rPr>
              <w:t xml:space="preserve"> GF/PIU and USAID/</w:t>
            </w:r>
            <w:r w:rsidR="00BE504C" w:rsidRPr="00BE504C">
              <w:rPr>
                <w:rFonts w:cs="Arial"/>
              </w:rPr>
              <w:t xml:space="preserve">ETICA projects support the introduction of </w:t>
            </w:r>
            <w:r>
              <w:rPr>
                <w:rFonts w:cs="Arial"/>
              </w:rPr>
              <w:t>WGS</w:t>
            </w:r>
            <w:r w:rsidR="00EC68A1">
              <w:rPr>
                <w:rFonts w:cs="Arial"/>
              </w:rPr>
              <w:t xml:space="preserve"> in the country. P</w:t>
            </w:r>
            <w:r w:rsidR="00BE504C" w:rsidRPr="00BE504C">
              <w:rPr>
                <w:rFonts w:cs="Arial"/>
              </w:rPr>
              <w:t>articularly</w:t>
            </w:r>
            <w:r w:rsidR="00EC68A1">
              <w:rPr>
                <w:rFonts w:cs="Arial"/>
              </w:rPr>
              <w:t>,</w:t>
            </w:r>
            <w:r w:rsidR="00BE504C" w:rsidRPr="00BE504C">
              <w:rPr>
                <w:rFonts w:cs="Arial"/>
              </w:rPr>
              <w:t xml:space="preserve"> the necessary equipment was procured and installed, the </w:t>
            </w:r>
            <w:r w:rsidR="005008F0">
              <w:rPr>
                <w:rFonts w:cs="Arial"/>
              </w:rPr>
              <w:t xml:space="preserve">relevant </w:t>
            </w:r>
            <w:r w:rsidR="00BE504C" w:rsidRPr="00BE504C">
              <w:rPr>
                <w:rFonts w:cs="Arial"/>
              </w:rPr>
              <w:t>training</w:t>
            </w:r>
            <w:r w:rsidR="005008F0">
              <w:rPr>
                <w:rFonts w:cs="Arial"/>
              </w:rPr>
              <w:t xml:space="preserve">s for laboratory </w:t>
            </w:r>
            <w:r w:rsidR="00BE504C" w:rsidRPr="00BE504C">
              <w:rPr>
                <w:rFonts w:cs="Arial"/>
              </w:rPr>
              <w:t>staff performed, including</w:t>
            </w:r>
            <w:r w:rsidR="005008F0">
              <w:rPr>
                <w:rFonts w:cs="Arial"/>
              </w:rPr>
              <w:t xml:space="preserve"> those conducted </w:t>
            </w:r>
            <w:proofErr w:type="gramStart"/>
            <w:r w:rsidR="005008F0">
              <w:rPr>
                <w:rFonts w:cs="Arial"/>
              </w:rPr>
              <w:t>on the basis of</w:t>
            </w:r>
            <w:proofErr w:type="gramEnd"/>
            <w:r w:rsidR="00BE504C" w:rsidRPr="00BE504C">
              <w:rPr>
                <w:rFonts w:cs="Arial"/>
              </w:rPr>
              <w:t xml:space="preserve"> </w:t>
            </w:r>
            <w:r w:rsidR="00BB316B">
              <w:rPr>
                <w:rFonts w:cs="Arial"/>
              </w:rPr>
              <w:t>SRL Gauti</w:t>
            </w:r>
            <w:r w:rsidR="005008F0">
              <w:rPr>
                <w:rFonts w:cs="Arial"/>
              </w:rPr>
              <w:t>ng in</w:t>
            </w:r>
            <w:r w:rsidR="00EC68A1">
              <w:rPr>
                <w:rFonts w:cs="Arial"/>
              </w:rPr>
              <w:t xml:space="preserve"> Germany</w:t>
            </w:r>
            <w:r w:rsidR="005008F0">
              <w:rPr>
                <w:rFonts w:cs="Arial"/>
              </w:rPr>
              <w:t xml:space="preserve">, </w:t>
            </w:r>
            <w:r w:rsidR="00BE504C" w:rsidRPr="00BE504C">
              <w:rPr>
                <w:rFonts w:cs="Arial"/>
              </w:rPr>
              <w:t xml:space="preserve">and first investigations have been </w:t>
            </w:r>
            <w:r w:rsidR="00293DAE">
              <w:rPr>
                <w:rFonts w:cs="Arial"/>
              </w:rPr>
              <w:t>released</w:t>
            </w:r>
            <w:r>
              <w:rPr>
                <w:rFonts w:cs="Arial"/>
              </w:rPr>
              <w:t xml:space="preserve"> recently.</w:t>
            </w:r>
          </w:p>
          <w:p w14:paraId="42BF0790" w14:textId="014A1647" w:rsidR="008F63ED" w:rsidRPr="008F63ED" w:rsidRDefault="008F63ED" w:rsidP="005E1866">
            <w:pPr>
              <w:spacing w:before="240" w:line="240" w:lineRule="auto"/>
              <w:jc w:val="both"/>
              <w:rPr>
                <w:rFonts w:cs="Arial"/>
                <w:b/>
              </w:rPr>
            </w:pPr>
            <w:r w:rsidRPr="008F63ED">
              <w:rPr>
                <w:rFonts w:cs="Arial"/>
                <w:b/>
              </w:rPr>
              <w:t>Treatment outcomes</w:t>
            </w:r>
          </w:p>
          <w:p w14:paraId="2EDFCA31" w14:textId="3F021323" w:rsidR="00BF576B" w:rsidRDefault="00BF576B" w:rsidP="0097126C">
            <w:pPr>
              <w:spacing w:after="0" w:line="240" w:lineRule="auto"/>
              <w:jc w:val="both"/>
              <w:rPr>
                <w:rFonts w:cs="Arial"/>
                <w:szCs w:val="20"/>
              </w:rPr>
            </w:pPr>
            <w:r w:rsidRPr="00765FE9">
              <w:rPr>
                <w:rFonts w:cs="Arial"/>
                <w:szCs w:val="20"/>
              </w:rPr>
              <w:t xml:space="preserve">The treatment results </w:t>
            </w:r>
            <w:r w:rsidR="008F63ED" w:rsidRPr="00765FE9">
              <w:rPr>
                <w:rFonts w:cs="Arial"/>
                <w:szCs w:val="20"/>
              </w:rPr>
              <w:t xml:space="preserve">were analyzed among all cases of TB during 2016-2019. </w:t>
            </w:r>
            <w:r w:rsidR="00765FE9" w:rsidRPr="00765FE9">
              <w:rPr>
                <w:rFonts w:cs="Arial"/>
                <w:szCs w:val="20"/>
              </w:rPr>
              <w:t>The proportion of successfully treated cases among DS and DR-TB patients is</w:t>
            </w:r>
            <w:r w:rsidRPr="00765FE9">
              <w:rPr>
                <w:rFonts w:cs="Arial"/>
                <w:szCs w:val="20"/>
              </w:rPr>
              <w:t xml:space="preserve"> </w:t>
            </w:r>
            <w:r w:rsidR="00765FE9" w:rsidRPr="00765FE9">
              <w:rPr>
                <w:rFonts w:cs="Arial"/>
                <w:szCs w:val="20"/>
              </w:rPr>
              <w:t xml:space="preserve">relatively </w:t>
            </w:r>
            <w:r w:rsidRPr="00765FE9">
              <w:rPr>
                <w:rFonts w:cs="Arial"/>
                <w:szCs w:val="20"/>
              </w:rPr>
              <w:t>high in Kazakhstan</w:t>
            </w:r>
            <w:r w:rsidR="00765FE9">
              <w:rPr>
                <w:rFonts w:cs="Arial"/>
                <w:szCs w:val="20"/>
              </w:rPr>
              <w:t xml:space="preserve"> </w:t>
            </w:r>
            <w:r w:rsidRPr="00650515">
              <w:rPr>
                <w:rFonts w:cs="Arial"/>
                <w:color w:val="7030A0"/>
                <w:szCs w:val="20"/>
              </w:rPr>
              <w:t>(</w:t>
            </w:r>
            <w:r w:rsidR="001F6FCF">
              <w:rPr>
                <w:rFonts w:cs="Arial"/>
                <w:szCs w:val="20"/>
              </w:rPr>
              <w:t>Figures 29-32</w:t>
            </w:r>
            <w:r w:rsidRPr="005E1866">
              <w:rPr>
                <w:rFonts w:cs="Arial"/>
                <w:szCs w:val="20"/>
              </w:rPr>
              <w:t>).</w:t>
            </w:r>
            <w:r w:rsidRPr="00650515">
              <w:rPr>
                <w:rFonts w:cs="Arial"/>
                <w:color w:val="7030A0"/>
                <w:szCs w:val="20"/>
              </w:rPr>
              <w:t xml:space="preserve"> </w:t>
            </w:r>
            <w:r w:rsidR="0081091F" w:rsidRPr="000E3057">
              <w:rPr>
                <w:rFonts w:cs="Arial"/>
                <w:szCs w:val="20"/>
              </w:rPr>
              <w:t xml:space="preserve">The </w:t>
            </w:r>
            <w:r w:rsidR="0081091F" w:rsidRPr="00223E60">
              <w:rPr>
                <w:rFonts w:cs="Arial"/>
                <w:szCs w:val="20"/>
              </w:rPr>
              <w:t>success rate for new and relapse drug-susceptible TB cases are maintained at 90-91% during 2017-2019. At the same time, the DR-TB treatment shows good results.</w:t>
            </w:r>
            <w:r w:rsidR="0081091F">
              <w:rPr>
                <w:rFonts w:cs="Arial"/>
                <w:szCs w:val="20"/>
              </w:rPr>
              <w:t xml:space="preserve"> </w:t>
            </w:r>
            <w:r w:rsidR="0081091F" w:rsidRPr="00223E60">
              <w:rPr>
                <w:rFonts w:cs="Arial"/>
                <w:szCs w:val="20"/>
              </w:rPr>
              <w:t>For the 2019 cohort (the latest annual RR/MDR-TB cohort that was evaluated for final treatment outcomes), 94.5% of cases on STR and 78.2% of patients on longer regimens were successfully treated.</w:t>
            </w:r>
          </w:p>
          <w:p w14:paraId="04DDBBD9" w14:textId="77777777" w:rsidR="0097126C" w:rsidRDefault="0097126C" w:rsidP="0097126C">
            <w:pPr>
              <w:spacing w:after="0" w:line="240" w:lineRule="auto"/>
              <w:jc w:val="both"/>
              <w:rPr>
                <w:rFonts w:cs="Arial"/>
                <w:szCs w:val="20"/>
              </w:rPr>
            </w:pPr>
          </w:p>
          <w:p w14:paraId="621AB104" w14:textId="76D9F19C" w:rsidR="00027F53" w:rsidRDefault="00027F53" w:rsidP="0097126C">
            <w:pPr>
              <w:spacing w:after="0" w:line="240" w:lineRule="auto"/>
              <w:jc w:val="both"/>
              <w:rPr>
                <w:rFonts w:cs="Arial"/>
                <w:szCs w:val="20"/>
              </w:rPr>
            </w:pPr>
            <w:r w:rsidRPr="00D94EC0">
              <w:rPr>
                <w:rFonts w:cs="Arial"/>
                <w:szCs w:val="20"/>
              </w:rPr>
              <w:t xml:space="preserve">Given the high and increasing burden of resistance to second-line anti-TB drugs, the NTP, with the support of the USAID and GF, has taken prompt actions to ensure the administration of new drug regimens and implement evidence-based interventions for intensive support and follow-up of DR-TB patients on treatment. The use of the new drug regimens together with Bedaquiline </w:t>
            </w:r>
            <w:r>
              <w:rPr>
                <w:rFonts w:cs="Arial"/>
                <w:szCs w:val="20"/>
              </w:rPr>
              <w:t>(</w:t>
            </w:r>
            <w:r w:rsidRPr="00D94EC0">
              <w:rPr>
                <w:rFonts w:cs="Arial"/>
                <w:szCs w:val="20"/>
              </w:rPr>
              <w:t>Bdq</w:t>
            </w:r>
            <w:r>
              <w:rPr>
                <w:rFonts w:cs="Arial"/>
                <w:szCs w:val="20"/>
              </w:rPr>
              <w:t xml:space="preserve">) and </w:t>
            </w:r>
            <w:r w:rsidRPr="00D94EC0">
              <w:rPr>
                <w:rFonts w:cs="Arial"/>
                <w:szCs w:val="20"/>
              </w:rPr>
              <w:t>Dlm</w:t>
            </w:r>
            <w:r>
              <w:rPr>
                <w:rFonts w:cs="Arial"/>
                <w:szCs w:val="20"/>
              </w:rPr>
              <w:t xml:space="preserve"> </w:t>
            </w:r>
            <w:r w:rsidRPr="00D94EC0">
              <w:rPr>
                <w:rFonts w:cs="Arial"/>
                <w:szCs w:val="20"/>
              </w:rPr>
              <w:t xml:space="preserve">started in 2016 under </w:t>
            </w:r>
            <w:r>
              <w:rPr>
                <w:rFonts w:cs="Arial"/>
                <w:szCs w:val="20"/>
              </w:rPr>
              <w:t xml:space="preserve">the </w:t>
            </w:r>
            <w:r w:rsidRPr="00D94EC0">
              <w:rPr>
                <w:rFonts w:cs="Arial"/>
                <w:szCs w:val="20"/>
              </w:rPr>
              <w:t>End</w:t>
            </w:r>
            <w:r>
              <w:rPr>
                <w:rFonts w:cs="Arial"/>
                <w:szCs w:val="20"/>
              </w:rPr>
              <w:t xml:space="preserve"> </w:t>
            </w:r>
            <w:r w:rsidRPr="00D94EC0">
              <w:rPr>
                <w:rFonts w:cs="Arial"/>
                <w:szCs w:val="20"/>
              </w:rPr>
              <w:t>TB Project and continued under the GF grants in civilian and penitentiary sectors</w:t>
            </w:r>
            <w:r>
              <w:rPr>
                <w:rFonts w:cs="Arial"/>
                <w:szCs w:val="20"/>
              </w:rPr>
              <w:t>. Since 2019 country has procured</w:t>
            </w:r>
            <w:r w:rsidRPr="00D94EC0">
              <w:rPr>
                <w:rFonts w:cs="Arial"/>
                <w:szCs w:val="20"/>
              </w:rPr>
              <w:t xml:space="preserve"> </w:t>
            </w:r>
            <w:r>
              <w:rPr>
                <w:rFonts w:cs="Arial"/>
                <w:szCs w:val="20"/>
              </w:rPr>
              <w:t xml:space="preserve">these </w:t>
            </w:r>
            <w:r w:rsidRPr="00D94EC0">
              <w:rPr>
                <w:rFonts w:cs="Arial"/>
                <w:szCs w:val="20"/>
              </w:rPr>
              <w:t>new drugs (Bdq and Dlm) from government resources using international platforms such as GDF.</w:t>
            </w:r>
          </w:p>
          <w:p w14:paraId="2216F3A5" w14:textId="77777777" w:rsidR="00027F53" w:rsidRDefault="00027F53" w:rsidP="0097126C">
            <w:pPr>
              <w:spacing w:after="0" w:line="240" w:lineRule="auto"/>
              <w:jc w:val="both"/>
              <w:rPr>
                <w:rFonts w:cs="Arial"/>
                <w:szCs w:val="20"/>
              </w:rPr>
            </w:pPr>
          </w:p>
          <w:p w14:paraId="658DD216" w14:textId="77777777" w:rsidR="00027F53" w:rsidRDefault="00027F53" w:rsidP="0097126C">
            <w:pPr>
              <w:spacing w:after="0" w:line="240" w:lineRule="auto"/>
              <w:jc w:val="both"/>
              <w:rPr>
                <w:rFonts w:cs="Arial"/>
                <w:szCs w:val="20"/>
              </w:rPr>
            </w:pPr>
          </w:p>
          <w:p w14:paraId="0CC18B55" w14:textId="77777777" w:rsidR="00027F53" w:rsidRDefault="00027F53" w:rsidP="0097126C">
            <w:pPr>
              <w:spacing w:after="0" w:line="240" w:lineRule="auto"/>
              <w:jc w:val="both"/>
              <w:rPr>
                <w:rFonts w:cs="Arial"/>
                <w:szCs w:val="20"/>
              </w:rPr>
            </w:pPr>
          </w:p>
          <w:p w14:paraId="780B0096" w14:textId="77777777" w:rsidR="00027F53" w:rsidRDefault="00027F53" w:rsidP="0097126C">
            <w:pPr>
              <w:spacing w:after="0" w:line="240" w:lineRule="auto"/>
              <w:jc w:val="both"/>
              <w:rPr>
                <w:rFonts w:cs="Arial"/>
                <w:szCs w:val="20"/>
              </w:rPr>
            </w:pPr>
          </w:p>
          <w:p w14:paraId="592269FC" w14:textId="77777777" w:rsidR="00027F53" w:rsidRDefault="00027F53" w:rsidP="0097126C">
            <w:pPr>
              <w:spacing w:after="0" w:line="240" w:lineRule="auto"/>
              <w:jc w:val="both"/>
              <w:rPr>
                <w:rFonts w:cs="Arial"/>
                <w:szCs w:val="20"/>
              </w:rPr>
            </w:pPr>
          </w:p>
          <w:p w14:paraId="3505D892" w14:textId="77777777" w:rsidR="00027F53" w:rsidRDefault="00027F53" w:rsidP="0097126C">
            <w:pPr>
              <w:spacing w:after="0" w:line="240" w:lineRule="auto"/>
              <w:jc w:val="both"/>
              <w:rPr>
                <w:rFonts w:cs="Arial"/>
                <w:szCs w:val="20"/>
              </w:rPr>
            </w:pPr>
          </w:p>
          <w:p w14:paraId="3C522504" w14:textId="77777777" w:rsidR="00027F53" w:rsidRDefault="00027F53" w:rsidP="0097126C">
            <w:pPr>
              <w:spacing w:after="0" w:line="240" w:lineRule="auto"/>
              <w:jc w:val="both"/>
              <w:rPr>
                <w:rFonts w:cs="Arial"/>
                <w:szCs w:val="20"/>
              </w:rPr>
            </w:pPr>
          </w:p>
          <w:p w14:paraId="3662EB56" w14:textId="77777777" w:rsidR="00027F53" w:rsidRDefault="00027F53" w:rsidP="0097126C">
            <w:pPr>
              <w:spacing w:after="0" w:line="240" w:lineRule="auto"/>
              <w:jc w:val="both"/>
              <w:rPr>
                <w:rFonts w:cs="Arial"/>
                <w:szCs w:val="20"/>
              </w:rPr>
            </w:pPr>
          </w:p>
          <w:p w14:paraId="0BEB16C4" w14:textId="77777777" w:rsidR="00027F53" w:rsidRPr="00D94EC0" w:rsidRDefault="00027F53" w:rsidP="0097126C">
            <w:pPr>
              <w:spacing w:after="0" w:line="240" w:lineRule="auto"/>
              <w:jc w:val="both"/>
              <w:rPr>
                <w:rFonts w:cs="Arial"/>
                <w:szCs w:val="20"/>
              </w:rPr>
            </w:pPr>
          </w:p>
          <w:tbl>
            <w:tblPr>
              <w:tblStyle w:val="aa"/>
              <w:tblW w:w="10230" w:type="dxa"/>
              <w:tblLayout w:type="fixed"/>
              <w:tblLook w:val="04A0" w:firstRow="1" w:lastRow="0" w:firstColumn="1" w:lastColumn="0" w:noHBand="0" w:noVBand="1"/>
            </w:tblPr>
            <w:tblGrid>
              <w:gridCol w:w="5115"/>
              <w:gridCol w:w="5115"/>
            </w:tblGrid>
            <w:tr w:rsidR="00BF576B" w:rsidRPr="007323C5" w14:paraId="51B2B30F" w14:textId="77777777" w:rsidTr="00B45F46">
              <w:tc>
                <w:tcPr>
                  <w:tcW w:w="5115" w:type="dxa"/>
                </w:tcPr>
                <w:p w14:paraId="5A5C8DDE" w14:textId="0C41EC4F" w:rsidR="00BF576B" w:rsidRPr="005008F0" w:rsidRDefault="00851347" w:rsidP="00B45F46">
                  <w:pPr>
                    <w:rPr>
                      <w:rFonts w:asciiTheme="minorHAnsi" w:hAnsiTheme="minorHAnsi" w:cstheme="minorHAnsi"/>
                      <w:b/>
                      <w:sz w:val="20"/>
                      <w:szCs w:val="20"/>
                    </w:rPr>
                  </w:pPr>
                  <w:r>
                    <w:rPr>
                      <w:rFonts w:asciiTheme="minorHAnsi" w:hAnsiTheme="minorHAnsi" w:cstheme="minorHAnsi"/>
                      <w:b/>
                      <w:sz w:val="20"/>
                      <w:szCs w:val="20"/>
                    </w:rPr>
                    <w:t>Figure 29</w:t>
                  </w:r>
                  <w:r w:rsidR="00BF576B" w:rsidRPr="00851347">
                    <w:rPr>
                      <w:rFonts w:asciiTheme="minorHAnsi" w:hAnsiTheme="minorHAnsi" w:cstheme="minorHAnsi"/>
                      <w:b/>
                      <w:sz w:val="20"/>
                      <w:szCs w:val="20"/>
                    </w:rPr>
                    <w:t>.</w:t>
                  </w:r>
                  <w:r w:rsidR="000E3057">
                    <w:rPr>
                      <w:rFonts w:asciiTheme="minorHAnsi" w:hAnsiTheme="minorHAnsi" w:cstheme="minorHAnsi"/>
                      <w:b/>
                      <w:sz w:val="20"/>
                      <w:szCs w:val="20"/>
                    </w:rPr>
                    <w:t xml:space="preserve"> Treatment outcomes</w:t>
                  </w:r>
                  <w:r w:rsidR="00BF576B" w:rsidRPr="005008F0">
                    <w:rPr>
                      <w:rFonts w:asciiTheme="minorHAnsi" w:hAnsiTheme="minorHAnsi" w:cstheme="minorHAnsi"/>
                      <w:b/>
                      <w:sz w:val="20"/>
                      <w:szCs w:val="20"/>
                    </w:rPr>
                    <w:t xml:space="preserve"> of the n</w:t>
                  </w:r>
                  <w:r w:rsidR="005008F0">
                    <w:rPr>
                      <w:rFonts w:asciiTheme="minorHAnsi" w:hAnsiTheme="minorHAnsi" w:cstheme="minorHAnsi"/>
                      <w:b/>
                      <w:sz w:val="20"/>
                      <w:szCs w:val="20"/>
                    </w:rPr>
                    <w:t>ew cases and relapse TB cases in Kazakhstan,</w:t>
                  </w:r>
                  <w:r w:rsidR="00BF576B" w:rsidRPr="005008F0">
                    <w:rPr>
                      <w:rFonts w:asciiTheme="minorHAnsi" w:hAnsiTheme="minorHAnsi" w:cstheme="minorHAnsi"/>
                      <w:b/>
                      <w:sz w:val="20"/>
                      <w:szCs w:val="20"/>
                    </w:rPr>
                    <w:t xml:space="preserve"> 2016-2019</w:t>
                  </w:r>
                </w:p>
              </w:tc>
              <w:tc>
                <w:tcPr>
                  <w:tcW w:w="5115" w:type="dxa"/>
                </w:tcPr>
                <w:p w14:paraId="2BBB7636" w14:textId="538FD820" w:rsidR="00BF576B" w:rsidRPr="005008F0" w:rsidRDefault="00851347" w:rsidP="005008F0">
                  <w:pPr>
                    <w:spacing w:after="0" w:line="240" w:lineRule="auto"/>
                    <w:rPr>
                      <w:rFonts w:asciiTheme="minorHAnsi" w:hAnsiTheme="minorHAnsi" w:cstheme="minorHAnsi"/>
                      <w:b/>
                      <w:sz w:val="20"/>
                      <w:szCs w:val="20"/>
                    </w:rPr>
                  </w:pPr>
                  <w:r>
                    <w:rPr>
                      <w:rFonts w:asciiTheme="minorHAnsi" w:hAnsiTheme="minorHAnsi" w:cstheme="minorHAnsi"/>
                      <w:b/>
                      <w:sz w:val="20"/>
                      <w:szCs w:val="20"/>
                    </w:rPr>
                    <w:t>Figure 30</w:t>
                  </w:r>
                  <w:r w:rsidR="00427B78">
                    <w:rPr>
                      <w:rFonts w:asciiTheme="minorHAnsi" w:hAnsiTheme="minorHAnsi" w:cstheme="minorHAnsi"/>
                      <w:b/>
                      <w:sz w:val="20"/>
                      <w:szCs w:val="20"/>
                    </w:rPr>
                    <w:t>. T</w:t>
                  </w:r>
                  <w:r w:rsidR="00BF576B" w:rsidRPr="00851347">
                    <w:rPr>
                      <w:rFonts w:asciiTheme="minorHAnsi" w:hAnsiTheme="minorHAnsi" w:cstheme="minorHAnsi"/>
                      <w:b/>
                      <w:bCs/>
                      <w:sz w:val="20"/>
                      <w:szCs w:val="20"/>
                    </w:rPr>
                    <w:t xml:space="preserve">reatment </w:t>
                  </w:r>
                  <w:r w:rsidR="00427B78">
                    <w:rPr>
                      <w:rFonts w:asciiTheme="minorHAnsi" w:hAnsiTheme="minorHAnsi" w:cstheme="minorHAnsi"/>
                      <w:b/>
                      <w:bCs/>
                      <w:sz w:val="20"/>
                      <w:szCs w:val="20"/>
                    </w:rPr>
                    <w:t xml:space="preserve">outcomes </w:t>
                  </w:r>
                  <w:r w:rsidR="005008F0" w:rsidRPr="00851347">
                    <w:rPr>
                      <w:b/>
                    </w:rPr>
                    <w:t xml:space="preserve">of </w:t>
                  </w:r>
                  <w:r w:rsidR="00427B78">
                    <w:rPr>
                      <w:b/>
                    </w:rPr>
                    <w:t xml:space="preserve">retreated </w:t>
                  </w:r>
                  <w:r w:rsidR="005008F0" w:rsidRPr="00851347">
                    <w:rPr>
                      <w:rFonts w:asciiTheme="minorHAnsi" w:hAnsiTheme="minorHAnsi" w:cstheme="minorHAnsi"/>
                      <w:b/>
                      <w:bCs/>
                      <w:sz w:val="20"/>
                      <w:szCs w:val="20"/>
                    </w:rPr>
                    <w:t xml:space="preserve">TB </w:t>
                  </w:r>
                  <w:r w:rsidR="00BF576B" w:rsidRPr="00851347">
                    <w:rPr>
                      <w:rFonts w:asciiTheme="minorHAnsi" w:hAnsiTheme="minorHAnsi" w:cstheme="minorHAnsi"/>
                      <w:b/>
                      <w:bCs/>
                      <w:sz w:val="20"/>
                      <w:szCs w:val="20"/>
                    </w:rPr>
                    <w:t>cases</w:t>
                  </w:r>
                  <w:r w:rsidR="005008F0" w:rsidRPr="00851347">
                    <w:rPr>
                      <w:rFonts w:asciiTheme="minorHAnsi" w:hAnsiTheme="minorHAnsi" w:cstheme="minorHAnsi"/>
                      <w:b/>
                      <w:bCs/>
                      <w:sz w:val="20"/>
                      <w:szCs w:val="20"/>
                    </w:rPr>
                    <w:t xml:space="preserve"> (other than relapses) in</w:t>
                  </w:r>
                  <w:r w:rsidR="005008F0">
                    <w:rPr>
                      <w:rFonts w:asciiTheme="minorHAnsi" w:hAnsiTheme="minorHAnsi" w:cstheme="minorHAnsi"/>
                      <w:b/>
                      <w:bCs/>
                      <w:color w:val="000000"/>
                      <w:sz w:val="20"/>
                      <w:szCs w:val="20"/>
                    </w:rPr>
                    <w:t xml:space="preserve"> </w:t>
                  </w:r>
                  <w:r w:rsidR="00BF576B" w:rsidRPr="005008F0">
                    <w:rPr>
                      <w:rFonts w:asciiTheme="minorHAnsi" w:hAnsiTheme="minorHAnsi" w:cstheme="minorHAnsi"/>
                      <w:b/>
                      <w:bCs/>
                      <w:color w:val="000000"/>
                      <w:sz w:val="20"/>
                      <w:szCs w:val="20"/>
                    </w:rPr>
                    <w:t>Kazakhstan, 2016-2019</w:t>
                  </w:r>
                </w:p>
              </w:tc>
            </w:tr>
            <w:tr w:rsidR="00BF576B" w:rsidRPr="007323C5" w14:paraId="5760E2C7" w14:textId="77777777" w:rsidTr="00427B78">
              <w:trPr>
                <w:trHeight w:val="4511"/>
              </w:trPr>
              <w:tc>
                <w:tcPr>
                  <w:tcW w:w="5115" w:type="dxa"/>
                </w:tcPr>
                <w:p w14:paraId="4F8C1E31" w14:textId="77777777" w:rsidR="00BF576B" w:rsidRPr="007323C5" w:rsidRDefault="00BF576B" w:rsidP="00B45F46">
                  <w:pPr>
                    <w:rPr>
                      <w:rFonts w:cs="Arial"/>
                      <w:i/>
                    </w:rPr>
                  </w:pPr>
                </w:p>
                <w:p w14:paraId="4D6F0C2D" w14:textId="77777777" w:rsidR="00BF576B" w:rsidRPr="007323C5" w:rsidRDefault="00BF576B" w:rsidP="00B45F46">
                  <w:pPr>
                    <w:rPr>
                      <w:rFonts w:cs="Arial"/>
                      <w:i/>
                    </w:rPr>
                  </w:pPr>
                  <w:r w:rsidRPr="007323C5">
                    <w:rPr>
                      <w:i/>
                      <w:noProof/>
                      <w:sz w:val="16"/>
                    </w:rPr>
                    <w:drawing>
                      <wp:inline distT="0" distB="0" distL="0" distR="0" wp14:anchorId="0E450632" wp14:editId="099D8D36">
                        <wp:extent cx="3063240" cy="2593340"/>
                        <wp:effectExtent l="0" t="0" r="35560" b="2286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5115" w:type="dxa"/>
                </w:tcPr>
                <w:p w14:paraId="3832F40A" w14:textId="77777777" w:rsidR="00BF576B" w:rsidRPr="007323C5" w:rsidRDefault="00BF576B" w:rsidP="00B45F46">
                  <w:pPr>
                    <w:rPr>
                      <w:rFonts w:cs="Arial"/>
                      <w:i/>
                    </w:rPr>
                  </w:pPr>
                </w:p>
                <w:p w14:paraId="15C8E75F" w14:textId="77777777" w:rsidR="00BF576B" w:rsidRPr="007323C5" w:rsidRDefault="00BF576B" w:rsidP="00B45F46">
                  <w:pPr>
                    <w:rPr>
                      <w:rFonts w:cs="Arial"/>
                      <w:i/>
                    </w:rPr>
                  </w:pPr>
                  <w:r w:rsidRPr="007323C5">
                    <w:rPr>
                      <w:i/>
                      <w:noProof/>
                    </w:rPr>
                    <w:drawing>
                      <wp:inline distT="0" distB="0" distL="0" distR="0" wp14:anchorId="15ED9668" wp14:editId="3AA10AB0">
                        <wp:extent cx="3089910" cy="2593340"/>
                        <wp:effectExtent l="0" t="0" r="34290" b="2286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BF576B" w:rsidRPr="007323C5" w14:paraId="67AEBFA1" w14:textId="77777777" w:rsidTr="00B45F46">
              <w:tc>
                <w:tcPr>
                  <w:tcW w:w="5115" w:type="dxa"/>
                </w:tcPr>
                <w:p w14:paraId="3AE8E022" w14:textId="209784A3" w:rsidR="00BF576B" w:rsidRPr="006D0D0D" w:rsidRDefault="001F6FCF" w:rsidP="00B45F46">
                  <w:pPr>
                    <w:spacing w:after="0" w:line="240" w:lineRule="auto"/>
                    <w:rPr>
                      <w:rFonts w:cs="Arial"/>
                      <w:b/>
                      <w:i/>
                      <w:sz w:val="20"/>
                      <w:szCs w:val="20"/>
                    </w:rPr>
                  </w:pPr>
                  <w:r>
                    <w:rPr>
                      <w:rFonts w:asciiTheme="minorHAnsi" w:hAnsiTheme="minorHAnsi" w:cstheme="minorHAnsi"/>
                      <w:b/>
                      <w:sz w:val="20"/>
                      <w:szCs w:val="20"/>
                    </w:rPr>
                    <w:t>Figure 31</w:t>
                  </w:r>
                  <w:r w:rsidR="00BF576B" w:rsidRPr="006D0D0D">
                    <w:rPr>
                      <w:rFonts w:asciiTheme="minorHAnsi" w:hAnsiTheme="minorHAnsi" w:cstheme="minorHAnsi"/>
                      <w:b/>
                      <w:sz w:val="20"/>
                      <w:szCs w:val="20"/>
                    </w:rPr>
                    <w:t>.</w:t>
                  </w:r>
                  <w:r w:rsidR="000E3057">
                    <w:rPr>
                      <w:rFonts w:asciiTheme="minorHAnsi" w:hAnsiTheme="minorHAnsi" w:cstheme="minorHAnsi"/>
                      <w:b/>
                      <w:sz w:val="20"/>
                      <w:szCs w:val="20"/>
                    </w:rPr>
                    <w:t xml:space="preserve"> Treatment outcomes</w:t>
                  </w:r>
                  <w:r w:rsidR="006D0D0D">
                    <w:rPr>
                      <w:rFonts w:asciiTheme="minorHAnsi" w:hAnsiTheme="minorHAnsi" w:cstheme="minorHAnsi"/>
                      <w:b/>
                      <w:sz w:val="20"/>
                      <w:szCs w:val="20"/>
                    </w:rPr>
                    <w:t xml:space="preserve"> of RR/MDR-TB</w:t>
                  </w:r>
                  <w:r w:rsidR="00BF576B" w:rsidRPr="006D0D0D">
                    <w:rPr>
                      <w:rFonts w:asciiTheme="minorHAnsi" w:hAnsiTheme="minorHAnsi" w:cstheme="minorHAnsi"/>
                      <w:b/>
                      <w:sz w:val="20"/>
                      <w:szCs w:val="20"/>
                    </w:rPr>
                    <w:t xml:space="preserve"> cases on STR, Kazakhstan, 2018-2019</w:t>
                  </w:r>
                  <w:r w:rsidR="006D0D0D">
                    <w:rPr>
                      <w:rFonts w:asciiTheme="minorHAnsi" w:hAnsiTheme="minorHAnsi" w:cstheme="minorHAnsi"/>
                      <w:b/>
                      <w:sz w:val="20"/>
                      <w:szCs w:val="20"/>
                    </w:rPr>
                    <w:t>.</w:t>
                  </w:r>
                </w:p>
              </w:tc>
              <w:tc>
                <w:tcPr>
                  <w:tcW w:w="5115" w:type="dxa"/>
                </w:tcPr>
                <w:p w14:paraId="12EB4B27" w14:textId="06B6C627" w:rsidR="00BF576B" w:rsidRPr="006D0D0D" w:rsidRDefault="001F6FCF" w:rsidP="00B45F46">
                  <w:pPr>
                    <w:spacing w:after="0" w:line="240" w:lineRule="auto"/>
                    <w:rPr>
                      <w:rFonts w:cs="Arial"/>
                      <w:b/>
                      <w:i/>
                    </w:rPr>
                  </w:pPr>
                  <w:r>
                    <w:rPr>
                      <w:rFonts w:asciiTheme="minorHAnsi" w:hAnsiTheme="minorHAnsi" w:cstheme="minorHAnsi"/>
                      <w:b/>
                      <w:sz w:val="20"/>
                      <w:szCs w:val="20"/>
                    </w:rPr>
                    <w:t>Figure 32</w:t>
                  </w:r>
                  <w:r w:rsidR="00BF576B" w:rsidRPr="006D0D0D">
                    <w:rPr>
                      <w:rFonts w:asciiTheme="minorHAnsi" w:hAnsiTheme="minorHAnsi" w:cstheme="minorHAnsi"/>
                      <w:b/>
                      <w:sz w:val="20"/>
                      <w:szCs w:val="20"/>
                    </w:rPr>
                    <w:t xml:space="preserve">. </w:t>
                  </w:r>
                  <w:r w:rsidR="000E3057">
                    <w:rPr>
                      <w:rFonts w:asciiTheme="minorHAnsi" w:hAnsiTheme="minorHAnsi" w:cstheme="minorHAnsi"/>
                      <w:b/>
                      <w:sz w:val="20"/>
                      <w:szCs w:val="20"/>
                    </w:rPr>
                    <w:t>Treatment outcomes</w:t>
                  </w:r>
                  <w:r w:rsidR="006D0D0D">
                    <w:rPr>
                      <w:rFonts w:asciiTheme="minorHAnsi" w:hAnsiTheme="minorHAnsi" w:cstheme="minorHAnsi"/>
                      <w:b/>
                      <w:sz w:val="20"/>
                      <w:szCs w:val="20"/>
                    </w:rPr>
                    <w:t xml:space="preserve"> of RR/MDR-TB </w:t>
                  </w:r>
                  <w:r w:rsidR="00BF576B" w:rsidRPr="006D0D0D">
                    <w:rPr>
                      <w:rFonts w:asciiTheme="minorHAnsi" w:hAnsiTheme="minorHAnsi" w:cstheme="minorHAnsi"/>
                      <w:b/>
                      <w:sz w:val="20"/>
                      <w:szCs w:val="20"/>
                    </w:rPr>
                    <w:t xml:space="preserve">cases on </w:t>
                  </w:r>
                  <w:r w:rsidR="00A25E4C">
                    <w:rPr>
                      <w:rFonts w:asciiTheme="minorHAnsi" w:hAnsiTheme="minorHAnsi" w:cstheme="minorHAnsi"/>
                      <w:b/>
                      <w:sz w:val="20"/>
                      <w:szCs w:val="20"/>
                    </w:rPr>
                    <w:t>longer</w:t>
                  </w:r>
                  <w:r w:rsidR="00BF576B" w:rsidRPr="006D0D0D">
                    <w:rPr>
                      <w:rFonts w:asciiTheme="minorHAnsi" w:hAnsiTheme="minorHAnsi" w:cstheme="minorHAnsi"/>
                      <w:b/>
                      <w:sz w:val="20"/>
                      <w:szCs w:val="20"/>
                    </w:rPr>
                    <w:t xml:space="preserve"> regimen</w:t>
                  </w:r>
                  <w:r w:rsidR="00A25E4C">
                    <w:rPr>
                      <w:rFonts w:asciiTheme="minorHAnsi" w:hAnsiTheme="minorHAnsi" w:cstheme="minorHAnsi"/>
                      <w:b/>
                      <w:sz w:val="20"/>
                      <w:szCs w:val="20"/>
                    </w:rPr>
                    <w:t>s</w:t>
                  </w:r>
                  <w:r w:rsidR="00BF576B" w:rsidRPr="006D0D0D">
                    <w:rPr>
                      <w:rFonts w:asciiTheme="minorHAnsi" w:hAnsiTheme="minorHAnsi" w:cstheme="minorHAnsi"/>
                      <w:b/>
                      <w:sz w:val="20"/>
                      <w:szCs w:val="20"/>
                    </w:rPr>
                    <w:t>, Kazakhstan, 2016-2018</w:t>
                  </w:r>
                  <w:r w:rsidR="006D0D0D">
                    <w:rPr>
                      <w:rFonts w:asciiTheme="minorHAnsi" w:hAnsiTheme="minorHAnsi" w:cstheme="minorHAnsi"/>
                      <w:b/>
                      <w:sz w:val="20"/>
                      <w:szCs w:val="20"/>
                    </w:rPr>
                    <w:t>.</w:t>
                  </w:r>
                </w:p>
              </w:tc>
            </w:tr>
            <w:tr w:rsidR="00BF576B" w:rsidRPr="007323C5" w14:paraId="456C5083" w14:textId="77777777" w:rsidTr="00427B78">
              <w:trPr>
                <w:trHeight w:val="2684"/>
              </w:trPr>
              <w:tc>
                <w:tcPr>
                  <w:tcW w:w="5115" w:type="dxa"/>
                </w:tcPr>
                <w:p w14:paraId="35FA60A0" w14:textId="77777777" w:rsidR="00BF576B" w:rsidRDefault="00BF576B" w:rsidP="00B45F46">
                  <w:pPr>
                    <w:rPr>
                      <w:rFonts w:cs="Arial"/>
                      <w:i/>
                    </w:rPr>
                  </w:pPr>
                </w:p>
                <w:p w14:paraId="6159AB7F" w14:textId="77777777" w:rsidR="00BF576B" w:rsidRPr="007323C5" w:rsidRDefault="00BF576B" w:rsidP="00B45F46">
                  <w:pPr>
                    <w:rPr>
                      <w:rFonts w:cs="Arial"/>
                      <w:i/>
                    </w:rPr>
                  </w:pPr>
                  <w:r w:rsidRPr="005A75B8">
                    <w:rPr>
                      <w:noProof/>
                      <w:sz w:val="18"/>
                    </w:rPr>
                    <w:drawing>
                      <wp:inline distT="0" distB="0" distL="0" distR="0" wp14:anchorId="316D75C9" wp14:editId="6FCFCE91">
                        <wp:extent cx="2967990" cy="2146300"/>
                        <wp:effectExtent l="0" t="0" r="29210" b="1270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5115" w:type="dxa"/>
                </w:tcPr>
                <w:p w14:paraId="48150B04" w14:textId="77777777" w:rsidR="00BF576B" w:rsidRDefault="00BF576B" w:rsidP="00B45F46">
                  <w:pPr>
                    <w:rPr>
                      <w:rFonts w:cs="Arial"/>
                      <w:i/>
                    </w:rPr>
                  </w:pPr>
                </w:p>
                <w:p w14:paraId="6A547729" w14:textId="77777777" w:rsidR="00BF576B" w:rsidRPr="007323C5" w:rsidRDefault="00BF576B" w:rsidP="00B45F46">
                  <w:pPr>
                    <w:rPr>
                      <w:rFonts w:cs="Arial"/>
                      <w:i/>
                    </w:rPr>
                  </w:pPr>
                  <w:r>
                    <w:rPr>
                      <w:noProof/>
                    </w:rPr>
                    <w:drawing>
                      <wp:inline distT="0" distB="0" distL="0" distR="0" wp14:anchorId="43B800EC" wp14:editId="25300276">
                        <wp:extent cx="3070860" cy="2146300"/>
                        <wp:effectExtent l="0" t="0" r="27940" b="1270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14:paraId="67598BA7" w14:textId="77777777" w:rsidR="00BF576B" w:rsidRDefault="00BF576B" w:rsidP="00BF576B">
            <w:pPr>
              <w:jc w:val="both"/>
              <w:rPr>
                <w:rFonts w:cs="Arial"/>
              </w:rPr>
            </w:pPr>
          </w:p>
          <w:p w14:paraId="2E552924" w14:textId="722FD364" w:rsidR="00D16878" w:rsidRPr="00D16878" w:rsidRDefault="00D16878" w:rsidP="00416877">
            <w:pPr>
              <w:spacing w:before="240" w:line="240" w:lineRule="auto"/>
              <w:rPr>
                <w:rFonts w:cs="Arial"/>
                <w:b/>
              </w:rPr>
            </w:pPr>
            <w:r w:rsidRPr="00D16878">
              <w:rPr>
                <w:rFonts w:cs="Arial"/>
                <w:b/>
              </w:rPr>
              <w:t>Operational research</w:t>
            </w:r>
          </w:p>
          <w:p w14:paraId="6630DD73" w14:textId="77777777" w:rsidR="00FE3051" w:rsidRDefault="004F2CB2" w:rsidP="00FE3051">
            <w:pPr>
              <w:jc w:val="both"/>
              <w:rPr>
                <w:rFonts w:cs="Arial"/>
              </w:rPr>
            </w:pPr>
            <w:r w:rsidRPr="004F2CB2">
              <w:rPr>
                <w:rFonts w:cs="Arial"/>
              </w:rPr>
              <w:t xml:space="preserve">The country participates in </w:t>
            </w:r>
            <w:r w:rsidR="00FE3051">
              <w:rPr>
                <w:rFonts w:cs="Arial"/>
              </w:rPr>
              <w:t xml:space="preserve">the </w:t>
            </w:r>
            <w:r w:rsidRPr="00B61E7C">
              <w:rPr>
                <w:rFonts w:asciiTheme="majorHAnsi" w:hAnsiTheme="majorHAnsi" w:cstheme="majorHAnsi"/>
              </w:rPr>
              <w:t xml:space="preserve">Operational Research (OR), which includes the administration of </w:t>
            </w:r>
            <w:r w:rsidR="007547EF" w:rsidRPr="00B61E7C">
              <w:rPr>
                <w:rFonts w:asciiTheme="majorHAnsi" w:eastAsia="Times New Roman" w:hAnsiTheme="majorHAnsi" w:cstheme="majorHAnsi"/>
                <w:shd w:val="clear" w:color="auto" w:fill="FFFFFF"/>
              </w:rPr>
              <w:t>modified shorter all-oral treatment regimen</w:t>
            </w:r>
            <w:r w:rsidR="007547EF" w:rsidRPr="00B61E7C">
              <w:rPr>
                <w:rFonts w:asciiTheme="majorHAnsi" w:eastAsia="Times New Roman" w:hAnsiTheme="majorHAnsi" w:cstheme="majorHAnsi"/>
              </w:rPr>
              <w:t xml:space="preserve"> </w:t>
            </w:r>
            <w:r w:rsidR="00B61E7C" w:rsidRPr="00B61E7C">
              <w:rPr>
                <w:rFonts w:asciiTheme="majorHAnsi" w:hAnsiTheme="majorHAnsi" w:cstheme="majorHAnsi"/>
              </w:rPr>
              <w:t>for r</w:t>
            </w:r>
            <w:r w:rsidRPr="004F2CB2">
              <w:rPr>
                <w:rFonts w:cs="Arial"/>
              </w:rPr>
              <w:t>ifa</w:t>
            </w:r>
            <w:r w:rsidR="00B61E7C">
              <w:rPr>
                <w:rFonts w:cs="Arial"/>
              </w:rPr>
              <w:t>mpicin-resistant tuberculosis</w:t>
            </w:r>
            <w:r w:rsidR="00416877">
              <w:rPr>
                <w:rFonts w:cs="Arial"/>
              </w:rPr>
              <w:t xml:space="preserve"> (mSTR)</w:t>
            </w:r>
            <w:r w:rsidR="00D16878">
              <w:rPr>
                <w:rFonts w:cs="Arial"/>
              </w:rPr>
              <w:t>, initiated in 2019 by the WHO/Europe</w:t>
            </w:r>
            <w:r w:rsidRPr="004F2CB2">
              <w:rPr>
                <w:rFonts w:cs="Arial"/>
              </w:rPr>
              <w:t xml:space="preserve">. By </w:t>
            </w:r>
            <w:r w:rsidR="00D16878">
              <w:rPr>
                <w:rFonts w:cs="Arial"/>
              </w:rPr>
              <w:t xml:space="preserve">October 2021, a total of 170 </w:t>
            </w:r>
            <w:r w:rsidR="00177C89">
              <w:rPr>
                <w:rFonts w:cs="Arial"/>
              </w:rPr>
              <w:t>RR/</w:t>
            </w:r>
            <w:r w:rsidRPr="004F2CB2">
              <w:rPr>
                <w:rFonts w:cs="Arial"/>
              </w:rPr>
              <w:t>MDR-TB patients have been included in treatment under the WHO st</w:t>
            </w:r>
            <w:r w:rsidR="00AB41AE">
              <w:rPr>
                <w:rFonts w:cs="Arial"/>
              </w:rPr>
              <w:t>udy protocol. In addition, within the frame of</w:t>
            </w:r>
            <w:r w:rsidRPr="004F2CB2">
              <w:rPr>
                <w:rFonts w:cs="Arial"/>
              </w:rPr>
              <w:t xml:space="preserve"> the </w:t>
            </w:r>
            <w:r w:rsidR="00635DB3">
              <w:rPr>
                <w:rFonts w:cs="Arial"/>
              </w:rPr>
              <w:t>GF grant for OR, a cohort of 163</w:t>
            </w:r>
            <w:r w:rsidRPr="004F2CB2">
              <w:rPr>
                <w:rFonts w:cs="Arial"/>
              </w:rPr>
              <w:t xml:space="preserve"> have started the treatment under two protocols (</w:t>
            </w:r>
            <w:r w:rsidRPr="00635DB3">
              <w:rPr>
                <w:rFonts w:cs="Arial"/>
              </w:rPr>
              <w:t>P</w:t>
            </w:r>
            <w:r w:rsidR="00BE7AFE" w:rsidRPr="00635DB3">
              <w:rPr>
                <w:rFonts w:cs="Arial"/>
              </w:rPr>
              <w:t>artner</w:t>
            </w:r>
            <w:r w:rsidR="00635DB3">
              <w:rPr>
                <w:rFonts w:cs="Arial"/>
              </w:rPr>
              <w:t>s</w:t>
            </w:r>
            <w:r w:rsidR="00BE7AFE" w:rsidRPr="00635DB3">
              <w:rPr>
                <w:rFonts w:cs="Arial"/>
              </w:rPr>
              <w:t xml:space="preserve"> in Health</w:t>
            </w:r>
            <w:r w:rsidR="00635DB3">
              <w:rPr>
                <w:rFonts w:cs="Arial"/>
              </w:rPr>
              <w:t>,</w:t>
            </w:r>
            <w:r w:rsidR="00BE7AFE" w:rsidRPr="00635DB3">
              <w:rPr>
                <w:rFonts w:cs="Arial"/>
              </w:rPr>
              <w:t xml:space="preserve"> </w:t>
            </w:r>
            <w:r w:rsidRPr="004F2CB2">
              <w:rPr>
                <w:rFonts w:cs="Arial"/>
              </w:rPr>
              <w:t>and</w:t>
            </w:r>
            <w:r>
              <w:rPr>
                <w:rFonts w:cs="Arial"/>
              </w:rPr>
              <w:t xml:space="preserve"> WHO). </w:t>
            </w:r>
          </w:p>
          <w:p w14:paraId="59490744" w14:textId="7BAC70E5" w:rsidR="00C7512F" w:rsidRDefault="00BE3CC1" w:rsidP="00FE3051">
            <w:pPr>
              <w:jc w:val="both"/>
              <w:rPr>
                <w:rFonts w:cs="Arial"/>
              </w:rPr>
            </w:pPr>
            <w:r w:rsidRPr="00BE3CC1">
              <w:rPr>
                <w:rFonts w:cs="Arial"/>
              </w:rPr>
              <w:t xml:space="preserve">The NTP expects that inclusion of patients in OR will continue in 2022, and additional resources will be requested through the GF funds for 2023-2025, as the WHO recommendation for the programmatic use of modified </w:t>
            </w:r>
            <w:r w:rsidR="00BE7AFE">
              <w:rPr>
                <w:rFonts w:cs="Arial"/>
              </w:rPr>
              <w:t>full</w:t>
            </w:r>
            <w:r w:rsidR="0084406F">
              <w:rPr>
                <w:rFonts w:cs="Arial"/>
              </w:rPr>
              <w:t>y</w:t>
            </w:r>
            <w:r w:rsidR="00BE7AFE">
              <w:rPr>
                <w:rFonts w:cs="Arial"/>
              </w:rPr>
              <w:t xml:space="preserve"> </w:t>
            </w:r>
            <w:r w:rsidRPr="00BE3CC1">
              <w:rPr>
                <w:rFonts w:cs="Arial"/>
              </w:rPr>
              <w:t>oral STR might not come earlier than in 2025</w:t>
            </w:r>
            <w:r>
              <w:rPr>
                <w:rFonts w:cs="Arial"/>
              </w:rPr>
              <w:t xml:space="preserve">. </w:t>
            </w:r>
            <w:r w:rsidR="004F2CB2" w:rsidRPr="004F2CB2">
              <w:rPr>
                <w:rFonts w:cs="Arial"/>
              </w:rPr>
              <w:t xml:space="preserve">The </w:t>
            </w:r>
            <w:r w:rsidR="001F6FCF">
              <w:rPr>
                <w:rFonts w:cs="Arial"/>
              </w:rPr>
              <w:t xml:space="preserve">use of </w:t>
            </w:r>
            <w:r w:rsidR="004F2CB2" w:rsidRPr="004F2CB2">
              <w:rPr>
                <w:rFonts w:cs="Arial"/>
              </w:rPr>
              <w:t>new drugs and new regimens under the OR require</w:t>
            </w:r>
            <w:r w:rsidR="001F6FCF">
              <w:rPr>
                <w:rFonts w:cs="Arial"/>
              </w:rPr>
              <w:t>s</w:t>
            </w:r>
            <w:r w:rsidR="004F2CB2" w:rsidRPr="004F2CB2">
              <w:rPr>
                <w:rFonts w:cs="Arial"/>
              </w:rPr>
              <w:t xml:space="preserve"> robust </w:t>
            </w:r>
            <w:r w:rsidR="001F6FCF">
              <w:rPr>
                <w:rFonts w:cs="Arial"/>
              </w:rPr>
              <w:t xml:space="preserve">local </w:t>
            </w:r>
            <w:r w:rsidR="004F2CB2" w:rsidRPr="004F2CB2">
              <w:rPr>
                <w:rFonts w:cs="Arial"/>
              </w:rPr>
              <w:t xml:space="preserve">systems for patient monitoring, drug </w:t>
            </w:r>
            <w:r w:rsidR="0057204D">
              <w:rPr>
                <w:rFonts w:cs="Arial"/>
              </w:rPr>
              <w:t xml:space="preserve">supply </w:t>
            </w:r>
            <w:r w:rsidR="004F2CB2" w:rsidRPr="004F2CB2">
              <w:rPr>
                <w:rFonts w:cs="Arial"/>
              </w:rPr>
              <w:t>management, and pharmacovigilance to preve</w:t>
            </w:r>
            <w:r w:rsidR="00BB198E">
              <w:rPr>
                <w:rFonts w:cs="Arial"/>
              </w:rPr>
              <w:t>nt severe adverse events and</w:t>
            </w:r>
            <w:r w:rsidR="004F2CB2" w:rsidRPr="004F2CB2">
              <w:rPr>
                <w:rFonts w:cs="Arial"/>
              </w:rPr>
              <w:t xml:space="preserve"> developing </w:t>
            </w:r>
            <w:r w:rsidR="00E12FFA">
              <w:rPr>
                <w:rFonts w:cs="Arial"/>
              </w:rPr>
              <w:t xml:space="preserve">resistance to new anti-TB medication. </w:t>
            </w:r>
          </w:p>
          <w:p w14:paraId="21740584" w14:textId="77777777" w:rsidR="00FE3051" w:rsidRDefault="00FE3051" w:rsidP="00FE3051">
            <w:pPr>
              <w:jc w:val="both"/>
              <w:rPr>
                <w:rFonts w:cs="Arial"/>
              </w:rPr>
            </w:pPr>
          </w:p>
          <w:p w14:paraId="5FC02FF2" w14:textId="77777777" w:rsidR="003F092E" w:rsidRDefault="003F092E" w:rsidP="00FE3051">
            <w:pPr>
              <w:jc w:val="both"/>
              <w:rPr>
                <w:rFonts w:cs="Arial"/>
              </w:rPr>
            </w:pPr>
          </w:p>
          <w:p w14:paraId="6AFC4355" w14:textId="77777777" w:rsidR="003F092E" w:rsidRDefault="003F092E" w:rsidP="00FE3051">
            <w:pPr>
              <w:jc w:val="both"/>
              <w:rPr>
                <w:rFonts w:cs="Arial"/>
              </w:rPr>
            </w:pPr>
          </w:p>
          <w:p w14:paraId="7B046A66" w14:textId="77777777" w:rsidR="00FE3051" w:rsidRPr="007547EF" w:rsidRDefault="00FE3051" w:rsidP="00FE3051">
            <w:pPr>
              <w:jc w:val="both"/>
              <w:rPr>
                <w:rFonts w:ascii="Times" w:eastAsia="Times New Roman" w:hAnsi="Times" w:cs="Times New Roman"/>
                <w:sz w:val="20"/>
                <w:szCs w:val="20"/>
              </w:rPr>
            </w:pPr>
          </w:p>
          <w:p w14:paraId="0DA0DD81" w14:textId="1FDC0D60" w:rsidR="00783B77" w:rsidRPr="00783B77" w:rsidRDefault="00783B77" w:rsidP="006A1F71">
            <w:pPr>
              <w:spacing w:before="240" w:line="240" w:lineRule="auto"/>
              <w:rPr>
                <w:rFonts w:cs="Arial"/>
                <w:b/>
              </w:rPr>
            </w:pPr>
            <w:r w:rsidRPr="00783B77">
              <w:rPr>
                <w:rFonts w:cs="Arial"/>
                <w:b/>
              </w:rPr>
              <w:t>L</w:t>
            </w:r>
            <w:r>
              <w:rPr>
                <w:rFonts w:cs="Arial"/>
                <w:b/>
              </w:rPr>
              <w:t>atent TB Infection (L</w:t>
            </w:r>
            <w:r w:rsidRPr="00783B77">
              <w:rPr>
                <w:rFonts w:cs="Arial"/>
                <w:b/>
              </w:rPr>
              <w:t>T</w:t>
            </w:r>
            <w:r w:rsidR="006A1F71">
              <w:rPr>
                <w:rFonts w:cs="Arial"/>
                <w:b/>
              </w:rPr>
              <w:t>B</w:t>
            </w:r>
            <w:r w:rsidRPr="00783B77">
              <w:rPr>
                <w:rFonts w:cs="Arial"/>
                <w:b/>
              </w:rPr>
              <w:t>I</w:t>
            </w:r>
            <w:r>
              <w:rPr>
                <w:rFonts w:cs="Arial"/>
                <w:b/>
              </w:rPr>
              <w:t>)</w:t>
            </w:r>
            <w:r w:rsidRPr="00783B77">
              <w:rPr>
                <w:rFonts w:cs="Arial"/>
                <w:b/>
              </w:rPr>
              <w:t xml:space="preserve"> preventive treatment</w:t>
            </w:r>
          </w:p>
          <w:p w14:paraId="1405715F" w14:textId="4FDC3E4A" w:rsidR="00BB2D5C" w:rsidRPr="00974FD7" w:rsidRDefault="00C7512F" w:rsidP="001F6FCF">
            <w:pPr>
              <w:spacing w:after="0" w:line="240" w:lineRule="auto"/>
              <w:jc w:val="both"/>
              <w:rPr>
                <w:rFonts w:cs="Arial"/>
              </w:rPr>
            </w:pPr>
            <w:r w:rsidRPr="00C7512F">
              <w:rPr>
                <w:rFonts w:cs="Arial"/>
              </w:rPr>
              <w:t>According to the TB Standard</w:t>
            </w:r>
            <w:r w:rsidR="00D549CB">
              <w:rPr>
                <w:rStyle w:val="af"/>
                <w:rFonts w:cs="Arial"/>
              </w:rPr>
              <w:footnoteReference w:id="50"/>
            </w:r>
            <w:r w:rsidR="00A91D5B">
              <w:rPr>
                <w:rFonts w:cs="Arial"/>
              </w:rPr>
              <w:t xml:space="preserve"> and the LT</w:t>
            </w:r>
            <w:r w:rsidR="006A1F71">
              <w:rPr>
                <w:rFonts w:cs="Arial"/>
              </w:rPr>
              <w:t>B</w:t>
            </w:r>
            <w:r w:rsidR="00A91D5B">
              <w:rPr>
                <w:rFonts w:cs="Arial"/>
              </w:rPr>
              <w:t xml:space="preserve">I national </w:t>
            </w:r>
            <w:r w:rsidRPr="00C7512F">
              <w:rPr>
                <w:rFonts w:cs="Arial"/>
              </w:rPr>
              <w:t>clinical prot</w:t>
            </w:r>
            <w:r w:rsidR="00A91D5B">
              <w:rPr>
                <w:rFonts w:cs="Arial"/>
              </w:rPr>
              <w:t>ocol</w:t>
            </w:r>
            <w:r w:rsidR="00A91D5B">
              <w:rPr>
                <w:rStyle w:val="af"/>
                <w:rFonts w:cs="Arial"/>
              </w:rPr>
              <w:footnoteReference w:id="51"/>
            </w:r>
            <w:r w:rsidR="00A91D5B">
              <w:rPr>
                <w:rFonts w:cs="Arial"/>
              </w:rPr>
              <w:t xml:space="preserve">, the </w:t>
            </w:r>
            <w:r w:rsidRPr="00C7512F">
              <w:rPr>
                <w:rFonts w:cs="Arial"/>
              </w:rPr>
              <w:t>preventive treatment for children, adolescents, and adults, regardless of their HIV status, is prescribed based on inde</w:t>
            </w:r>
            <w:r w:rsidR="00D549CB">
              <w:rPr>
                <w:rFonts w:cs="Arial"/>
              </w:rPr>
              <w:t>x-case drug sensitivity results</w:t>
            </w:r>
            <w:r w:rsidRPr="00C7512F">
              <w:rPr>
                <w:rFonts w:cs="Arial"/>
              </w:rPr>
              <w:t xml:space="preserve"> </w:t>
            </w:r>
            <w:r>
              <w:rPr>
                <w:rFonts w:cs="Arial"/>
              </w:rPr>
              <w:t xml:space="preserve">and treated by </w:t>
            </w:r>
            <w:r w:rsidRPr="00C7512F">
              <w:rPr>
                <w:rFonts w:cs="Arial"/>
              </w:rPr>
              <w:t xml:space="preserve">mono-drugs or combination </w:t>
            </w:r>
            <w:r w:rsidR="00D549CB">
              <w:rPr>
                <w:rFonts w:cs="Arial"/>
              </w:rPr>
              <w:t>of</w:t>
            </w:r>
            <w:r w:rsidRPr="00C7512F">
              <w:rPr>
                <w:rFonts w:cs="Arial"/>
              </w:rPr>
              <w:t xml:space="preserve"> two fir</w:t>
            </w:r>
            <w:r>
              <w:rPr>
                <w:rFonts w:cs="Arial"/>
              </w:rPr>
              <w:t>st-line anti-tuberculosis drugs</w:t>
            </w:r>
            <w:r w:rsidRPr="00974FD7">
              <w:rPr>
                <w:rFonts w:cs="Arial"/>
              </w:rPr>
              <w:t xml:space="preserve">. </w:t>
            </w:r>
            <w:r w:rsidR="00D86ED9" w:rsidRPr="00974FD7">
              <w:rPr>
                <w:rFonts w:cs="Arial"/>
              </w:rPr>
              <w:t>If the known source of TB infection has drug suseptible TB, the following r</w:t>
            </w:r>
            <w:r w:rsidR="00BB2D5C" w:rsidRPr="00974FD7">
              <w:rPr>
                <w:rFonts w:cs="Arial"/>
              </w:rPr>
              <w:t>egimens</w:t>
            </w:r>
            <w:r w:rsidR="00D86ED9" w:rsidRPr="00974FD7">
              <w:rPr>
                <w:rFonts w:cs="Arial"/>
              </w:rPr>
              <w:t xml:space="preserve"> are recommended</w:t>
            </w:r>
            <w:r w:rsidR="00BB2D5C" w:rsidRPr="00974FD7">
              <w:rPr>
                <w:rFonts w:cs="Arial"/>
              </w:rPr>
              <w:t>: (i) m</w:t>
            </w:r>
            <w:r w:rsidR="00D86ED9" w:rsidRPr="00974FD7">
              <w:rPr>
                <w:rFonts w:cs="Arial"/>
              </w:rPr>
              <w:t>ono-therapy with isoniazid for six or nine months; (ii) a four</w:t>
            </w:r>
            <w:r w:rsidR="00BB2D5C" w:rsidRPr="00974FD7">
              <w:rPr>
                <w:rFonts w:cs="Arial"/>
              </w:rPr>
              <w:t>-month course with da</w:t>
            </w:r>
            <w:r w:rsidR="00D86ED9" w:rsidRPr="00974FD7">
              <w:rPr>
                <w:rFonts w:cs="Arial"/>
              </w:rPr>
              <w:t>ily rifampicin intake; (iii) a three</w:t>
            </w:r>
            <w:r w:rsidR="00BB2D5C" w:rsidRPr="00974FD7">
              <w:rPr>
                <w:rFonts w:cs="Arial"/>
              </w:rPr>
              <w:t xml:space="preserve">-month course with daily intake of </w:t>
            </w:r>
            <w:r w:rsidR="00D86ED9" w:rsidRPr="00974FD7">
              <w:rPr>
                <w:rFonts w:cs="Arial"/>
              </w:rPr>
              <w:t>rifampicin and isoniazid; (iv) three</w:t>
            </w:r>
            <w:r w:rsidR="00BB2D5C" w:rsidRPr="00974FD7">
              <w:rPr>
                <w:rFonts w:cs="Arial"/>
              </w:rPr>
              <w:t xml:space="preserve">-month course with </w:t>
            </w:r>
            <w:r w:rsidR="002F392F" w:rsidRPr="00974FD7">
              <w:rPr>
                <w:rFonts w:cs="Arial"/>
              </w:rPr>
              <w:t xml:space="preserve">the </w:t>
            </w:r>
            <w:r w:rsidR="00BB2D5C" w:rsidRPr="00974FD7">
              <w:rPr>
                <w:rFonts w:cs="Arial"/>
              </w:rPr>
              <w:t>weekly intake of rifapentine and isoniazid for children from 2 year</w:t>
            </w:r>
            <w:r w:rsidR="00D86ED9" w:rsidRPr="00974FD7">
              <w:rPr>
                <w:rFonts w:cs="Arial"/>
              </w:rPr>
              <w:t>s of age and adults; and (v) a one</w:t>
            </w:r>
            <w:r w:rsidR="00BB2D5C" w:rsidRPr="00974FD7">
              <w:rPr>
                <w:rFonts w:cs="Arial"/>
              </w:rPr>
              <w:t xml:space="preserve">-month course with </w:t>
            </w:r>
            <w:r w:rsidR="00D86ED9" w:rsidRPr="00974FD7">
              <w:rPr>
                <w:rFonts w:cs="Arial"/>
              </w:rPr>
              <w:t xml:space="preserve">taking </w:t>
            </w:r>
            <w:r w:rsidR="00BB2D5C" w:rsidRPr="00974FD7">
              <w:rPr>
                <w:rFonts w:cs="Arial"/>
              </w:rPr>
              <w:t xml:space="preserve">daily rifapentine and isoniazid for children ≥13 years of age and adults. </w:t>
            </w:r>
            <w:r w:rsidR="0055443A">
              <w:rPr>
                <w:rFonts w:cs="Arial"/>
              </w:rPr>
              <w:t>However, r</w:t>
            </w:r>
            <w:r w:rsidR="002F392F" w:rsidRPr="00974FD7">
              <w:rPr>
                <w:rFonts w:cs="Arial"/>
              </w:rPr>
              <w:t>ifapentine-based short-course treatment can be initiated</w:t>
            </w:r>
            <w:r w:rsidR="00B21AD1" w:rsidRPr="00974FD7">
              <w:rPr>
                <w:rFonts w:cs="Arial"/>
              </w:rPr>
              <w:t xml:space="preserve"> </w:t>
            </w:r>
            <w:r w:rsidR="00B01A3C" w:rsidRPr="00974FD7">
              <w:rPr>
                <w:rFonts w:cs="Arial"/>
              </w:rPr>
              <w:t>following the</w:t>
            </w:r>
            <w:r w:rsidR="002F392F" w:rsidRPr="00974FD7">
              <w:rPr>
                <w:rFonts w:cs="Arial"/>
              </w:rPr>
              <w:t xml:space="preserve"> registration of the medicine in Kazakhstan. </w:t>
            </w:r>
            <w:r w:rsidR="00D549CB" w:rsidRPr="00974FD7">
              <w:rPr>
                <w:rFonts w:cs="Arial"/>
              </w:rPr>
              <w:t>The</w:t>
            </w:r>
            <w:r w:rsidR="00B21AD1" w:rsidRPr="00974FD7">
              <w:rPr>
                <w:rFonts w:cs="Arial"/>
              </w:rPr>
              <w:t>se</w:t>
            </w:r>
            <w:r w:rsidR="00D549CB" w:rsidRPr="00974FD7">
              <w:rPr>
                <w:rFonts w:cs="Arial"/>
              </w:rPr>
              <w:t xml:space="preserve"> r</w:t>
            </w:r>
            <w:r w:rsidR="00BB2D5C" w:rsidRPr="00974FD7">
              <w:rPr>
                <w:rFonts w:cs="Arial"/>
              </w:rPr>
              <w:t xml:space="preserve">egulatory documents </w:t>
            </w:r>
            <w:r w:rsidR="00D549CB" w:rsidRPr="00974FD7">
              <w:rPr>
                <w:rFonts w:cs="Arial"/>
              </w:rPr>
              <w:t>also determine the possible use</w:t>
            </w:r>
            <w:r w:rsidR="00BB2D5C" w:rsidRPr="00974FD7">
              <w:rPr>
                <w:rFonts w:cs="Arial"/>
              </w:rPr>
              <w:t xml:space="preserve"> of preventive</w:t>
            </w:r>
            <w:r w:rsidR="00D549CB" w:rsidRPr="00974FD7">
              <w:rPr>
                <w:rFonts w:cs="Arial"/>
              </w:rPr>
              <w:t xml:space="preserve"> therapy for contacts of </w:t>
            </w:r>
            <w:r w:rsidR="006A1F71" w:rsidRPr="00974FD7">
              <w:rPr>
                <w:rFonts w:cs="Arial"/>
              </w:rPr>
              <w:t>RR/</w:t>
            </w:r>
            <w:r w:rsidR="00BB2D5C" w:rsidRPr="00974FD7">
              <w:rPr>
                <w:rFonts w:cs="Arial"/>
              </w:rPr>
              <w:t>MDR</w:t>
            </w:r>
            <w:r w:rsidR="005A4AFF" w:rsidRPr="00974FD7">
              <w:rPr>
                <w:rFonts w:cs="Arial"/>
              </w:rPr>
              <w:t>-TB patien</w:t>
            </w:r>
            <w:r w:rsidR="00677D0D">
              <w:rPr>
                <w:rFonts w:cs="Arial"/>
              </w:rPr>
              <w:t>ts by prescribing Lfx</w:t>
            </w:r>
            <w:r w:rsidR="00BB2D5C" w:rsidRPr="00974FD7">
              <w:rPr>
                <w:rFonts w:cs="Arial"/>
              </w:rPr>
              <w:t xml:space="preserve"> to which the index ca</w:t>
            </w:r>
            <w:r w:rsidR="00D549CB" w:rsidRPr="00974FD7">
              <w:rPr>
                <w:rFonts w:cs="Arial"/>
              </w:rPr>
              <w:t>se is proven drug susceptible</w:t>
            </w:r>
            <w:r w:rsidR="005A4AFF" w:rsidRPr="00974FD7">
              <w:rPr>
                <w:rFonts w:cs="Arial"/>
              </w:rPr>
              <w:t xml:space="preserve">. </w:t>
            </w:r>
            <w:r w:rsidR="000E0C57" w:rsidRPr="00974FD7">
              <w:rPr>
                <w:rFonts w:cs="Arial"/>
              </w:rPr>
              <w:t xml:space="preserve">The TB prophylaxis starts only after receiving positive test results for the recombinant tuberculosis allergen </w:t>
            </w:r>
            <w:r w:rsidR="000E0C57" w:rsidRPr="00F35F74">
              <w:rPr>
                <w:rFonts w:eastAsia="Times New Roman" w:cs="Arial"/>
                <w:shd w:val="clear" w:color="auto" w:fill="FFFFFF"/>
              </w:rPr>
              <w:t>(Diaskintest).</w:t>
            </w:r>
            <w:r w:rsidR="000E0C57" w:rsidRPr="00F35F74">
              <w:rPr>
                <w:rFonts w:eastAsia="Times New Roman" w:cs="Arial"/>
                <w:color w:val="4D5156"/>
                <w:shd w:val="clear" w:color="auto" w:fill="FFFFFF"/>
              </w:rPr>
              <w:t xml:space="preserve"> </w:t>
            </w:r>
            <w:r w:rsidR="000E0C57" w:rsidRPr="00974FD7">
              <w:rPr>
                <w:rFonts w:cs="Arial"/>
              </w:rPr>
              <w:t xml:space="preserve">And, if </w:t>
            </w:r>
            <w:r w:rsidR="00BB2D5C" w:rsidRPr="00974FD7">
              <w:rPr>
                <w:rFonts w:cs="Arial"/>
              </w:rPr>
              <w:t>levofloxacin or moxifloxacin (Lfx or Mfx</w:t>
            </w:r>
            <w:r w:rsidR="00D86ED9" w:rsidRPr="00974FD7">
              <w:rPr>
                <w:rFonts w:cs="Arial"/>
              </w:rPr>
              <w:t xml:space="preserve">) </w:t>
            </w:r>
            <w:r w:rsidR="000E0C57" w:rsidRPr="00974FD7">
              <w:rPr>
                <w:rFonts w:cs="Arial"/>
              </w:rPr>
              <w:t xml:space="preserve">is reccomended, it </w:t>
            </w:r>
            <w:r w:rsidR="00D86ED9" w:rsidRPr="00974FD7">
              <w:rPr>
                <w:rFonts w:cs="Arial"/>
              </w:rPr>
              <w:t>can be given daily for six</w:t>
            </w:r>
            <w:r w:rsidR="00BB2D5C" w:rsidRPr="00974FD7">
              <w:rPr>
                <w:rFonts w:cs="Arial"/>
              </w:rPr>
              <w:t xml:space="preserve"> months.</w:t>
            </w:r>
            <w:r w:rsidR="002F392F" w:rsidRPr="00974FD7">
              <w:rPr>
                <w:rFonts w:cs="Arial"/>
              </w:rPr>
              <w:t xml:space="preserve"> </w:t>
            </w:r>
          </w:p>
          <w:p w14:paraId="1A5180EA" w14:textId="77777777" w:rsidR="006821C3" w:rsidRPr="00C7512F" w:rsidRDefault="006821C3" w:rsidP="001F6FCF">
            <w:pPr>
              <w:spacing w:after="0" w:line="240" w:lineRule="auto"/>
              <w:jc w:val="both"/>
              <w:rPr>
                <w:rFonts w:ascii="Times" w:eastAsia="Times New Roman" w:hAnsi="Times" w:cs="Times New Roman"/>
                <w:sz w:val="20"/>
                <w:szCs w:val="20"/>
              </w:rPr>
            </w:pPr>
          </w:p>
          <w:p w14:paraId="00D54137" w14:textId="30E24368" w:rsidR="00432F66" w:rsidRPr="00974FD7" w:rsidRDefault="00432F66" w:rsidP="00C3391E">
            <w:pPr>
              <w:spacing w:after="0" w:line="240" w:lineRule="auto"/>
              <w:jc w:val="both"/>
              <w:rPr>
                <w:rFonts w:cs="Arial"/>
              </w:rPr>
            </w:pPr>
            <w:r w:rsidRPr="00974FD7">
              <w:rPr>
                <w:rFonts w:cs="Arial"/>
              </w:rPr>
              <w:t>Since 2020, a project has been implemented in Almaty within the frame of the current GF grant, studying the prevalence of latent TB infection and the effectiveness of preventive treatment among contacts of known patients with susceptible and MDR/XDR-TB. In the third quarter of 2021, preventive treatment was initiated among 39 children and adolescents and 38 adults with a three-month regimen in a combination of rifampicin and</w:t>
            </w:r>
            <w:r w:rsidR="003902D5" w:rsidRPr="00974FD7">
              <w:rPr>
                <w:rFonts w:cs="Arial"/>
              </w:rPr>
              <w:t xml:space="preserve"> isoniazid. Also, </w:t>
            </w:r>
            <w:r w:rsidRPr="00974FD7">
              <w:rPr>
                <w:rFonts w:cs="Arial"/>
              </w:rPr>
              <w:t>preventiv</w:t>
            </w:r>
            <w:r w:rsidR="00B01A3C" w:rsidRPr="00974FD7">
              <w:rPr>
                <w:rFonts w:cs="Arial"/>
              </w:rPr>
              <w:t>e treatment with levofloxacin is</w:t>
            </w:r>
            <w:r w:rsidRPr="00974FD7">
              <w:rPr>
                <w:rFonts w:cs="Arial"/>
              </w:rPr>
              <w:t xml:space="preserve"> prescribed to four children and adolescents and 51 adults, having contacts to MDR-TB patients with preserved sensitivity to fluoroquinolone. The treatment of contacts with a regimen containing rifapentine and isoniazid </w:t>
            </w:r>
            <w:r w:rsidR="00B01A3C" w:rsidRPr="00974FD7">
              <w:rPr>
                <w:rFonts w:cs="Arial"/>
              </w:rPr>
              <w:t xml:space="preserve">has </w:t>
            </w:r>
            <w:proofErr w:type="gramStart"/>
            <w:r w:rsidRPr="00974FD7">
              <w:rPr>
                <w:rFonts w:cs="Arial"/>
              </w:rPr>
              <w:t>began</w:t>
            </w:r>
            <w:proofErr w:type="gramEnd"/>
            <w:r w:rsidRPr="00974FD7">
              <w:rPr>
                <w:rFonts w:cs="Arial"/>
              </w:rPr>
              <w:t xml:space="preserve"> in November 2021, when rifapentine became available </w:t>
            </w:r>
            <w:r w:rsidR="00876C33">
              <w:rPr>
                <w:rFonts w:cs="Arial"/>
              </w:rPr>
              <w:t xml:space="preserve">(under OR) </w:t>
            </w:r>
            <w:r w:rsidRPr="00974FD7">
              <w:rPr>
                <w:rFonts w:cs="Arial"/>
              </w:rPr>
              <w:t>in the country through the GDF po</w:t>
            </w:r>
            <w:r w:rsidR="003902D5" w:rsidRPr="00974FD7">
              <w:rPr>
                <w:rFonts w:cs="Arial"/>
              </w:rPr>
              <w:t>o</w:t>
            </w:r>
            <w:r w:rsidRPr="00974FD7">
              <w:rPr>
                <w:rFonts w:cs="Arial"/>
              </w:rPr>
              <w:t>lled procurement mechanism</w:t>
            </w:r>
            <w:r w:rsidR="008105BA">
              <w:rPr>
                <w:rFonts w:cs="Arial"/>
              </w:rPr>
              <w:t>.</w:t>
            </w:r>
            <w:r w:rsidR="00F35F74" w:rsidRPr="00974FD7">
              <w:rPr>
                <w:rFonts w:cs="Arial"/>
              </w:rPr>
              <w:t xml:space="preserve"> </w:t>
            </w:r>
          </w:p>
          <w:p w14:paraId="1C1C89B3" w14:textId="1B535EC0" w:rsidR="00432F66" w:rsidRDefault="00432F66" w:rsidP="00C3391E">
            <w:pPr>
              <w:spacing w:before="240" w:line="240" w:lineRule="auto"/>
              <w:rPr>
                <w:rFonts w:cs="Arial"/>
                <w:b/>
              </w:rPr>
            </w:pPr>
            <w:r>
              <w:rPr>
                <w:rFonts w:cs="Arial"/>
                <w:b/>
              </w:rPr>
              <w:t>People-centered model of care</w:t>
            </w:r>
          </w:p>
          <w:p w14:paraId="77E349C3" w14:textId="41E7A9E3" w:rsidR="005D15DB" w:rsidRDefault="005D15DB" w:rsidP="005572C7">
            <w:pPr>
              <w:spacing w:after="0" w:line="240" w:lineRule="auto"/>
              <w:jc w:val="both"/>
              <w:rPr>
                <w:rFonts w:asciiTheme="majorHAnsi" w:hAnsiTheme="majorHAnsi" w:cstheme="majorHAnsi"/>
                <w:bCs/>
              </w:rPr>
            </w:pPr>
            <w:r w:rsidRPr="005D15DB">
              <w:rPr>
                <w:rFonts w:asciiTheme="majorHAnsi" w:hAnsiTheme="majorHAnsi" w:cstheme="majorHAnsi"/>
              </w:rPr>
              <w:t>Considering local characteristics of TB epidemic, healthcare organization, and care delivery models, the TB service financing approach, the investment package covering cost-effective interventions was prepared and advised</w:t>
            </w:r>
            <w:r w:rsidRPr="005D15DB">
              <w:rPr>
                <w:rStyle w:val="af"/>
                <w:rFonts w:asciiTheme="majorHAnsi" w:hAnsiTheme="majorHAnsi" w:cstheme="majorHAnsi"/>
              </w:rPr>
              <w:footnoteReference w:id="52"/>
            </w:r>
            <w:r w:rsidRPr="005D15DB">
              <w:rPr>
                <w:rFonts w:asciiTheme="majorHAnsi" w:hAnsiTheme="majorHAnsi" w:cstheme="majorHAnsi"/>
              </w:rPr>
              <w:t xml:space="preserve"> to countries in Eastern and Central Asian region to meet End TB milestones and targets. The package includes cost-effective interventions/strategies aiming to expand TB services at the PHC level and modernize TB inpatient capacity, scale up the use of rapid molecular diagnostics, revisit strategies aiming to improve adherence to treatment, address social determinants through integrated public health programs and enhance </w:t>
            </w:r>
            <w:r>
              <w:rPr>
                <w:rFonts w:asciiTheme="majorHAnsi" w:hAnsiTheme="majorHAnsi" w:cstheme="majorHAnsi"/>
              </w:rPr>
              <w:t>people</w:t>
            </w:r>
            <w:r w:rsidRPr="005D15DB">
              <w:rPr>
                <w:rFonts w:asciiTheme="majorHAnsi" w:hAnsiTheme="majorHAnsi" w:cstheme="majorHAnsi"/>
              </w:rPr>
              <w:t>-centered care.</w:t>
            </w:r>
            <w:r w:rsidRPr="005D15DB">
              <w:rPr>
                <w:rFonts w:asciiTheme="majorHAnsi" w:hAnsiTheme="majorHAnsi" w:cstheme="majorHAnsi"/>
                <w:bCs/>
              </w:rPr>
              <w:t xml:space="preserve"> </w:t>
            </w:r>
          </w:p>
          <w:p w14:paraId="5598611F" w14:textId="77777777" w:rsidR="005572C7" w:rsidRPr="005D15DB" w:rsidRDefault="005572C7" w:rsidP="005572C7">
            <w:pPr>
              <w:spacing w:after="0" w:line="240" w:lineRule="auto"/>
              <w:jc w:val="both"/>
              <w:rPr>
                <w:rFonts w:asciiTheme="majorHAnsi" w:hAnsiTheme="majorHAnsi" w:cstheme="majorHAnsi"/>
                <w:bCs/>
              </w:rPr>
            </w:pPr>
          </w:p>
          <w:p w14:paraId="5DF5D4E3" w14:textId="72BACC10" w:rsidR="00CB7363" w:rsidRPr="00CB7363" w:rsidRDefault="005D15DB" w:rsidP="005572C7">
            <w:pPr>
              <w:pStyle w:val="Default"/>
              <w:jc w:val="both"/>
              <w:rPr>
                <w:rFonts w:asciiTheme="majorHAnsi" w:hAnsiTheme="majorHAnsi" w:cstheme="majorHAnsi"/>
                <w:bCs/>
                <w:sz w:val="22"/>
                <w:szCs w:val="22"/>
              </w:rPr>
            </w:pPr>
            <w:r w:rsidRPr="005D15DB">
              <w:rPr>
                <w:rFonts w:asciiTheme="majorHAnsi" w:eastAsiaTheme="minorEastAsia" w:hAnsiTheme="majorHAnsi" w:cstheme="majorHAnsi"/>
                <w:sz w:val="22"/>
                <w:szCs w:val="22"/>
              </w:rPr>
              <w:t xml:space="preserve">The adaptation of people-centered model of care is supported </w:t>
            </w:r>
            <w:r w:rsidRPr="005D15DB">
              <w:rPr>
                <w:rFonts w:asciiTheme="majorHAnsi" w:hAnsiTheme="majorHAnsi" w:cstheme="majorHAnsi"/>
                <w:bCs/>
                <w:sz w:val="22"/>
                <w:szCs w:val="22"/>
              </w:rPr>
              <w:t xml:space="preserve">by </w:t>
            </w:r>
            <w:proofErr w:type="gramStart"/>
            <w:r w:rsidRPr="005D15DB">
              <w:rPr>
                <w:rFonts w:asciiTheme="majorHAnsi" w:hAnsiTheme="majorHAnsi" w:cstheme="majorHAnsi"/>
                <w:bCs/>
                <w:sz w:val="22"/>
                <w:szCs w:val="22"/>
              </w:rPr>
              <w:t>a number of</w:t>
            </w:r>
            <w:proofErr w:type="gramEnd"/>
            <w:r w:rsidRPr="005D15DB">
              <w:rPr>
                <w:rFonts w:asciiTheme="majorHAnsi" w:hAnsiTheme="majorHAnsi" w:cstheme="majorHAnsi"/>
                <w:bCs/>
                <w:sz w:val="22"/>
                <w:szCs w:val="22"/>
              </w:rPr>
              <w:t xml:space="preserve"> innovative </w:t>
            </w:r>
            <w:r w:rsidR="00CB7363">
              <w:rPr>
                <w:rFonts w:asciiTheme="majorHAnsi" w:hAnsiTheme="majorHAnsi" w:cstheme="majorHAnsi"/>
                <w:bCs/>
                <w:sz w:val="22"/>
                <w:szCs w:val="22"/>
              </w:rPr>
              <w:t>measures,</w:t>
            </w:r>
            <w:r>
              <w:rPr>
                <w:rFonts w:asciiTheme="majorHAnsi" w:hAnsiTheme="majorHAnsi" w:cstheme="majorHAnsi"/>
                <w:bCs/>
                <w:sz w:val="22"/>
                <w:szCs w:val="22"/>
              </w:rPr>
              <w:t xml:space="preserve"> including </w:t>
            </w:r>
            <w:r w:rsidRPr="005D15DB">
              <w:rPr>
                <w:rFonts w:asciiTheme="majorHAnsi" w:hAnsiTheme="majorHAnsi" w:cstheme="majorHAnsi"/>
                <w:bCs/>
                <w:sz w:val="22"/>
                <w:szCs w:val="22"/>
              </w:rPr>
              <w:t xml:space="preserve">incentives for </w:t>
            </w:r>
            <w:r>
              <w:rPr>
                <w:rFonts w:asciiTheme="majorHAnsi" w:hAnsiTheme="majorHAnsi" w:cstheme="majorHAnsi"/>
                <w:bCs/>
                <w:sz w:val="22"/>
                <w:szCs w:val="22"/>
              </w:rPr>
              <w:t xml:space="preserve">both </w:t>
            </w:r>
            <w:r w:rsidRPr="005D15DB">
              <w:rPr>
                <w:rFonts w:asciiTheme="majorHAnsi" w:hAnsiTheme="majorHAnsi" w:cstheme="majorHAnsi"/>
                <w:bCs/>
                <w:sz w:val="22"/>
                <w:szCs w:val="22"/>
              </w:rPr>
              <w:t>patients</w:t>
            </w:r>
            <w:r>
              <w:rPr>
                <w:rFonts w:asciiTheme="majorHAnsi" w:hAnsiTheme="majorHAnsi" w:cstheme="majorHAnsi"/>
                <w:bCs/>
                <w:sz w:val="22"/>
                <w:szCs w:val="22"/>
              </w:rPr>
              <w:t xml:space="preserve"> on ambulatory care</w:t>
            </w:r>
            <w:r w:rsidRPr="005D15DB">
              <w:rPr>
                <w:rFonts w:asciiTheme="majorHAnsi" w:hAnsiTheme="majorHAnsi" w:cstheme="majorHAnsi"/>
                <w:bCs/>
                <w:sz w:val="22"/>
                <w:szCs w:val="22"/>
              </w:rPr>
              <w:t xml:space="preserve"> </w:t>
            </w:r>
            <w:r w:rsidR="00CB7363">
              <w:rPr>
                <w:rFonts w:asciiTheme="majorHAnsi" w:hAnsiTheme="majorHAnsi" w:cstheme="majorHAnsi"/>
                <w:bCs/>
                <w:sz w:val="22"/>
                <w:szCs w:val="22"/>
              </w:rPr>
              <w:t>and service providers</w:t>
            </w:r>
            <w:r w:rsidRPr="005D15DB">
              <w:rPr>
                <w:rFonts w:asciiTheme="majorHAnsi" w:hAnsiTheme="majorHAnsi" w:cstheme="majorHAnsi"/>
                <w:bCs/>
                <w:sz w:val="22"/>
                <w:szCs w:val="22"/>
              </w:rPr>
              <w:t xml:space="preserve">, </w:t>
            </w:r>
            <w:r w:rsidR="00CB7363">
              <w:rPr>
                <w:rFonts w:asciiTheme="majorHAnsi" w:hAnsiTheme="majorHAnsi" w:cstheme="majorHAnsi"/>
                <w:bCs/>
                <w:sz w:val="22"/>
                <w:szCs w:val="22"/>
              </w:rPr>
              <w:t xml:space="preserve">adoption of TB care outpatient delivery models, </w:t>
            </w:r>
            <w:r w:rsidRPr="005D15DB">
              <w:rPr>
                <w:rFonts w:asciiTheme="majorHAnsi" w:hAnsiTheme="majorHAnsi" w:cstheme="majorHAnsi"/>
                <w:bCs/>
                <w:sz w:val="22"/>
                <w:szCs w:val="22"/>
              </w:rPr>
              <w:t xml:space="preserve">peer-to-peer support, </w:t>
            </w:r>
            <w:r w:rsidR="00CB7363">
              <w:rPr>
                <w:rFonts w:asciiTheme="majorHAnsi" w:hAnsiTheme="majorHAnsi" w:cstheme="majorHAnsi"/>
                <w:bCs/>
                <w:sz w:val="22"/>
                <w:szCs w:val="22"/>
              </w:rPr>
              <w:t xml:space="preserve">community-based interventions, and </w:t>
            </w:r>
            <w:r w:rsidRPr="005D15DB">
              <w:rPr>
                <w:rFonts w:asciiTheme="majorHAnsi" w:hAnsiTheme="majorHAnsi" w:cstheme="majorHAnsi"/>
                <w:bCs/>
                <w:sz w:val="22"/>
                <w:szCs w:val="22"/>
              </w:rPr>
              <w:t>introduction of digital technologies.</w:t>
            </w:r>
            <w:r w:rsidR="00CB7363">
              <w:rPr>
                <w:rFonts w:asciiTheme="majorHAnsi" w:hAnsiTheme="majorHAnsi" w:cstheme="majorHAnsi"/>
                <w:bCs/>
                <w:sz w:val="22"/>
                <w:szCs w:val="22"/>
              </w:rPr>
              <w:t xml:space="preserve"> </w:t>
            </w:r>
            <w:r w:rsidR="00CB7363" w:rsidRPr="000B51E5">
              <w:rPr>
                <w:rFonts w:asciiTheme="majorHAnsi" w:hAnsiTheme="majorHAnsi" w:cs="Times New Roman"/>
                <w:sz w:val="22"/>
                <w:szCs w:val="22"/>
              </w:rPr>
              <w:t>The</w:t>
            </w:r>
            <w:r w:rsidR="00CB7363">
              <w:rPr>
                <w:rFonts w:asciiTheme="majorHAnsi" w:hAnsiTheme="majorHAnsi" w:cs="Times New Roman"/>
                <w:sz w:val="22"/>
                <w:szCs w:val="22"/>
              </w:rPr>
              <w:t xml:space="preserve"> main </w:t>
            </w:r>
            <w:r w:rsidR="00CB7363" w:rsidRPr="000B51E5">
              <w:rPr>
                <w:rFonts w:asciiTheme="majorHAnsi" w:hAnsiTheme="majorHAnsi" w:cs="Times New Roman"/>
                <w:sz w:val="22"/>
                <w:szCs w:val="22"/>
              </w:rPr>
              <w:t>models of outpatient TB care delivery</w:t>
            </w:r>
            <w:r w:rsidR="00CB7363">
              <w:rPr>
                <w:rFonts w:asciiTheme="majorHAnsi" w:hAnsiTheme="majorHAnsi" w:cs="Times New Roman"/>
                <w:sz w:val="22"/>
                <w:szCs w:val="22"/>
              </w:rPr>
              <w:t xml:space="preserve">, organized in the country are listed </w:t>
            </w:r>
            <w:r w:rsidR="00966EAD">
              <w:rPr>
                <w:rFonts w:asciiTheme="majorHAnsi" w:hAnsiTheme="majorHAnsi" w:cs="Times New Roman"/>
                <w:sz w:val="22"/>
                <w:szCs w:val="22"/>
              </w:rPr>
              <w:t>below with</w:t>
            </w:r>
            <w:r w:rsidR="00CB7363">
              <w:rPr>
                <w:rFonts w:asciiTheme="majorHAnsi" w:hAnsiTheme="majorHAnsi" w:cs="Times New Roman"/>
                <w:sz w:val="22"/>
                <w:szCs w:val="22"/>
              </w:rPr>
              <w:t xml:space="preserve"> some variations observed in the regions:</w:t>
            </w:r>
          </w:p>
          <w:p w14:paraId="3AF4F0FE" w14:textId="77777777" w:rsidR="00CB7363" w:rsidRDefault="00CB7363" w:rsidP="006A0E08">
            <w:pPr>
              <w:pStyle w:val="affff3"/>
              <w:numPr>
                <w:ilvl w:val="0"/>
                <w:numId w:val="47"/>
              </w:numPr>
              <w:spacing w:before="120" w:after="0" w:line="240" w:lineRule="auto"/>
              <w:jc w:val="both"/>
              <w:rPr>
                <w:rFonts w:asciiTheme="majorHAnsi" w:hAnsiTheme="majorHAnsi" w:cs="Times New Roman"/>
              </w:rPr>
            </w:pPr>
            <w:r w:rsidRPr="000B51E5">
              <w:rPr>
                <w:rFonts w:asciiTheme="majorHAnsi" w:hAnsiTheme="majorHAnsi" w:cs="Times New Roman"/>
              </w:rPr>
              <w:t>TB cabinet</w:t>
            </w:r>
            <w:r>
              <w:rPr>
                <w:rFonts w:asciiTheme="majorHAnsi" w:hAnsiTheme="majorHAnsi" w:cs="Times New Roman"/>
              </w:rPr>
              <w:t>s</w:t>
            </w:r>
            <w:r w:rsidRPr="000B51E5">
              <w:rPr>
                <w:rFonts w:asciiTheme="majorHAnsi" w:hAnsiTheme="majorHAnsi" w:cs="Times New Roman"/>
              </w:rPr>
              <w:t xml:space="preserve"> as an organizationally part of PHC </w:t>
            </w:r>
            <w:proofErr w:type="gramStart"/>
            <w:r w:rsidRPr="000B51E5">
              <w:rPr>
                <w:rFonts w:asciiTheme="majorHAnsi" w:hAnsiTheme="majorHAnsi" w:cs="Times New Roman"/>
              </w:rPr>
              <w:t>policlinics;</w:t>
            </w:r>
            <w:proofErr w:type="gramEnd"/>
          </w:p>
          <w:p w14:paraId="496954C5" w14:textId="4D1934A6" w:rsidR="00CB7363" w:rsidRPr="000B51E5" w:rsidRDefault="00CB7363" w:rsidP="006A0E08">
            <w:pPr>
              <w:pStyle w:val="affff3"/>
              <w:numPr>
                <w:ilvl w:val="0"/>
                <w:numId w:val="47"/>
              </w:numPr>
              <w:spacing w:after="0" w:line="240" w:lineRule="auto"/>
              <w:jc w:val="both"/>
              <w:rPr>
                <w:rFonts w:asciiTheme="majorHAnsi" w:hAnsiTheme="majorHAnsi" w:cs="Times New Roman"/>
              </w:rPr>
            </w:pPr>
            <w:r>
              <w:rPr>
                <w:rFonts w:asciiTheme="majorHAnsi" w:hAnsiTheme="majorHAnsi" w:cs="Times New Roman"/>
              </w:rPr>
              <w:t>TB cabinets at the P</w:t>
            </w:r>
            <w:r w:rsidR="00966EAD">
              <w:rPr>
                <w:rFonts w:asciiTheme="majorHAnsi" w:hAnsiTheme="majorHAnsi" w:cs="Times New Roman"/>
              </w:rPr>
              <w:t>HC</w:t>
            </w:r>
            <w:r>
              <w:rPr>
                <w:rFonts w:asciiTheme="majorHAnsi" w:hAnsiTheme="majorHAnsi" w:cs="Times New Roman"/>
              </w:rPr>
              <w:t xml:space="preserve"> organizationally</w:t>
            </w:r>
            <w:r w:rsidR="00966EAD">
              <w:rPr>
                <w:rFonts w:asciiTheme="majorHAnsi" w:hAnsiTheme="majorHAnsi" w:cs="Times New Roman"/>
              </w:rPr>
              <w:t xml:space="preserve"> belong</w:t>
            </w:r>
            <w:r>
              <w:rPr>
                <w:rFonts w:asciiTheme="majorHAnsi" w:hAnsiTheme="majorHAnsi" w:cs="Times New Roman"/>
              </w:rPr>
              <w:t xml:space="preserve"> to the TB </w:t>
            </w:r>
            <w:proofErr w:type="gramStart"/>
            <w:r>
              <w:rPr>
                <w:rFonts w:asciiTheme="majorHAnsi" w:hAnsiTheme="majorHAnsi" w:cs="Times New Roman"/>
              </w:rPr>
              <w:t>Center</w:t>
            </w:r>
            <w:r w:rsidR="00966EAD">
              <w:rPr>
                <w:rFonts w:asciiTheme="majorHAnsi" w:hAnsiTheme="majorHAnsi" w:cs="Times New Roman"/>
              </w:rPr>
              <w:t>;</w:t>
            </w:r>
            <w:proofErr w:type="gramEnd"/>
          </w:p>
          <w:p w14:paraId="61CE02A8" w14:textId="7CBC1326" w:rsidR="00CB7363" w:rsidRPr="000B51E5" w:rsidRDefault="00CB7363" w:rsidP="006A0E08">
            <w:pPr>
              <w:pStyle w:val="affff3"/>
              <w:numPr>
                <w:ilvl w:val="0"/>
                <w:numId w:val="47"/>
              </w:numPr>
              <w:spacing w:after="0" w:line="240" w:lineRule="auto"/>
              <w:jc w:val="both"/>
              <w:rPr>
                <w:rFonts w:asciiTheme="majorHAnsi" w:hAnsiTheme="majorHAnsi" w:cs="Times New Roman"/>
              </w:rPr>
            </w:pPr>
            <w:r w:rsidRPr="000B51E5">
              <w:rPr>
                <w:rFonts w:asciiTheme="majorHAnsi" w:hAnsiTheme="majorHAnsi" w:cs="Times New Roman"/>
              </w:rPr>
              <w:t>Outpatient</w:t>
            </w:r>
            <w:r>
              <w:rPr>
                <w:rFonts w:asciiTheme="majorHAnsi" w:hAnsiTheme="majorHAnsi" w:cs="Times New Roman"/>
              </w:rPr>
              <w:t xml:space="preserve"> TB departments at TB </w:t>
            </w:r>
            <w:proofErr w:type="gramStart"/>
            <w:r>
              <w:rPr>
                <w:rFonts w:asciiTheme="majorHAnsi" w:hAnsiTheme="majorHAnsi" w:cs="Times New Roman"/>
              </w:rPr>
              <w:t>Centers</w:t>
            </w:r>
            <w:r w:rsidRPr="000B51E5">
              <w:rPr>
                <w:rFonts w:asciiTheme="majorHAnsi" w:hAnsiTheme="majorHAnsi" w:cs="Times New Roman"/>
              </w:rPr>
              <w:t>;</w:t>
            </w:r>
            <w:proofErr w:type="gramEnd"/>
          </w:p>
          <w:p w14:paraId="3A9C51A6" w14:textId="4023264D" w:rsidR="00635DB3" w:rsidRPr="005572C7" w:rsidRDefault="00CB7363" w:rsidP="006A0E08">
            <w:pPr>
              <w:pStyle w:val="affff3"/>
              <w:numPr>
                <w:ilvl w:val="0"/>
                <w:numId w:val="47"/>
              </w:numPr>
              <w:spacing w:after="0" w:line="240" w:lineRule="auto"/>
              <w:jc w:val="both"/>
              <w:rPr>
                <w:rFonts w:asciiTheme="majorHAnsi" w:hAnsiTheme="majorHAnsi" w:cs="Times New Roman"/>
              </w:rPr>
            </w:pPr>
            <w:r>
              <w:rPr>
                <w:rFonts w:asciiTheme="majorHAnsi" w:hAnsiTheme="majorHAnsi" w:cs="Times New Roman"/>
              </w:rPr>
              <w:t xml:space="preserve">Outreach services for key and hard-to-reach population groups. </w:t>
            </w:r>
          </w:p>
          <w:p w14:paraId="1F813EDA" w14:textId="77777777" w:rsidR="005572C7" w:rsidRPr="005572C7" w:rsidRDefault="005572C7" w:rsidP="005572C7">
            <w:pPr>
              <w:spacing w:after="0" w:line="240" w:lineRule="auto"/>
              <w:ind w:left="360"/>
              <w:jc w:val="both"/>
              <w:rPr>
                <w:rFonts w:asciiTheme="majorHAnsi" w:hAnsiTheme="majorHAnsi" w:cs="Times New Roman"/>
              </w:rPr>
            </w:pPr>
          </w:p>
          <w:p w14:paraId="0FF1752B" w14:textId="17BFEB8C" w:rsidR="009330ED" w:rsidRDefault="009330ED" w:rsidP="005572C7">
            <w:pPr>
              <w:spacing w:after="0" w:line="240" w:lineRule="auto"/>
              <w:jc w:val="both"/>
              <w:rPr>
                <w:rFonts w:asciiTheme="majorHAnsi" w:hAnsiTheme="majorHAnsi" w:cs="OpenSans"/>
              </w:rPr>
            </w:pPr>
            <w:r w:rsidRPr="006B6A83">
              <w:rPr>
                <w:rFonts w:asciiTheme="majorHAnsi" w:hAnsiTheme="majorHAnsi" w:cs="OpenSans"/>
              </w:rPr>
              <w:t>The patient-centered models of TB care need to be aligned with the TB services’ financing approaches. To promote and improve ambulatory-policlinic’ coordination of TB care, the bundle</w:t>
            </w:r>
            <w:r w:rsidR="0055443A">
              <w:rPr>
                <w:rFonts w:asciiTheme="majorHAnsi" w:hAnsiTheme="majorHAnsi" w:cs="OpenSans"/>
              </w:rPr>
              <w:t xml:space="preserve">d payment or </w:t>
            </w:r>
            <w:r w:rsidR="00876C33">
              <w:rPr>
                <w:rFonts w:asciiTheme="majorHAnsi" w:hAnsiTheme="majorHAnsi" w:cs="OpenSans"/>
              </w:rPr>
              <w:t>CT for</w:t>
            </w:r>
            <w:r w:rsidR="0055443A">
              <w:rPr>
                <w:rFonts w:asciiTheme="majorHAnsi" w:hAnsiTheme="majorHAnsi" w:cs="OpenSans"/>
              </w:rPr>
              <w:t xml:space="preserve"> a</w:t>
            </w:r>
            <w:r w:rsidRPr="006B6A83">
              <w:rPr>
                <w:rFonts w:asciiTheme="majorHAnsi" w:hAnsiTheme="majorHAnsi" w:cs="OpenSans"/>
              </w:rPr>
              <w:t xml:space="preserve"> TB patient was introduced in the country in 2018. Since then, the CT has been aligned to regional differences and is currently in the revision</w:t>
            </w:r>
            <w:r>
              <w:rPr>
                <w:rFonts w:asciiTheme="majorHAnsi" w:hAnsiTheme="majorHAnsi" w:cs="OpenSans"/>
              </w:rPr>
              <w:t xml:space="preserve"> stage for minimizing possible risks. This payment model </w:t>
            </w:r>
            <w:r w:rsidRPr="006B6A83">
              <w:rPr>
                <w:rFonts w:asciiTheme="majorHAnsi" w:hAnsiTheme="majorHAnsi" w:cs="OpenSans"/>
              </w:rPr>
              <w:t xml:space="preserve">creates an incentive to move services to outpatient settings, thereby reducing cost and maximizing existing resources without disrupting the health workforce. </w:t>
            </w:r>
          </w:p>
          <w:p w14:paraId="37CF7D5F" w14:textId="77777777" w:rsidR="00C53040" w:rsidRDefault="00C53040" w:rsidP="005572C7">
            <w:pPr>
              <w:spacing w:after="0" w:line="240" w:lineRule="auto"/>
              <w:jc w:val="both"/>
              <w:rPr>
                <w:rFonts w:asciiTheme="majorHAnsi" w:hAnsiTheme="majorHAnsi" w:cs="OpenSans"/>
              </w:rPr>
            </w:pPr>
          </w:p>
          <w:p w14:paraId="3C55348A" w14:textId="257470B8" w:rsidR="00C17444" w:rsidRPr="00974FD7" w:rsidRDefault="00F35F74" w:rsidP="005572C7">
            <w:pPr>
              <w:spacing w:after="0" w:line="240" w:lineRule="auto"/>
              <w:jc w:val="both"/>
              <w:rPr>
                <w:rFonts w:cs="Arial"/>
              </w:rPr>
            </w:pPr>
            <w:r w:rsidRPr="00974FD7">
              <w:rPr>
                <w:rFonts w:cs="Arial"/>
              </w:rPr>
              <w:t>The TB Centers b</w:t>
            </w:r>
            <w:r w:rsidR="00EB3DD8" w:rsidRPr="00974FD7">
              <w:rPr>
                <w:rFonts w:cs="Arial"/>
              </w:rPr>
              <w:t xml:space="preserve">eds optimization efforts have </w:t>
            </w:r>
            <w:r w:rsidR="00C17444" w:rsidRPr="00974FD7">
              <w:rPr>
                <w:rFonts w:cs="Arial"/>
              </w:rPr>
              <w:t xml:space="preserve">resulting </w:t>
            </w:r>
            <w:r w:rsidR="00EB3DD8" w:rsidRPr="00974FD7">
              <w:rPr>
                <w:rFonts w:cs="Arial"/>
              </w:rPr>
              <w:t xml:space="preserve">also </w:t>
            </w:r>
            <w:r w:rsidR="00C17444" w:rsidRPr="00974FD7">
              <w:rPr>
                <w:rFonts w:cs="Arial"/>
              </w:rPr>
              <w:t>in the adoption of hospital replacement techniques, e.g., hospital-at-home model, nursing care, and care organization th</w:t>
            </w:r>
            <w:r w:rsidR="00EB3DD8" w:rsidRPr="00974FD7">
              <w:rPr>
                <w:rFonts w:cs="Arial"/>
              </w:rPr>
              <w:t>rough the mobile groups. I</w:t>
            </w:r>
            <w:r w:rsidR="00C17444" w:rsidRPr="00974FD7">
              <w:rPr>
                <w:rFonts w:cs="Arial"/>
              </w:rPr>
              <w:t xml:space="preserve">n 2020, 47.3% of patients on ambulatory treatment have received through video-supported treatment model (VST), 45.7% - at the PHC facilities, 3.2% at home, and 2.6% under mobile teams' supervision, and 1.1% in the day hospitals. For 73.3% of patients without bacterial excretion, the treatment was initiated at the PHC level, and patients with bacterial excretion after a short hospitalization </w:t>
            </w:r>
            <w:r w:rsidR="00EB3DD8" w:rsidRPr="00974FD7">
              <w:rPr>
                <w:rFonts w:cs="Arial"/>
              </w:rPr>
              <w:t>(</w:t>
            </w:r>
            <w:r w:rsidR="00C17444" w:rsidRPr="00974FD7">
              <w:rPr>
                <w:rFonts w:cs="Arial"/>
              </w:rPr>
              <w:t>2-4 weeks</w:t>
            </w:r>
            <w:r w:rsidR="00EB3DD8" w:rsidRPr="00974FD7">
              <w:rPr>
                <w:rFonts w:cs="Arial"/>
              </w:rPr>
              <w:t>)</w:t>
            </w:r>
            <w:r w:rsidR="00C17444" w:rsidRPr="00974FD7">
              <w:rPr>
                <w:rFonts w:cs="Arial"/>
              </w:rPr>
              <w:t xml:space="preserve"> were transferred for </w:t>
            </w:r>
            <w:r w:rsidR="006C49B1" w:rsidRPr="00974FD7">
              <w:rPr>
                <w:rFonts w:cs="Arial"/>
              </w:rPr>
              <w:t>ambulatory treatment after</w:t>
            </w:r>
            <w:r w:rsidR="00EB3DD8" w:rsidRPr="00974FD7">
              <w:rPr>
                <w:rFonts w:cs="Arial"/>
              </w:rPr>
              <w:t xml:space="preserve"> sputum conversion.</w:t>
            </w:r>
          </w:p>
          <w:p w14:paraId="39F9BEF7" w14:textId="77777777" w:rsidR="00EB3DD8" w:rsidRPr="00974FD7" w:rsidRDefault="00EB3DD8" w:rsidP="005572C7">
            <w:pPr>
              <w:spacing w:after="0" w:line="240" w:lineRule="auto"/>
              <w:jc w:val="both"/>
              <w:rPr>
                <w:rFonts w:cs="Arial"/>
              </w:rPr>
            </w:pPr>
          </w:p>
          <w:p w14:paraId="3EB6650D" w14:textId="746F630A" w:rsidR="001D042E" w:rsidRPr="00974FD7" w:rsidRDefault="00AA4427" w:rsidP="00AA4427">
            <w:pPr>
              <w:jc w:val="both"/>
              <w:rPr>
                <w:rFonts w:cs="Arial"/>
              </w:rPr>
            </w:pPr>
            <w:r w:rsidRPr="00974FD7">
              <w:rPr>
                <w:rFonts w:cs="Arial"/>
              </w:rPr>
              <w:t xml:space="preserve">Incentives are </w:t>
            </w:r>
            <w:r w:rsidRPr="00AA4427">
              <w:rPr>
                <w:rFonts w:eastAsia="Times New Roman" w:cs="Arial"/>
                <w:shd w:val="clear" w:color="auto" w:fill="FFFFFF"/>
              </w:rPr>
              <w:t>conducive to good coordination of </w:t>
            </w:r>
            <w:r w:rsidRPr="00AA4427">
              <w:rPr>
                <w:rFonts w:eastAsia="Times New Roman" w:cs="Arial"/>
                <w:bCs/>
              </w:rPr>
              <w:t xml:space="preserve">care. </w:t>
            </w:r>
            <w:r w:rsidR="00446E5F" w:rsidRPr="00974FD7">
              <w:rPr>
                <w:rFonts w:cs="Arial"/>
              </w:rPr>
              <w:t xml:space="preserve">In Kazakhstan, the </w:t>
            </w:r>
            <w:r w:rsidR="001D042E" w:rsidRPr="00974FD7">
              <w:rPr>
                <w:rFonts w:cs="Arial"/>
              </w:rPr>
              <w:t xml:space="preserve">governments provide financial and material incentives to TB patients to adhere to treatment. </w:t>
            </w:r>
            <w:r w:rsidRPr="00974FD7">
              <w:rPr>
                <w:rFonts w:cs="Arial"/>
              </w:rPr>
              <w:t>Though there are</w:t>
            </w:r>
            <w:r w:rsidR="001D042E" w:rsidRPr="00974FD7">
              <w:rPr>
                <w:rFonts w:cs="Arial"/>
              </w:rPr>
              <w:t xml:space="preserve"> regional variations</w:t>
            </w:r>
            <w:r w:rsidRPr="00974FD7">
              <w:rPr>
                <w:rFonts w:cs="Arial"/>
              </w:rPr>
              <w:t xml:space="preserve"> observed</w:t>
            </w:r>
            <w:r w:rsidR="001D042E" w:rsidRPr="00974FD7">
              <w:rPr>
                <w:rFonts w:cs="Arial"/>
              </w:rPr>
              <w:t>, the total assistance level steadily increased from 1.1% of the total TB Center budget in 2013 to 3.5% in 2017 and 4.4% in 2020. In 2020, the amount allocated for patient social support amounted to KZT1,278.8 million tenge, or approximately three million US dollars. During the nine months of 2021, the social support spending exceeded the 2020 level and made up KZT1,321.1 million.</w:t>
            </w:r>
          </w:p>
          <w:p w14:paraId="1BC58AD8" w14:textId="6F6B0840" w:rsidR="00BE4DC0" w:rsidRPr="006C49B1" w:rsidRDefault="006C49B1" w:rsidP="00F35F74">
            <w:pPr>
              <w:spacing w:before="240" w:line="240" w:lineRule="auto"/>
              <w:jc w:val="both"/>
              <w:rPr>
                <w:rFonts w:ascii="Times" w:eastAsia="Times New Roman" w:hAnsi="Times" w:cs="Times New Roman"/>
                <w:i/>
              </w:rPr>
            </w:pPr>
            <w:r w:rsidRPr="00974FD7">
              <w:rPr>
                <w:rFonts w:cs="Arial"/>
                <w:i/>
              </w:rPr>
              <w:t>Role of local civil society organizations (</w:t>
            </w:r>
            <w:r w:rsidR="00E84FAE" w:rsidRPr="00974FD7">
              <w:rPr>
                <w:rFonts w:cs="Arial"/>
                <w:i/>
              </w:rPr>
              <w:t>CS</w:t>
            </w:r>
            <w:r w:rsidRPr="00974FD7">
              <w:rPr>
                <w:rFonts w:cs="Arial"/>
                <w:i/>
              </w:rPr>
              <w:t>O) in TB care</w:t>
            </w:r>
            <w:r w:rsidR="00790711" w:rsidRPr="00974FD7">
              <w:rPr>
                <w:rFonts w:cs="Arial"/>
                <w:i/>
              </w:rPr>
              <w:t>, civilian sector</w:t>
            </w:r>
          </w:p>
          <w:p w14:paraId="62D6CD67" w14:textId="78E6740E" w:rsidR="00110B9F" w:rsidRPr="00974FD7" w:rsidRDefault="00110B9F" w:rsidP="00AA4427">
            <w:pPr>
              <w:spacing w:after="0" w:line="240" w:lineRule="auto"/>
              <w:jc w:val="both"/>
              <w:rPr>
                <w:rFonts w:cs="Arial"/>
              </w:rPr>
            </w:pPr>
            <w:r w:rsidRPr="00974FD7">
              <w:rPr>
                <w:rFonts w:cs="Arial"/>
              </w:rPr>
              <w:t xml:space="preserve">The involvement of </w:t>
            </w:r>
            <w:r w:rsidR="00E84FAE" w:rsidRPr="00974FD7">
              <w:rPr>
                <w:rFonts w:cs="Arial"/>
              </w:rPr>
              <w:t>CS</w:t>
            </w:r>
            <w:r w:rsidR="006C49B1" w:rsidRPr="00974FD7">
              <w:rPr>
                <w:rFonts w:cs="Arial"/>
              </w:rPr>
              <w:t xml:space="preserve">O </w:t>
            </w:r>
            <w:r w:rsidRPr="00974FD7">
              <w:rPr>
                <w:rFonts w:cs="Arial"/>
              </w:rPr>
              <w:t xml:space="preserve">in TB programs has addressed the gaps in medical and </w:t>
            </w:r>
            <w:r w:rsidR="00C03DE0" w:rsidRPr="00974FD7">
              <w:rPr>
                <w:rFonts w:cs="Arial"/>
              </w:rPr>
              <w:t>support</w:t>
            </w:r>
            <w:r w:rsidRPr="00974FD7">
              <w:rPr>
                <w:rFonts w:cs="Arial"/>
              </w:rPr>
              <w:t xml:space="preserve"> services at the community level and has contributed significantly to building the patient-centered service delivery model. Their main activities to ensure adherence to treatment of TB patients receiving therapy at the PHC level included: </w:t>
            </w:r>
          </w:p>
          <w:p w14:paraId="6592D3CA" w14:textId="590A9B4C" w:rsidR="00110B9F" w:rsidRPr="00974FD7" w:rsidRDefault="00110B9F" w:rsidP="006A0E08">
            <w:pPr>
              <w:pStyle w:val="affff3"/>
              <w:numPr>
                <w:ilvl w:val="0"/>
                <w:numId w:val="47"/>
              </w:numPr>
              <w:spacing w:before="120" w:after="0" w:line="240" w:lineRule="auto"/>
              <w:rPr>
                <w:rFonts w:cs="Arial"/>
              </w:rPr>
            </w:pPr>
            <w:r w:rsidRPr="00974FD7">
              <w:rPr>
                <w:rFonts w:cs="Arial"/>
              </w:rPr>
              <w:t xml:space="preserve">informing/counseling to enhance medication </w:t>
            </w:r>
            <w:proofErr w:type="gramStart"/>
            <w:r w:rsidRPr="00974FD7">
              <w:rPr>
                <w:rFonts w:cs="Arial"/>
              </w:rPr>
              <w:t>adherence;</w:t>
            </w:r>
            <w:proofErr w:type="gramEnd"/>
          </w:p>
          <w:p w14:paraId="4CD3D163" w14:textId="6E107135" w:rsidR="00110B9F" w:rsidRPr="00974FD7" w:rsidRDefault="00110B9F" w:rsidP="006A0E08">
            <w:pPr>
              <w:pStyle w:val="affff3"/>
              <w:numPr>
                <w:ilvl w:val="0"/>
                <w:numId w:val="47"/>
              </w:numPr>
              <w:spacing w:after="0" w:line="240" w:lineRule="auto"/>
              <w:rPr>
                <w:rFonts w:cs="Arial"/>
              </w:rPr>
            </w:pPr>
            <w:r w:rsidRPr="00974FD7">
              <w:rPr>
                <w:rFonts w:cs="Arial"/>
              </w:rPr>
              <w:t xml:space="preserve">organization of meetings of the support </w:t>
            </w:r>
            <w:proofErr w:type="gramStart"/>
            <w:r w:rsidRPr="00974FD7">
              <w:rPr>
                <w:rFonts w:cs="Arial"/>
              </w:rPr>
              <w:t>groups;</w:t>
            </w:r>
            <w:proofErr w:type="gramEnd"/>
          </w:p>
          <w:p w14:paraId="7514971B" w14:textId="679405C1" w:rsidR="00110B9F" w:rsidRPr="00974FD7" w:rsidRDefault="00110B9F" w:rsidP="006A0E08">
            <w:pPr>
              <w:pStyle w:val="affff3"/>
              <w:numPr>
                <w:ilvl w:val="0"/>
                <w:numId w:val="47"/>
              </w:numPr>
              <w:spacing w:after="0" w:line="240" w:lineRule="auto"/>
              <w:rPr>
                <w:rFonts w:cs="Arial"/>
              </w:rPr>
            </w:pPr>
            <w:r w:rsidRPr="00974FD7">
              <w:rPr>
                <w:rFonts w:cs="Arial"/>
              </w:rPr>
              <w:t xml:space="preserve">peer-to-peer counseling and educating family members about the problems a TB patient might have during TB treatment and possible solutions to enhance family </w:t>
            </w:r>
            <w:proofErr w:type="gramStart"/>
            <w:r w:rsidRPr="00974FD7">
              <w:rPr>
                <w:rFonts w:cs="Arial"/>
              </w:rPr>
              <w:t>support;</w:t>
            </w:r>
            <w:proofErr w:type="gramEnd"/>
          </w:p>
          <w:p w14:paraId="31F5E656" w14:textId="045F2AFA" w:rsidR="00110B9F" w:rsidRPr="00974FD7" w:rsidRDefault="00110B9F" w:rsidP="006A0E08">
            <w:pPr>
              <w:pStyle w:val="affff3"/>
              <w:numPr>
                <w:ilvl w:val="0"/>
                <w:numId w:val="47"/>
              </w:numPr>
              <w:spacing w:after="0" w:line="240" w:lineRule="auto"/>
              <w:rPr>
                <w:rFonts w:cs="Arial"/>
              </w:rPr>
            </w:pPr>
            <w:r w:rsidRPr="00974FD7">
              <w:rPr>
                <w:rFonts w:cs="Arial"/>
              </w:rPr>
              <w:t xml:space="preserve">risk assessment of non-adherence to treatment and an individual support plan </w:t>
            </w:r>
            <w:proofErr w:type="gramStart"/>
            <w:r w:rsidRPr="00974FD7">
              <w:rPr>
                <w:rFonts w:cs="Arial"/>
              </w:rPr>
              <w:t>development;</w:t>
            </w:r>
            <w:proofErr w:type="gramEnd"/>
          </w:p>
          <w:p w14:paraId="41925113" w14:textId="4B7A24F9" w:rsidR="00110B9F" w:rsidRPr="00974FD7" w:rsidRDefault="00110B9F" w:rsidP="006A0E08">
            <w:pPr>
              <w:pStyle w:val="affff3"/>
              <w:numPr>
                <w:ilvl w:val="0"/>
                <w:numId w:val="47"/>
              </w:numPr>
              <w:spacing w:after="0" w:line="240" w:lineRule="auto"/>
              <w:rPr>
                <w:rFonts w:cs="Arial"/>
              </w:rPr>
            </w:pPr>
            <w:r w:rsidRPr="00974FD7">
              <w:rPr>
                <w:rFonts w:cs="Arial"/>
              </w:rPr>
              <w:t xml:space="preserve">referring/escorting to social services available at the </w:t>
            </w:r>
            <w:proofErr w:type="gramStart"/>
            <w:r w:rsidRPr="00974FD7">
              <w:rPr>
                <w:rFonts w:cs="Arial"/>
              </w:rPr>
              <w:t>community;</w:t>
            </w:r>
            <w:proofErr w:type="gramEnd"/>
          </w:p>
          <w:p w14:paraId="4B5CD8CD" w14:textId="77777777" w:rsidR="00535656" w:rsidRPr="00974FD7" w:rsidRDefault="00110B9F" w:rsidP="006A0E08">
            <w:pPr>
              <w:pStyle w:val="affff3"/>
              <w:numPr>
                <w:ilvl w:val="0"/>
                <w:numId w:val="47"/>
              </w:numPr>
              <w:rPr>
                <w:rFonts w:cs="Arial"/>
              </w:rPr>
            </w:pPr>
            <w:r w:rsidRPr="00974FD7">
              <w:rPr>
                <w:rFonts w:cs="Arial"/>
              </w:rPr>
              <w:t xml:space="preserve">referring beneficiaries to get legal </w:t>
            </w:r>
            <w:proofErr w:type="gramStart"/>
            <w:r w:rsidRPr="00974FD7">
              <w:rPr>
                <w:rFonts w:cs="Arial"/>
              </w:rPr>
              <w:t>advice;</w:t>
            </w:r>
            <w:proofErr w:type="gramEnd"/>
          </w:p>
          <w:p w14:paraId="40404A6D" w14:textId="70C239C7" w:rsidR="00AA4427" w:rsidRPr="00974FD7" w:rsidRDefault="007C2859" w:rsidP="006A0E08">
            <w:pPr>
              <w:pStyle w:val="affff3"/>
              <w:numPr>
                <w:ilvl w:val="0"/>
                <w:numId w:val="47"/>
              </w:numPr>
              <w:jc w:val="both"/>
              <w:rPr>
                <w:rFonts w:cs="Arial"/>
              </w:rPr>
            </w:pPr>
            <w:r w:rsidRPr="00974FD7">
              <w:rPr>
                <w:rFonts w:cs="Arial"/>
              </w:rPr>
              <w:t xml:space="preserve">advocacy for increased accessibility of resources, services and drugs based on information collected from patients with tuberculosis on the quality of medical services, disruptions in the provision of benefits, shortages of drugs and personal expenses through the </w:t>
            </w:r>
            <w:r w:rsidR="00535656" w:rsidRPr="00974FD7">
              <w:rPr>
                <w:rFonts w:cs="Arial"/>
              </w:rPr>
              <w:t>«</w:t>
            </w:r>
            <w:r w:rsidR="00490776" w:rsidRPr="00974FD7">
              <w:rPr>
                <w:rFonts w:cs="Arial"/>
              </w:rPr>
              <w:t>One</w:t>
            </w:r>
            <w:r w:rsidRPr="00974FD7">
              <w:rPr>
                <w:rFonts w:cs="Arial"/>
              </w:rPr>
              <w:t>Impact Kazakhstan</w:t>
            </w:r>
            <w:r w:rsidR="00535656" w:rsidRPr="00974FD7">
              <w:rPr>
                <w:rFonts w:cs="Arial"/>
              </w:rPr>
              <w:t xml:space="preserve">» mobile </w:t>
            </w:r>
            <w:proofErr w:type="gramStart"/>
            <w:r w:rsidR="00535656" w:rsidRPr="00974FD7">
              <w:rPr>
                <w:rFonts w:cs="Arial"/>
              </w:rPr>
              <w:t>application;</w:t>
            </w:r>
            <w:proofErr w:type="gramEnd"/>
          </w:p>
          <w:p w14:paraId="352BE05F" w14:textId="0954F848" w:rsidR="00BE4DC0" w:rsidRPr="00974FD7" w:rsidRDefault="007C2859" w:rsidP="006A0E08">
            <w:pPr>
              <w:pStyle w:val="affff3"/>
              <w:numPr>
                <w:ilvl w:val="0"/>
                <w:numId w:val="47"/>
              </w:numPr>
              <w:jc w:val="both"/>
              <w:rPr>
                <w:rFonts w:cs="Arial"/>
              </w:rPr>
            </w:pPr>
            <w:r w:rsidRPr="00974FD7">
              <w:rPr>
                <w:rFonts w:cs="Arial"/>
              </w:rPr>
              <w:t xml:space="preserve">awareness-raising activities to reduce stigma and discrimination towards </w:t>
            </w:r>
            <w:r w:rsidR="00110B9F" w:rsidRPr="00974FD7">
              <w:rPr>
                <w:rFonts w:cs="Arial"/>
              </w:rPr>
              <w:t xml:space="preserve">TB patients. </w:t>
            </w:r>
          </w:p>
          <w:p w14:paraId="74F6AE10" w14:textId="3198B78C" w:rsidR="007C2859" w:rsidRPr="00974FD7" w:rsidRDefault="00B20F3C" w:rsidP="00635DB3">
            <w:pPr>
              <w:jc w:val="both"/>
              <w:rPr>
                <w:rFonts w:cs="Arial"/>
              </w:rPr>
            </w:pPr>
            <w:r w:rsidRPr="00974FD7">
              <w:rPr>
                <w:rFonts w:cs="Arial"/>
              </w:rPr>
              <w:t xml:space="preserve">Based on facts collected on stigma and discrimination experiences, those 2,138 TB patients likely to interrupt the treatment were selected for NGO support resulted in successful treatment outcomes for 2,027 patients in 2020. The NGO's effectiveness in reducing treatment interruption and increasing the treatment success rate was 95%. Moreover, the NGOs have actively followed up 288 TB patients in 2020 and 349 patients in </w:t>
            </w:r>
            <w:r w:rsidR="0055443A">
              <w:rPr>
                <w:rFonts w:cs="Arial"/>
              </w:rPr>
              <w:t>nine months of 2021,</w:t>
            </w:r>
            <w:r w:rsidRPr="00974FD7">
              <w:rPr>
                <w:rFonts w:cs="Arial"/>
              </w:rPr>
              <w:t xml:space="preserve"> who interrupted treatment and helped them return to care. In </w:t>
            </w:r>
            <w:r w:rsidR="00490776" w:rsidRPr="00974FD7">
              <w:rPr>
                <w:rFonts w:cs="Arial"/>
              </w:rPr>
              <w:t xml:space="preserve">nine months of 2021, the NGOs' </w:t>
            </w:r>
            <w:r w:rsidRPr="00974FD7">
              <w:rPr>
                <w:rFonts w:cs="Arial"/>
              </w:rPr>
              <w:t xml:space="preserve">adherence and social support services were given to 1,490 patients with active TB, and the treatment interruption was reported only in 15 patients. </w:t>
            </w:r>
          </w:p>
          <w:p w14:paraId="52D9CBC7" w14:textId="6445BAEA" w:rsidR="00CA2A53" w:rsidRPr="00974FD7" w:rsidRDefault="00CA2A53" w:rsidP="00635DB3">
            <w:pPr>
              <w:jc w:val="both"/>
              <w:rPr>
                <w:rFonts w:cs="Arial"/>
              </w:rPr>
            </w:pPr>
            <w:r w:rsidRPr="00974FD7">
              <w:rPr>
                <w:rFonts w:cs="Arial"/>
              </w:rPr>
              <w:t xml:space="preserve">Another essential element of the new people-centered model in TB care is the introduction of video-supported treatment. The use of accessible e-platforms such as Skype, WhatsApp, Viber has begun to use since 2017 for video accompaniment in the cure of TB at the ambulatory level. The results showed significantly higher adherence rates, higher acceptability, and lower treatment costs compared to the model when patients receive treatment at the PHC facilities. The use of the VST has been expanded during the pandemic caused by healthcare services delivery disruption due to measures </w:t>
            </w:r>
            <w:r w:rsidR="00490776" w:rsidRPr="00974FD7">
              <w:rPr>
                <w:rFonts w:cs="Arial"/>
              </w:rPr>
              <w:t xml:space="preserve">imposed to respond to COVID-19 </w:t>
            </w:r>
            <w:r w:rsidRPr="00974FD7">
              <w:rPr>
                <w:rFonts w:cs="Arial"/>
              </w:rPr>
              <w:t xml:space="preserve">and healthcare </w:t>
            </w:r>
            <w:proofErr w:type="gramStart"/>
            <w:r w:rsidRPr="00974FD7">
              <w:rPr>
                <w:rFonts w:cs="Arial"/>
              </w:rPr>
              <w:t xml:space="preserve">services reorganization, </w:t>
            </w:r>
            <w:r w:rsidR="00240DD6">
              <w:rPr>
                <w:rFonts w:cs="Arial"/>
              </w:rPr>
              <w:t>and</w:t>
            </w:r>
            <w:proofErr w:type="gramEnd"/>
            <w:r w:rsidR="00240DD6">
              <w:rPr>
                <w:rFonts w:cs="Arial"/>
              </w:rPr>
              <w:t xml:space="preserve"> aimed</w:t>
            </w:r>
            <w:r w:rsidRPr="00974FD7">
              <w:rPr>
                <w:rFonts w:cs="Arial"/>
              </w:rPr>
              <w:t xml:space="preserve"> to bridge the gap between healthcare providers and patients.</w:t>
            </w:r>
          </w:p>
          <w:p w14:paraId="5A1CD374" w14:textId="77777777" w:rsidR="00974AA2" w:rsidRPr="00974FD7" w:rsidRDefault="00CA2A53" w:rsidP="000C1077">
            <w:pPr>
              <w:spacing w:before="240" w:line="240" w:lineRule="auto"/>
              <w:jc w:val="both"/>
              <w:rPr>
                <w:rFonts w:cs="Arial"/>
                <w:b/>
              </w:rPr>
            </w:pPr>
            <w:r w:rsidRPr="00974FD7">
              <w:rPr>
                <w:rFonts w:cs="Arial"/>
                <w:b/>
              </w:rPr>
              <w:t xml:space="preserve">TB Control in Penitentiary System </w:t>
            </w:r>
          </w:p>
          <w:p w14:paraId="6894BAA1" w14:textId="7951C238" w:rsidR="00974AA2" w:rsidRPr="00974FD7" w:rsidRDefault="00974AA2" w:rsidP="005A2B34">
            <w:pPr>
              <w:spacing w:after="0" w:line="240" w:lineRule="auto"/>
              <w:jc w:val="both"/>
              <w:rPr>
                <w:rFonts w:cs="Arial"/>
              </w:rPr>
            </w:pPr>
            <w:r w:rsidRPr="00974FD7">
              <w:rPr>
                <w:rFonts w:cs="Arial"/>
              </w:rPr>
              <w:t xml:space="preserve">The penitentiary system </w:t>
            </w:r>
            <w:r w:rsidR="000E51DC" w:rsidRPr="00974FD7">
              <w:rPr>
                <w:rFonts w:cs="Arial"/>
              </w:rPr>
              <w:t xml:space="preserve">in Kazakhstan </w:t>
            </w:r>
            <w:r w:rsidRPr="00974FD7">
              <w:rPr>
                <w:rFonts w:cs="Arial"/>
              </w:rPr>
              <w:t>includes 48 correctional institutions, 16 pre-trial detention centers</w:t>
            </w:r>
            <w:r w:rsidR="00C32E99" w:rsidRPr="00974FD7">
              <w:rPr>
                <w:rFonts w:cs="Arial"/>
              </w:rPr>
              <w:t>,</w:t>
            </w:r>
            <w:r w:rsidRPr="00974FD7">
              <w:rPr>
                <w:rFonts w:cs="Arial"/>
              </w:rPr>
              <w:t xml:space="preserve"> and 16 penal colonies. Medical assistance to prisoners and reman</w:t>
            </w:r>
            <w:r w:rsidR="000E51DC" w:rsidRPr="00974FD7">
              <w:rPr>
                <w:rFonts w:cs="Arial"/>
              </w:rPr>
              <w:t>d</w:t>
            </w:r>
            <w:r w:rsidRPr="00974FD7">
              <w:rPr>
                <w:rFonts w:cs="Arial"/>
              </w:rPr>
              <w:t xml:space="preserve"> prisoners is provided in the medical units of </w:t>
            </w:r>
            <w:r w:rsidR="000E51DC" w:rsidRPr="00974FD7">
              <w:rPr>
                <w:rFonts w:cs="Arial"/>
              </w:rPr>
              <w:t xml:space="preserve">these institutions as well </w:t>
            </w:r>
            <w:r w:rsidRPr="00974FD7">
              <w:rPr>
                <w:rFonts w:cs="Arial"/>
              </w:rPr>
              <w:t xml:space="preserve">in general hospitals with 490 beds, </w:t>
            </w:r>
            <w:r w:rsidR="00E018FB" w:rsidRPr="00974FD7">
              <w:rPr>
                <w:rFonts w:cs="Arial"/>
              </w:rPr>
              <w:t>TB C</w:t>
            </w:r>
            <w:r w:rsidR="000E51DC" w:rsidRPr="00974FD7">
              <w:rPr>
                <w:rFonts w:cs="Arial"/>
              </w:rPr>
              <w:t>enters</w:t>
            </w:r>
            <w:r w:rsidRPr="00974FD7">
              <w:rPr>
                <w:rFonts w:cs="Arial"/>
              </w:rPr>
              <w:t xml:space="preserve"> with 810 beds</w:t>
            </w:r>
            <w:r w:rsidR="00C32E99" w:rsidRPr="00974FD7">
              <w:rPr>
                <w:rFonts w:cs="Arial"/>
              </w:rPr>
              <w:t>,</w:t>
            </w:r>
            <w:r w:rsidRPr="00974FD7">
              <w:rPr>
                <w:rFonts w:cs="Arial"/>
              </w:rPr>
              <w:t xml:space="preserve"> and a psychiatric hospital with 50 beds. </w:t>
            </w:r>
            <w:r w:rsidR="00C32E99" w:rsidRPr="00974FD7">
              <w:rPr>
                <w:rFonts w:cs="Arial"/>
              </w:rPr>
              <w:t xml:space="preserve">The </w:t>
            </w:r>
            <w:r w:rsidR="002735B8" w:rsidRPr="00974FD7">
              <w:rPr>
                <w:rFonts w:cs="Arial"/>
              </w:rPr>
              <w:t xml:space="preserve">measures to control TB in the penitentiary system is guided by </w:t>
            </w:r>
            <w:r w:rsidR="00D2105B" w:rsidRPr="00974FD7">
              <w:rPr>
                <w:rFonts w:cs="Arial"/>
              </w:rPr>
              <w:t xml:space="preserve">the </w:t>
            </w:r>
            <w:r w:rsidR="00C32E99" w:rsidRPr="00974FD7">
              <w:rPr>
                <w:rFonts w:cs="Arial"/>
              </w:rPr>
              <w:t xml:space="preserve">Comprehensive Plan and implemented following the </w:t>
            </w:r>
            <w:r w:rsidR="0055443A">
              <w:rPr>
                <w:rFonts w:cs="Arial"/>
              </w:rPr>
              <w:t>Ministry of Internal Affairs (</w:t>
            </w:r>
            <w:r w:rsidR="00C32E99" w:rsidRPr="00974FD7">
              <w:rPr>
                <w:rFonts w:cs="Arial"/>
              </w:rPr>
              <w:t>MoIA</w:t>
            </w:r>
            <w:r w:rsidR="0055443A">
              <w:rPr>
                <w:rFonts w:cs="Arial"/>
              </w:rPr>
              <w:t>)</w:t>
            </w:r>
            <w:r w:rsidR="00C32E99" w:rsidRPr="00974FD7">
              <w:rPr>
                <w:rFonts w:cs="Arial"/>
              </w:rPr>
              <w:t>'s order</w:t>
            </w:r>
            <w:r w:rsidR="00C32E99">
              <w:rPr>
                <w:rStyle w:val="af"/>
                <w:rFonts w:cs="Arial"/>
              </w:rPr>
              <w:footnoteReference w:id="53"/>
            </w:r>
            <w:r w:rsidR="00C32E99" w:rsidRPr="00974FD7">
              <w:rPr>
                <w:rFonts w:cs="Arial"/>
              </w:rPr>
              <w:t xml:space="preserve"> in close cooperation with the National Scientific Center for Phthisiopulmonology, some international partners, and CSOs.</w:t>
            </w:r>
          </w:p>
          <w:p w14:paraId="0EBA489F" w14:textId="77777777" w:rsidR="005A2B34" w:rsidRPr="00974FD7" w:rsidRDefault="005A2B34" w:rsidP="005A2B34">
            <w:pPr>
              <w:spacing w:after="0" w:line="240" w:lineRule="auto"/>
              <w:jc w:val="both"/>
              <w:rPr>
                <w:rFonts w:cs="Arial"/>
              </w:rPr>
            </w:pPr>
          </w:p>
          <w:p w14:paraId="1B80B6A8" w14:textId="73A3602E" w:rsidR="005A2B34" w:rsidRPr="00974FD7" w:rsidRDefault="00D2105B" w:rsidP="005A2B34">
            <w:pPr>
              <w:spacing w:after="0" w:line="240" w:lineRule="auto"/>
              <w:jc w:val="both"/>
              <w:rPr>
                <w:rFonts w:cs="Arial"/>
              </w:rPr>
            </w:pPr>
            <w:r w:rsidRPr="00974FD7">
              <w:rPr>
                <w:rFonts w:cs="Arial"/>
              </w:rPr>
              <w:t xml:space="preserve">Active </w:t>
            </w:r>
            <w:r w:rsidR="002735B8" w:rsidRPr="00974FD7">
              <w:rPr>
                <w:rFonts w:cs="Arial"/>
              </w:rPr>
              <w:t xml:space="preserve">TB </w:t>
            </w:r>
            <w:r w:rsidRPr="00974FD7">
              <w:rPr>
                <w:rFonts w:cs="Arial"/>
              </w:rPr>
              <w:t xml:space="preserve">screening is conducted using </w:t>
            </w:r>
            <w:proofErr w:type="gramStart"/>
            <w:r w:rsidRPr="00974FD7">
              <w:rPr>
                <w:rFonts w:cs="Arial"/>
              </w:rPr>
              <w:t>x-ray</w:t>
            </w:r>
            <w:proofErr w:type="gramEnd"/>
            <w:r w:rsidR="002735B8" w:rsidRPr="00974FD7">
              <w:rPr>
                <w:rFonts w:cs="Arial"/>
              </w:rPr>
              <w:t xml:space="preserve"> for all prisoners upon admission to the system</w:t>
            </w:r>
            <w:r w:rsidRPr="00974FD7">
              <w:rPr>
                <w:rFonts w:cs="Arial"/>
              </w:rPr>
              <w:t xml:space="preserve">, then </w:t>
            </w:r>
            <w:r w:rsidR="002735B8" w:rsidRPr="00974FD7">
              <w:rPr>
                <w:rFonts w:cs="Arial"/>
              </w:rPr>
              <w:t>regular</w:t>
            </w:r>
            <w:r w:rsidRPr="00974FD7">
              <w:rPr>
                <w:rFonts w:cs="Arial"/>
              </w:rPr>
              <w:t>ly,</w:t>
            </w:r>
            <w:r w:rsidR="002735B8" w:rsidRPr="00974FD7">
              <w:rPr>
                <w:rFonts w:cs="Arial"/>
              </w:rPr>
              <w:t xml:space="preserve"> twice a year. Tuberculosis screening and diagnostics are performed following national protocols, including Xpert MTB/Rif as an initial test, culture investigations and DST, in the bacteriological laboratory at the penitentiary system as well as in the civil sector' laboratories, whenever necessary. </w:t>
            </w:r>
            <w:r w:rsidR="00E018FB" w:rsidRPr="00974FD7">
              <w:rPr>
                <w:rFonts w:cs="Arial"/>
              </w:rPr>
              <w:t>In 2020, the c</w:t>
            </w:r>
            <w:r w:rsidR="002735B8" w:rsidRPr="00974FD7">
              <w:rPr>
                <w:rFonts w:cs="Arial"/>
              </w:rPr>
              <w:t>overage of presumptive TB cases by molecular genetic testing in the penitentiary system has increased fro</w:t>
            </w:r>
            <w:r w:rsidR="00E018FB" w:rsidRPr="00974FD7">
              <w:rPr>
                <w:rFonts w:cs="Arial"/>
              </w:rPr>
              <w:t>m 57.3% in 2018 to 94.0%</w:t>
            </w:r>
            <w:r w:rsidR="002735B8" w:rsidRPr="00974FD7">
              <w:rPr>
                <w:rFonts w:cs="Arial"/>
              </w:rPr>
              <w:t>.</w:t>
            </w:r>
          </w:p>
          <w:p w14:paraId="03FC1FF3" w14:textId="77777777" w:rsidR="005A2B34" w:rsidRPr="00974FD7" w:rsidRDefault="005A2B34" w:rsidP="005A2B34">
            <w:pPr>
              <w:spacing w:after="0" w:line="240" w:lineRule="auto"/>
              <w:jc w:val="both"/>
              <w:rPr>
                <w:rFonts w:cs="Arial"/>
              </w:rPr>
            </w:pPr>
          </w:p>
          <w:p w14:paraId="4DFA4BE8" w14:textId="6D42E3F2" w:rsidR="00BA3B72" w:rsidRPr="00974FD7" w:rsidRDefault="00BA3B72" w:rsidP="005A2B34">
            <w:pPr>
              <w:spacing w:after="0" w:line="240" w:lineRule="auto"/>
              <w:jc w:val="both"/>
              <w:rPr>
                <w:rFonts w:cs="Arial"/>
              </w:rPr>
            </w:pPr>
            <w:r w:rsidRPr="00974FD7">
              <w:rPr>
                <w:rFonts w:cs="Arial"/>
              </w:rPr>
              <w:t>All medications for drug-susceptible forms of tuberculosis are purchased from the budgetary funds and second-line regimens for treatment of RR/MDR-TB patients– through the GF grant. Also, the GF/PIU supports the penitentiary system by procuring some products for bacteriological investigation of TB in prisons.</w:t>
            </w:r>
          </w:p>
          <w:p w14:paraId="5DADBD45" w14:textId="77777777" w:rsidR="00E018FB" w:rsidRPr="00974FD7" w:rsidRDefault="00E018FB" w:rsidP="005A2B34">
            <w:pPr>
              <w:spacing w:after="0" w:line="240" w:lineRule="auto"/>
              <w:jc w:val="both"/>
              <w:rPr>
                <w:rFonts w:cs="Arial"/>
              </w:rPr>
            </w:pPr>
          </w:p>
          <w:p w14:paraId="0F626673" w14:textId="47208789" w:rsidR="00635DB3" w:rsidRPr="00974FD7" w:rsidRDefault="00D374E6" w:rsidP="00502B50">
            <w:pPr>
              <w:spacing w:after="0" w:line="240" w:lineRule="auto"/>
              <w:jc w:val="both"/>
              <w:rPr>
                <w:rFonts w:cs="Arial"/>
              </w:rPr>
            </w:pPr>
            <w:r w:rsidRPr="00974FD7">
              <w:rPr>
                <w:rFonts w:cs="Arial"/>
              </w:rPr>
              <w:t xml:space="preserve">Treatment of </w:t>
            </w:r>
            <w:r w:rsidR="00490776" w:rsidRPr="00974FD7">
              <w:rPr>
                <w:rFonts w:cs="Arial"/>
              </w:rPr>
              <w:t>RR/MDR-</w:t>
            </w:r>
            <w:r w:rsidRPr="00974FD7">
              <w:rPr>
                <w:rFonts w:cs="Arial"/>
              </w:rPr>
              <w:t xml:space="preserve">TB in the penitentiary system with new and repurposed drugs began in 2018. Forty-eight out of 49 MDR-TB patients enrolled in therapy with new drugs completed it successfully. The treatment success rate was high for patients with both susceptible and drug-resistant forms of the disease </w:t>
            </w:r>
            <w:r w:rsidR="002E485A" w:rsidRPr="00974FD7">
              <w:rPr>
                <w:rFonts w:cs="Arial"/>
              </w:rPr>
              <w:t>(Figures 33&amp;34</w:t>
            </w:r>
            <w:r w:rsidR="00153629" w:rsidRPr="00974FD7">
              <w:rPr>
                <w:rFonts w:cs="Arial"/>
              </w:rPr>
              <w:t>).</w:t>
            </w:r>
            <w:r w:rsidR="002E38CB" w:rsidRPr="00974FD7">
              <w:rPr>
                <w:rFonts w:cs="Arial"/>
              </w:rPr>
              <w:t xml:space="preserve"> </w:t>
            </w:r>
          </w:p>
          <w:p w14:paraId="5E3C5F96" w14:textId="77777777" w:rsidR="005D067C" w:rsidRPr="00974FD7" w:rsidRDefault="005D067C" w:rsidP="00454124">
            <w:pPr>
              <w:spacing w:before="240" w:line="240" w:lineRule="auto"/>
              <w:jc w:val="both"/>
              <w:rPr>
                <w:rFonts w:cs="Arial"/>
                <w:i/>
              </w:rPr>
            </w:pPr>
            <w:r w:rsidRPr="00974FD7">
              <w:rPr>
                <w:rFonts w:cs="Arial"/>
                <w:i/>
              </w:rPr>
              <w:t>Role of CSO in TB care, penitentiary sector</w:t>
            </w:r>
          </w:p>
          <w:p w14:paraId="4D2BE185" w14:textId="60BB35B4" w:rsidR="005D067C" w:rsidRPr="00974FD7" w:rsidRDefault="005D067C" w:rsidP="005D067C">
            <w:pPr>
              <w:spacing w:after="0" w:line="240" w:lineRule="auto"/>
              <w:jc w:val="both"/>
              <w:rPr>
                <w:rFonts w:cs="Arial"/>
              </w:rPr>
            </w:pPr>
            <w:r w:rsidRPr="00974FD7">
              <w:rPr>
                <w:rFonts w:cs="Arial"/>
              </w:rPr>
              <w:t xml:space="preserve">Currently, CSO are involved in prisons' pre-and post-release patient management systems to ensure continuity of care, prevent treatment interruptions, and provide psychological and social assistance. Out of 153 TB patients released from </w:t>
            </w:r>
            <w:proofErr w:type="gramStart"/>
            <w:r w:rsidRPr="00974FD7">
              <w:rPr>
                <w:rFonts w:cs="Arial"/>
              </w:rPr>
              <w:t>correctional facilities</w:t>
            </w:r>
            <w:proofErr w:type="gramEnd"/>
            <w:r w:rsidRPr="00974FD7">
              <w:rPr>
                <w:rFonts w:cs="Arial"/>
              </w:rPr>
              <w:t xml:space="preserve"> to the civilian system during anti-tuberculosis treatment in 2019, six were lost to f</w:t>
            </w:r>
            <w:r w:rsidR="00454124" w:rsidRPr="00974FD7">
              <w:rPr>
                <w:rFonts w:cs="Arial"/>
              </w:rPr>
              <w:t>ollow-up. In 2020, two patients</w:t>
            </w:r>
            <w:r w:rsidRPr="00974FD7">
              <w:rPr>
                <w:rFonts w:cs="Arial"/>
              </w:rPr>
              <w:t xml:space="preserve"> were los</w:t>
            </w:r>
            <w:r w:rsidR="0014095A" w:rsidRPr="00974FD7">
              <w:rPr>
                <w:rFonts w:cs="Arial"/>
              </w:rPr>
              <w:t xml:space="preserve">t to follow-up from 99 patients </w:t>
            </w:r>
            <w:proofErr w:type="gramStart"/>
            <w:r w:rsidRPr="00974FD7">
              <w:rPr>
                <w:rFonts w:cs="Arial"/>
              </w:rPr>
              <w:t>released  during</w:t>
            </w:r>
            <w:proofErr w:type="gramEnd"/>
            <w:r w:rsidRPr="00974FD7">
              <w:rPr>
                <w:rFonts w:cs="Arial"/>
              </w:rPr>
              <w:t xml:space="preserve"> anti-tuberculosis treatment.</w:t>
            </w:r>
          </w:p>
          <w:p w14:paraId="73F37780" w14:textId="77777777" w:rsidR="005D067C" w:rsidRPr="00974FD7" w:rsidRDefault="005D067C" w:rsidP="00635DB3">
            <w:pPr>
              <w:jc w:val="both"/>
              <w:rPr>
                <w:rFonts w:cs="Arial"/>
              </w:rPr>
            </w:pPr>
          </w:p>
          <w:tbl>
            <w:tblPr>
              <w:tblStyle w:val="aa"/>
              <w:tblW w:w="0" w:type="auto"/>
              <w:tblLayout w:type="fixed"/>
              <w:tblLook w:val="04A0" w:firstRow="1" w:lastRow="0" w:firstColumn="1" w:lastColumn="0" w:noHBand="0" w:noVBand="1"/>
            </w:tblPr>
            <w:tblGrid>
              <w:gridCol w:w="5115"/>
              <w:gridCol w:w="5115"/>
            </w:tblGrid>
            <w:tr w:rsidR="00635DB3" w:rsidRPr="008C19DB" w14:paraId="3B4599C8" w14:textId="77777777" w:rsidTr="00635DB3">
              <w:trPr>
                <w:trHeight w:val="593"/>
              </w:trPr>
              <w:tc>
                <w:tcPr>
                  <w:tcW w:w="5115" w:type="dxa"/>
                </w:tcPr>
                <w:p w14:paraId="4D00F7DC" w14:textId="057D1641" w:rsidR="00635DB3" w:rsidRPr="00326A0F" w:rsidRDefault="00635DB3" w:rsidP="00635DB3">
                  <w:pPr>
                    <w:jc w:val="both"/>
                    <w:rPr>
                      <w:rFonts w:cs="Arial"/>
                      <w:b/>
                    </w:rPr>
                  </w:pPr>
                  <w:r w:rsidRPr="00E018FB">
                    <w:rPr>
                      <w:rFonts w:cs="Arial"/>
                      <w:b/>
                    </w:rPr>
                    <w:t>Fig</w:t>
                  </w:r>
                  <w:r w:rsidR="00E018FB">
                    <w:rPr>
                      <w:rFonts w:cs="Arial"/>
                      <w:b/>
                      <w:sz w:val="20"/>
                    </w:rPr>
                    <w:t>ures 33</w:t>
                  </w:r>
                  <w:r w:rsidRPr="00E018FB">
                    <w:rPr>
                      <w:rFonts w:cs="Arial"/>
                      <w:b/>
                      <w:sz w:val="20"/>
                    </w:rPr>
                    <w:t>.</w:t>
                  </w:r>
                  <w:r w:rsidRPr="00326A0F">
                    <w:rPr>
                      <w:rFonts w:cs="Arial"/>
                      <w:b/>
                      <w:sz w:val="20"/>
                    </w:rPr>
                    <w:t xml:space="preserve"> Treatment success rate</w:t>
                  </w:r>
                  <w:r w:rsidR="00326A0F" w:rsidRPr="00326A0F">
                    <w:rPr>
                      <w:rFonts w:cs="Arial"/>
                      <w:b/>
                      <w:sz w:val="20"/>
                    </w:rPr>
                    <w:t xml:space="preserve"> among prisoners, </w:t>
                  </w:r>
                  <w:r w:rsidR="00326A0F" w:rsidRPr="00D374E6">
                    <w:rPr>
                      <w:rFonts w:cs="Arial"/>
                      <w:b/>
                      <w:sz w:val="20"/>
                    </w:rPr>
                    <w:t>new SS positive cases,</w:t>
                  </w:r>
                  <w:r w:rsidRPr="00326A0F">
                    <w:rPr>
                      <w:rFonts w:cs="Arial"/>
                      <w:b/>
                      <w:sz w:val="20"/>
                    </w:rPr>
                    <w:t xml:space="preserve"> </w:t>
                  </w:r>
                  <w:r w:rsidR="00326A0F" w:rsidRPr="00326A0F">
                    <w:rPr>
                      <w:rFonts w:cs="Arial"/>
                      <w:b/>
                      <w:sz w:val="20"/>
                    </w:rPr>
                    <w:t>Kazakhstan</w:t>
                  </w:r>
                  <w:r w:rsidRPr="00326A0F">
                    <w:rPr>
                      <w:rFonts w:cs="Arial"/>
                      <w:b/>
                      <w:sz w:val="20"/>
                    </w:rPr>
                    <w:t xml:space="preserve"> 2013-2020</w:t>
                  </w:r>
                </w:p>
              </w:tc>
              <w:tc>
                <w:tcPr>
                  <w:tcW w:w="5115" w:type="dxa"/>
                </w:tcPr>
                <w:p w14:paraId="39318199" w14:textId="2ACB649A" w:rsidR="00635DB3" w:rsidRPr="00326A0F" w:rsidRDefault="00E018FB" w:rsidP="00635DB3">
                  <w:pPr>
                    <w:jc w:val="both"/>
                    <w:rPr>
                      <w:rFonts w:cs="Arial"/>
                      <w:b/>
                    </w:rPr>
                  </w:pPr>
                  <w:r>
                    <w:rPr>
                      <w:rFonts w:cs="Arial"/>
                      <w:b/>
                      <w:sz w:val="20"/>
                    </w:rPr>
                    <w:t>Figures 34</w:t>
                  </w:r>
                  <w:r w:rsidR="00635DB3" w:rsidRPr="00E018FB">
                    <w:rPr>
                      <w:rFonts w:cs="Arial"/>
                      <w:b/>
                      <w:sz w:val="20"/>
                    </w:rPr>
                    <w:t>.</w:t>
                  </w:r>
                  <w:r w:rsidR="00635DB3" w:rsidRPr="00326A0F">
                    <w:rPr>
                      <w:rFonts w:cs="Arial"/>
                      <w:b/>
                      <w:sz w:val="20"/>
                    </w:rPr>
                    <w:t xml:space="preserve"> Treatment success rate</w:t>
                  </w:r>
                  <w:r w:rsidR="00326A0F" w:rsidRPr="00326A0F">
                    <w:rPr>
                      <w:rFonts w:cs="Arial"/>
                      <w:b/>
                      <w:sz w:val="20"/>
                    </w:rPr>
                    <w:t xml:space="preserve"> among prisoners</w:t>
                  </w:r>
                  <w:r w:rsidR="00635DB3" w:rsidRPr="00326A0F">
                    <w:rPr>
                      <w:rFonts w:cs="Arial"/>
                      <w:b/>
                      <w:sz w:val="20"/>
                    </w:rPr>
                    <w:t>, MDR-TB</w:t>
                  </w:r>
                  <w:r w:rsidR="00326A0F" w:rsidRPr="00326A0F">
                    <w:rPr>
                      <w:rFonts w:cs="Arial"/>
                      <w:b/>
                      <w:sz w:val="20"/>
                    </w:rPr>
                    <w:t xml:space="preserve"> cases, </w:t>
                  </w:r>
                  <w:r w:rsidR="00635DB3" w:rsidRPr="00326A0F">
                    <w:rPr>
                      <w:rFonts w:cs="Arial"/>
                      <w:b/>
                      <w:sz w:val="20"/>
                    </w:rPr>
                    <w:t>Kazakhstan, 2013-2020</w:t>
                  </w:r>
                </w:p>
              </w:tc>
            </w:tr>
            <w:tr w:rsidR="00635DB3" w14:paraId="5489CA2A" w14:textId="77777777" w:rsidTr="00635DB3">
              <w:tc>
                <w:tcPr>
                  <w:tcW w:w="5115" w:type="dxa"/>
                </w:tcPr>
                <w:p w14:paraId="78296744" w14:textId="77777777" w:rsidR="00635DB3" w:rsidRPr="008C19DB" w:rsidRDefault="00635DB3" w:rsidP="00635DB3">
                  <w:pPr>
                    <w:jc w:val="both"/>
                    <w:rPr>
                      <w:rFonts w:cs="Arial"/>
                    </w:rPr>
                  </w:pPr>
                </w:p>
                <w:p w14:paraId="676BA532" w14:textId="77777777" w:rsidR="00635DB3" w:rsidRDefault="00635DB3" w:rsidP="00635DB3">
                  <w:pPr>
                    <w:jc w:val="both"/>
                    <w:rPr>
                      <w:rFonts w:cs="Arial"/>
                      <w:lang w:val="ru-RU"/>
                    </w:rPr>
                  </w:pPr>
                  <w:r w:rsidRPr="008C19DB">
                    <w:rPr>
                      <w:rFonts w:cs="Arial"/>
                      <w:noProof/>
                    </w:rPr>
                    <w:drawing>
                      <wp:inline distT="0" distB="0" distL="0" distR="0" wp14:anchorId="39F83D9F" wp14:editId="065A23A0">
                        <wp:extent cx="3047999" cy="2407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69844" cy="2425177"/>
                                </a:xfrm>
                                <a:prstGeom prst="rect">
                                  <a:avLst/>
                                </a:prstGeom>
                                <a:noFill/>
                                <a:ln>
                                  <a:noFill/>
                                </a:ln>
                              </pic:spPr>
                            </pic:pic>
                          </a:graphicData>
                        </a:graphic>
                      </wp:inline>
                    </w:drawing>
                  </w:r>
                </w:p>
              </w:tc>
              <w:tc>
                <w:tcPr>
                  <w:tcW w:w="5115" w:type="dxa"/>
                </w:tcPr>
                <w:p w14:paraId="27AD54FE" w14:textId="77777777" w:rsidR="00635DB3" w:rsidRDefault="00635DB3" w:rsidP="00635DB3">
                  <w:pPr>
                    <w:jc w:val="both"/>
                    <w:rPr>
                      <w:rFonts w:cs="Arial"/>
                      <w:lang w:val="ru-RU"/>
                    </w:rPr>
                  </w:pPr>
                </w:p>
                <w:p w14:paraId="3FA26858" w14:textId="77777777" w:rsidR="00635DB3" w:rsidRDefault="00635DB3" w:rsidP="00635DB3">
                  <w:pPr>
                    <w:jc w:val="both"/>
                    <w:rPr>
                      <w:rFonts w:cs="Arial"/>
                      <w:lang w:val="ru-RU"/>
                    </w:rPr>
                  </w:pPr>
                  <w:r w:rsidRPr="008C19DB">
                    <w:rPr>
                      <w:rFonts w:cs="Arial"/>
                      <w:noProof/>
                    </w:rPr>
                    <w:drawing>
                      <wp:inline distT="0" distB="0" distL="0" distR="0" wp14:anchorId="32B71EE8" wp14:editId="1187452C">
                        <wp:extent cx="3059430" cy="240792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59430" cy="2407920"/>
                                </a:xfrm>
                                <a:prstGeom prst="rect">
                                  <a:avLst/>
                                </a:prstGeom>
                                <a:noFill/>
                                <a:ln>
                                  <a:noFill/>
                                </a:ln>
                              </pic:spPr>
                            </pic:pic>
                          </a:graphicData>
                        </a:graphic>
                      </wp:inline>
                    </w:drawing>
                  </w:r>
                </w:p>
              </w:tc>
            </w:tr>
          </w:tbl>
          <w:p w14:paraId="451D9110" w14:textId="77777777" w:rsidR="00635DB3" w:rsidRPr="008C19DB" w:rsidRDefault="00635DB3" w:rsidP="00635DB3">
            <w:pPr>
              <w:jc w:val="both"/>
              <w:rPr>
                <w:rFonts w:cs="Arial"/>
                <w:lang w:val="ru-RU"/>
              </w:rPr>
            </w:pPr>
          </w:p>
          <w:p w14:paraId="6B338834" w14:textId="74C876C2" w:rsidR="00AD22D3" w:rsidRPr="00974FD7" w:rsidRDefault="00AD22D3" w:rsidP="00AD22D3">
            <w:pPr>
              <w:spacing w:before="120" w:line="240" w:lineRule="auto"/>
              <w:jc w:val="both"/>
              <w:rPr>
                <w:rFonts w:cs="Arial"/>
                <w:i/>
              </w:rPr>
            </w:pPr>
            <w:r w:rsidRPr="00974FD7">
              <w:rPr>
                <w:rFonts w:cs="Arial"/>
                <w:i/>
              </w:rPr>
              <w:t xml:space="preserve">Structural changes </w:t>
            </w:r>
          </w:p>
          <w:p w14:paraId="1E952C4C" w14:textId="6FA016C4" w:rsidR="00190651" w:rsidRPr="00974FD7" w:rsidRDefault="00190651" w:rsidP="00BE4DC0">
            <w:pPr>
              <w:spacing w:after="0" w:line="240" w:lineRule="auto"/>
              <w:jc w:val="both"/>
              <w:rPr>
                <w:rFonts w:cs="Arial"/>
              </w:rPr>
            </w:pPr>
            <w:r w:rsidRPr="00974FD7">
              <w:rPr>
                <w:rFonts w:cs="Arial"/>
              </w:rPr>
              <w:t>Based on the coutry plans</w:t>
            </w:r>
            <w:r w:rsidR="00FB0A01">
              <w:rPr>
                <w:rStyle w:val="af"/>
                <w:rFonts w:cs="Arial"/>
              </w:rPr>
              <w:footnoteReference w:id="54"/>
            </w:r>
            <w:r w:rsidRPr="00974FD7">
              <w:rPr>
                <w:rFonts w:cs="Arial"/>
              </w:rPr>
              <w:t xml:space="preserve">, the medical service of the penitentiary system will be transitioned to the health sector under the MoH in 2022-2023. </w:t>
            </w:r>
            <w:r w:rsidR="00CB61C4" w:rsidRPr="00974FD7">
              <w:rPr>
                <w:rFonts w:cs="Arial"/>
              </w:rPr>
              <w:t xml:space="preserve">This will </w:t>
            </w:r>
            <w:proofErr w:type="gramStart"/>
            <w:r w:rsidR="00CB61C4" w:rsidRPr="00974FD7">
              <w:rPr>
                <w:rFonts w:cs="Arial"/>
              </w:rPr>
              <w:t>proceeded</w:t>
            </w:r>
            <w:proofErr w:type="gramEnd"/>
            <w:r w:rsidR="00CB61C4" w:rsidRPr="00974FD7">
              <w:rPr>
                <w:rFonts w:cs="Arial"/>
              </w:rPr>
              <w:t xml:space="preserve"> </w:t>
            </w:r>
            <w:r w:rsidR="00425441" w:rsidRPr="00974FD7">
              <w:rPr>
                <w:rFonts w:cs="Arial"/>
              </w:rPr>
              <w:t xml:space="preserve">by </w:t>
            </w:r>
            <w:r w:rsidR="00CB61C4" w:rsidRPr="00974FD7">
              <w:rPr>
                <w:rFonts w:cs="Arial"/>
              </w:rPr>
              <w:t xml:space="preserve">adaption of </w:t>
            </w:r>
            <w:r w:rsidR="00425441" w:rsidRPr="00974FD7">
              <w:rPr>
                <w:rFonts w:cs="Arial"/>
              </w:rPr>
              <w:t xml:space="preserve">respective </w:t>
            </w:r>
            <w:r w:rsidR="00CB61C4" w:rsidRPr="00974FD7">
              <w:rPr>
                <w:rFonts w:cs="Arial"/>
              </w:rPr>
              <w:t>legislative acts to</w:t>
            </w:r>
            <w:r w:rsidRPr="00974FD7">
              <w:rPr>
                <w:rFonts w:cs="Arial"/>
              </w:rPr>
              <w:t xml:space="preserve"> ensure a phased </w:t>
            </w:r>
            <w:r w:rsidR="005F213C" w:rsidRPr="00974FD7">
              <w:rPr>
                <w:rFonts w:cs="Arial"/>
              </w:rPr>
              <w:t>hand over</w:t>
            </w:r>
            <w:r w:rsidRPr="00974FD7">
              <w:rPr>
                <w:rFonts w:cs="Arial"/>
              </w:rPr>
              <w:t xml:space="preserve"> of t</w:t>
            </w:r>
            <w:r w:rsidR="00CB61C4" w:rsidRPr="00974FD7">
              <w:rPr>
                <w:rFonts w:cs="Arial"/>
              </w:rPr>
              <w:t>he functions from the Committe</w:t>
            </w:r>
            <w:r w:rsidR="00713F75" w:rsidRPr="00974FD7">
              <w:rPr>
                <w:rFonts w:cs="Arial"/>
              </w:rPr>
              <w:t>e</w:t>
            </w:r>
            <w:r w:rsidR="00CB61C4" w:rsidRPr="00974FD7">
              <w:rPr>
                <w:rFonts w:cs="Arial"/>
              </w:rPr>
              <w:t xml:space="preserve"> of the criminally-executive system </w:t>
            </w:r>
            <w:r w:rsidR="00425441" w:rsidRPr="00974FD7">
              <w:rPr>
                <w:rFonts w:cs="Arial"/>
              </w:rPr>
              <w:t xml:space="preserve">at </w:t>
            </w:r>
            <w:r w:rsidRPr="00974FD7">
              <w:rPr>
                <w:rFonts w:cs="Arial"/>
              </w:rPr>
              <w:t xml:space="preserve">the Ministry of Internal Affairs </w:t>
            </w:r>
            <w:r w:rsidR="00425441" w:rsidRPr="00974FD7">
              <w:rPr>
                <w:rFonts w:cs="Arial"/>
              </w:rPr>
              <w:t>(CCES) to the MoH</w:t>
            </w:r>
            <w:r w:rsidRPr="00974FD7">
              <w:rPr>
                <w:rFonts w:cs="Arial"/>
              </w:rPr>
              <w:t xml:space="preserve">. </w:t>
            </w:r>
            <w:r w:rsidR="00FD40C5" w:rsidRPr="00FD40C5">
              <w:rPr>
                <w:rFonts w:cs="Arial"/>
              </w:rPr>
              <w:t>And, then the transfer of medical institutions from the penitentiary system to the health sector</w:t>
            </w:r>
            <w:r w:rsidR="00FD40C5">
              <w:rPr>
                <w:rFonts w:cs="Arial"/>
              </w:rPr>
              <w:t xml:space="preserve"> will follow.</w:t>
            </w:r>
          </w:p>
          <w:p w14:paraId="128FE409" w14:textId="77777777" w:rsidR="00BE4DC0" w:rsidRDefault="00BE4DC0" w:rsidP="00BE4DC0">
            <w:pPr>
              <w:spacing w:after="0" w:line="240" w:lineRule="auto"/>
              <w:jc w:val="both"/>
              <w:rPr>
                <w:rFonts w:eastAsia="Times New Roman" w:cs="Times New Roman"/>
              </w:rPr>
            </w:pPr>
          </w:p>
          <w:p w14:paraId="0BBE1234" w14:textId="77777777" w:rsidR="00FD40C5" w:rsidRDefault="00FD40C5" w:rsidP="00BE4DC0">
            <w:pPr>
              <w:spacing w:after="0" w:line="240" w:lineRule="auto"/>
              <w:jc w:val="both"/>
              <w:rPr>
                <w:rFonts w:eastAsia="Times New Roman" w:cs="Times New Roman"/>
              </w:rPr>
            </w:pPr>
          </w:p>
          <w:p w14:paraId="15CD0080" w14:textId="77777777" w:rsidR="00FD40C5" w:rsidRDefault="00FD40C5" w:rsidP="00BE4DC0">
            <w:pPr>
              <w:spacing w:after="0" w:line="240" w:lineRule="auto"/>
              <w:jc w:val="both"/>
              <w:rPr>
                <w:rFonts w:eastAsia="Times New Roman" w:cs="Times New Roman"/>
              </w:rPr>
            </w:pPr>
          </w:p>
          <w:p w14:paraId="4980D6D4" w14:textId="19F0BF96" w:rsidR="00AD22D3" w:rsidRPr="00AD22D3" w:rsidRDefault="0014095A" w:rsidP="00BE4DC0">
            <w:pPr>
              <w:spacing w:after="0" w:line="240" w:lineRule="auto"/>
              <w:jc w:val="both"/>
              <w:rPr>
                <w:rFonts w:eastAsia="Times New Roman" w:cs="Times New Roman"/>
                <w:b/>
              </w:rPr>
            </w:pPr>
            <w:r>
              <w:rPr>
                <w:rFonts w:eastAsia="Times New Roman" w:cs="Times New Roman"/>
                <w:b/>
              </w:rPr>
              <w:t>TB/</w:t>
            </w:r>
            <w:r w:rsidR="00AD22D3" w:rsidRPr="00AD22D3">
              <w:rPr>
                <w:rFonts w:eastAsia="Times New Roman" w:cs="Times New Roman"/>
                <w:b/>
              </w:rPr>
              <w:t>HIV co</w:t>
            </w:r>
            <w:r w:rsidR="003C2CAC">
              <w:rPr>
                <w:rFonts w:eastAsia="Times New Roman" w:cs="Times New Roman"/>
                <w:b/>
              </w:rPr>
              <w:t>-</w:t>
            </w:r>
            <w:r w:rsidR="00AD22D3" w:rsidRPr="00AD22D3">
              <w:rPr>
                <w:rFonts w:eastAsia="Times New Roman" w:cs="Times New Roman"/>
                <w:b/>
              </w:rPr>
              <w:t xml:space="preserve">infection </w:t>
            </w:r>
          </w:p>
          <w:p w14:paraId="6EBE61A6" w14:textId="77777777" w:rsidR="00AD22D3" w:rsidRPr="00BE4DC0" w:rsidRDefault="00AD22D3" w:rsidP="00BE4DC0">
            <w:pPr>
              <w:spacing w:after="0" w:line="240" w:lineRule="auto"/>
              <w:jc w:val="both"/>
              <w:rPr>
                <w:rFonts w:eastAsia="Times New Roman" w:cs="Times New Roman"/>
              </w:rPr>
            </w:pPr>
          </w:p>
          <w:p w14:paraId="56164417" w14:textId="53D093A3" w:rsidR="008A6B79" w:rsidRDefault="00635DB3" w:rsidP="00BE4DC0">
            <w:pPr>
              <w:pStyle w:val="affff9"/>
              <w:shd w:val="clear" w:color="auto" w:fill="FFFFFF"/>
              <w:spacing w:after="0" w:line="240" w:lineRule="auto"/>
              <w:jc w:val="both"/>
              <w:rPr>
                <w:rFonts w:cs="Arial"/>
                <w:sz w:val="22"/>
                <w:szCs w:val="22"/>
              </w:rPr>
            </w:pPr>
            <w:r w:rsidRPr="00BE4DC0">
              <w:rPr>
                <w:rFonts w:asciiTheme="majorHAnsi" w:hAnsiTheme="majorHAnsi" w:cstheme="majorHAnsi"/>
                <w:sz w:val="22"/>
                <w:szCs w:val="22"/>
              </w:rPr>
              <w:t xml:space="preserve">Kazakhstan is among countries </w:t>
            </w:r>
            <w:r w:rsidR="0022178C" w:rsidRPr="00BE4DC0">
              <w:rPr>
                <w:rFonts w:asciiTheme="majorHAnsi" w:hAnsiTheme="majorHAnsi" w:cstheme="majorHAnsi"/>
                <w:sz w:val="22"/>
                <w:szCs w:val="22"/>
              </w:rPr>
              <w:t xml:space="preserve">subscribed to the commitments of the Political Declaration on the </w:t>
            </w:r>
            <w:r w:rsidR="0065435F" w:rsidRPr="00BE4DC0">
              <w:rPr>
                <w:rFonts w:asciiTheme="majorHAnsi" w:hAnsiTheme="majorHAnsi" w:cstheme="majorHAnsi"/>
                <w:sz w:val="22"/>
                <w:szCs w:val="22"/>
              </w:rPr>
              <w:t>Fast Track</w:t>
            </w:r>
            <w:r w:rsidR="0022178C" w:rsidRPr="00BE4DC0">
              <w:rPr>
                <w:rFonts w:asciiTheme="majorHAnsi" w:hAnsiTheme="majorHAnsi" w:cstheme="majorHAnsi"/>
                <w:sz w:val="22"/>
                <w:szCs w:val="22"/>
              </w:rPr>
              <w:t xml:space="preserve"> to accelerate the fight against HIV and to end the AIDS epidemic by 2030. </w:t>
            </w:r>
            <w:r w:rsidRPr="00BE4DC0">
              <w:rPr>
                <w:rFonts w:asciiTheme="majorHAnsi" w:hAnsiTheme="majorHAnsi" w:cstheme="majorHAnsi"/>
                <w:sz w:val="22"/>
                <w:szCs w:val="22"/>
              </w:rPr>
              <w:t xml:space="preserve">The national AIDS response is guided by an Action Plan that has been aligned to global UNAIDS and WHO </w:t>
            </w:r>
            <w:r w:rsidRPr="00BE4DC0">
              <w:rPr>
                <w:rFonts w:asciiTheme="minorHAnsi" w:hAnsiTheme="minorHAnsi" w:cstheme="minorHAnsi"/>
                <w:sz w:val="22"/>
                <w:szCs w:val="22"/>
              </w:rPr>
              <w:t>policies. The National Health Programme “Densaulyk” states that “conditions for effective implementation of the international recommendations to fight HIV, including UNAIDS Strategy 90-90-90 have been created with the ambitious goal to eradicate HIV/AIDS”.</w:t>
            </w:r>
            <w:r w:rsidR="0059005B" w:rsidRPr="00BE4DC0">
              <w:rPr>
                <w:rFonts w:asciiTheme="minorHAnsi" w:hAnsiTheme="minorHAnsi" w:cstheme="minorHAnsi"/>
                <w:sz w:val="22"/>
                <w:szCs w:val="22"/>
              </w:rPr>
              <w:t xml:space="preserve"> The country</w:t>
            </w:r>
            <w:r w:rsidRPr="00BE4DC0">
              <w:rPr>
                <w:rFonts w:asciiTheme="minorHAnsi" w:hAnsiTheme="minorHAnsi" w:cstheme="minorHAnsi"/>
                <w:sz w:val="22"/>
                <w:szCs w:val="22"/>
              </w:rPr>
              <w:t xml:space="preserve"> has seen steady progress towards the 90-90-90 targets.</w:t>
            </w:r>
            <w:r w:rsidRPr="00BE4DC0">
              <w:rPr>
                <w:rFonts w:cs="Arial"/>
                <w:sz w:val="22"/>
                <w:szCs w:val="22"/>
              </w:rPr>
              <w:t xml:space="preserve"> </w:t>
            </w:r>
          </w:p>
          <w:p w14:paraId="5B72DE96" w14:textId="77777777" w:rsidR="00232A85" w:rsidRPr="00BE4DC0" w:rsidRDefault="00232A85" w:rsidP="00BE4DC0">
            <w:pPr>
              <w:pStyle w:val="affff9"/>
              <w:shd w:val="clear" w:color="auto" w:fill="FFFFFF"/>
              <w:spacing w:after="0" w:line="240" w:lineRule="auto"/>
              <w:jc w:val="both"/>
              <w:rPr>
                <w:rFonts w:cs="Arial"/>
                <w:sz w:val="22"/>
                <w:szCs w:val="22"/>
              </w:rPr>
            </w:pPr>
          </w:p>
          <w:p w14:paraId="73266F1D" w14:textId="2E0F5F5A" w:rsidR="00F14853" w:rsidRPr="00974FD7" w:rsidRDefault="000033F0" w:rsidP="00BC7C1E">
            <w:pPr>
              <w:spacing w:after="0" w:line="240" w:lineRule="auto"/>
              <w:jc w:val="both"/>
            </w:pPr>
            <w:r w:rsidRPr="00BE4DC0">
              <w:rPr>
                <w:rFonts w:asciiTheme="majorHAnsi" w:hAnsiTheme="majorHAnsi" w:cstheme="majorHAnsi"/>
              </w:rPr>
              <w:t>In 2020, 79% of PLHIV knew their status; 73% of those who knew their status received sustained ARV therapy, and 84% had viral suppression. The coverage of the general population by HIV testing was 14%. Nearly 0.6% of the total tests were performed in key populations. The number of HIV tests performed in 2020 by 17 diagnostic laboratories at Regional AIDS Centers made up 3,052,677, and there were 3,342 individuals (0.11%) with confirmed HIV-positive by immunoblot assay.</w:t>
            </w:r>
            <w:r w:rsidR="00500D68" w:rsidRPr="00BE4DC0">
              <w:rPr>
                <w:rFonts w:asciiTheme="majorHAnsi" w:hAnsiTheme="majorHAnsi" w:cstheme="majorHAnsi"/>
              </w:rPr>
              <w:t xml:space="preserve"> About </w:t>
            </w:r>
            <w:r w:rsidR="00635DB3" w:rsidRPr="00BE4DC0">
              <w:rPr>
                <w:rFonts w:cs="Arial"/>
              </w:rPr>
              <w:t xml:space="preserve">98.3% of TB patients on </w:t>
            </w:r>
            <w:r w:rsidR="00500D68" w:rsidRPr="00BE4DC0">
              <w:rPr>
                <w:rFonts w:cs="Arial"/>
              </w:rPr>
              <w:t xml:space="preserve">ARV </w:t>
            </w:r>
            <w:r w:rsidR="00635DB3" w:rsidRPr="00BE4DC0">
              <w:rPr>
                <w:rFonts w:cs="Arial"/>
              </w:rPr>
              <w:t xml:space="preserve">treatment were tested </w:t>
            </w:r>
            <w:r w:rsidR="00635DB3" w:rsidRPr="00BC7C1E">
              <w:rPr>
                <w:rFonts w:cs="Arial"/>
              </w:rPr>
              <w:t>for HIV</w:t>
            </w:r>
            <w:r w:rsidR="00603370" w:rsidRPr="00BC7C1E">
              <w:rPr>
                <w:rFonts w:cs="Arial"/>
              </w:rPr>
              <w:t xml:space="preserve"> </w:t>
            </w:r>
            <w:r w:rsidR="00500D68" w:rsidRPr="00BC7C1E">
              <w:rPr>
                <w:rFonts w:cs="Arial"/>
              </w:rPr>
              <w:t xml:space="preserve">in 2020 </w:t>
            </w:r>
            <w:r w:rsidR="00603370" w:rsidRPr="00BC7C1E">
              <w:rPr>
                <w:rFonts w:cs="Arial"/>
              </w:rPr>
              <w:t>compared with 88.8</w:t>
            </w:r>
            <w:r w:rsidR="00F14853" w:rsidRPr="00BC7C1E">
              <w:rPr>
                <w:rFonts w:cs="Arial"/>
              </w:rPr>
              <w:t xml:space="preserve">% </w:t>
            </w:r>
            <w:r w:rsidR="00603370" w:rsidRPr="00BC7C1E">
              <w:rPr>
                <w:rFonts w:cs="Arial"/>
              </w:rPr>
              <w:t>in 2018</w:t>
            </w:r>
            <w:r w:rsidR="00635DB3" w:rsidRPr="00BC7C1E">
              <w:rPr>
                <w:rFonts w:cs="Arial"/>
              </w:rPr>
              <w:t xml:space="preserve">. </w:t>
            </w:r>
            <w:r w:rsidR="00F14853" w:rsidRPr="00BC7C1E">
              <w:rPr>
                <w:rFonts w:cs="Arial"/>
              </w:rPr>
              <w:t>According to the</w:t>
            </w:r>
            <w:r w:rsidR="00BC7C1E" w:rsidRPr="00BC7C1E">
              <w:rPr>
                <w:rFonts w:cs="Arial"/>
              </w:rPr>
              <w:t xml:space="preserve"> Kazakh Scientific Center of Dermatology and Infectious Diseases</w:t>
            </w:r>
            <w:r w:rsidR="00F14853" w:rsidRPr="00BC7C1E">
              <w:rPr>
                <w:rFonts w:cs="Arial"/>
              </w:rPr>
              <w:t xml:space="preserve"> </w:t>
            </w:r>
            <w:r w:rsidR="00BC7C1E" w:rsidRPr="00BC7C1E">
              <w:rPr>
                <w:rFonts w:cs="Arial"/>
              </w:rPr>
              <w:t>(</w:t>
            </w:r>
            <w:r w:rsidR="00F14853" w:rsidRPr="00BC7C1E">
              <w:rPr>
                <w:rFonts w:cs="Arial"/>
              </w:rPr>
              <w:t>KNCDID</w:t>
            </w:r>
            <w:r w:rsidR="00BC7C1E" w:rsidRPr="00BC7C1E">
              <w:rPr>
                <w:rFonts w:cs="Arial"/>
              </w:rPr>
              <w:t>)</w:t>
            </w:r>
            <w:r w:rsidR="00F14853" w:rsidRPr="00BC7C1E">
              <w:rPr>
                <w:rFonts w:cs="Arial"/>
              </w:rPr>
              <w:t>, the socio</w:t>
            </w:r>
            <w:r w:rsidR="00F075D5" w:rsidRPr="00BC7C1E">
              <w:rPr>
                <w:rFonts w:cs="Arial"/>
              </w:rPr>
              <w:t>-</w:t>
            </w:r>
            <w:r w:rsidR="00F14853" w:rsidRPr="00BC7C1E">
              <w:rPr>
                <w:rFonts w:cs="Arial"/>
              </w:rPr>
              <w:t>demographic portrait of a patient living with HIV/TB co-infection in 2020 is an unemployed man over the age of 50 living in rural areas with an unidentified route of transmission HIV infection.</w:t>
            </w:r>
          </w:p>
          <w:p w14:paraId="65A32C77" w14:textId="77777777" w:rsidR="00636E65" w:rsidRPr="00BE4DC0" w:rsidRDefault="00636E65" w:rsidP="00BE4DC0">
            <w:pPr>
              <w:spacing w:after="0" w:line="240" w:lineRule="auto"/>
              <w:jc w:val="both"/>
              <w:rPr>
                <w:rFonts w:cs="Arial"/>
              </w:rPr>
            </w:pPr>
          </w:p>
          <w:p w14:paraId="20448A53" w14:textId="07DA75D4" w:rsidR="00635DB3" w:rsidRDefault="00AF6BB4" w:rsidP="00BE4DC0">
            <w:pPr>
              <w:spacing w:after="0" w:line="240" w:lineRule="auto"/>
              <w:jc w:val="both"/>
              <w:rPr>
                <w:rFonts w:cs="Arial"/>
              </w:rPr>
            </w:pPr>
            <w:r w:rsidRPr="00BE4DC0">
              <w:rPr>
                <w:rFonts w:asciiTheme="majorHAnsi" w:hAnsiTheme="majorHAnsi" w:cstheme="majorHAnsi"/>
              </w:rPr>
              <w:t xml:space="preserve">Despite the impacts of COVID-19 quarantine measures and lockdowns, the ART coverage in 2020 increased from 68% in 2019 to 73% in 2020. Also, the effectiveness of anti-retroviral treatment </w:t>
            </w:r>
            <w:r w:rsidR="006F6575" w:rsidRPr="00BE4DC0">
              <w:rPr>
                <w:rFonts w:asciiTheme="majorHAnsi" w:hAnsiTheme="majorHAnsi" w:cstheme="majorHAnsi"/>
              </w:rPr>
              <w:t xml:space="preserve">(ART) </w:t>
            </w:r>
            <w:r w:rsidRPr="00BE4DC0">
              <w:rPr>
                <w:rFonts w:asciiTheme="majorHAnsi" w:hAnsiTheme="majorHAnsi" w:cstheme="majorHAnsi"/>
              </w:rPr>
              <w:t xml:space="preserve">has reached the highest level of 84%. </w:t>
            </w:r>
            <w:r w:rsidR="00A71BB7" w:rsidRPr="00BE4DC0">
              <w:rPr>
                <w:rFonts w:asciiTheme="majorHAnsi" w:hAnsiTheme="majorHAnsi" w:cstheme="majorHAnsi"/>
              </w:rPr>
              <w:t>The ART coverage of registered patients with TB/HIV co-infection formed 96.4% (592 individuals) in 2020 compared to 90.1% in 2017, 87.2% in 2016 and 65.3% in 2015. The</w:t>
            </w:r>
            <w:r w:rsidR="00A71BB7" w:rsidRPr="00A71BB7">
              <w:rPr>
                <w:rFonts w:asciiTheme="majorHAnsi" w:hAnsiTheme="majorHAnsi" w:cstheme="majorHAnsi"/>
              </w:rPr>
              <w:t xml:space="preserve"> treatment success for new and relapses with drug-sensitive TB/HIV co-infection was 73.1% in the 2019 </w:t>
            </w:r>
            <w:proofErr w:type="gramStart"/>
            <w:r w:rsidR="00A71BB7" w:rsidRPr="00A71BB7">
              <w:rPr>
                <w:rFonts w:asciiTheme="majorHAnsi" w:hAnsiTheme="majorHAnsi" w:cstheme="majorHAnsi"/>
              </w:rPr>
              <w:t>patients</w:t>
            </w:r>
            <w:proofErr w:type="gramEnd"/>
            <w:r w:rsidR="00A71BB7" w:rsidRPr="00A71BB7">
              <w:rPr>
                <w:rFonts w:asciiTheme="majorHAnsi" w:hAnsiTheme="majorHAnsi" w:cstheme="majorHAnsi"/>
              </w:rPr>
              <w:t xml:space="preserve"> cohort compared with 66.8% in the 2018 cohort and 75.2% in the 2017 cohort. </w:t>
            </w:r>
            <w:r w:rsidR="008C31B2" w:rsidRPr="008C31B2">
              <w:rPr>
                <w:rFonts w:asciiTheme="majorHAnsi" w:hAnsiTheme="majorHAnsi" w:cstheme="majorHAnsi"/>
              </w:rPr>
              <w:t>The analysis of treatment outcomes for HIV-infected patients with MDR-TB reported treatment success of 68.5% in 2017.</w:t>
            </w:r>
          </w:p>
          <w:p w14:paraId="348AA6C0" w14:textId="77777777" w:rsidR="003C2CAC" w:rsidRPr="009644BE" w:rsidRDefault="003C2CAC" w:rsidP="00BE4DC0">
            <w:pPr>
              <w:spacing w:after="0" w:line="240" w:lineRule="auto"/>
              <w:jc w:val="both"/>
              <w:rPr>
                <w:rFonts w:asciiTheme="majorHAnsi" w:hAnsiTheme="majorHAnsi" w:cstheme="majorHAnsi"/>
              </w:rPr>
            </w:pPr>
          </w:p>
          <w:p w14:paraId="0D3E244F" w14:textId="14C72C67" w:rsidR="00003C7C" w:rsidRPr="00974FD7" w:rsidRDefault="009644BE" w:rsidP="00635DB3">
            <w:pPr>
              <w:jc w:val="both"/>
              <w:rPr>
                <w:rFonts w:cs="Arial"/>
              </w:rPr>
            </w:pPr>
            <w:r w:rsidRPr="00974FD7">
              <w:rPr>
                <w:rFonts w:cs="Arial"/>
              </w:rPr>
              <w:t xml:space="preserve">Following the national protocol, HIV-infected patients undergo annual screening for </w:t>
            </w:r>
            <w:r w:rsidR="00E65875" w:rsidRPr="00974FD7">
              <w:rPr>
                <w:rFonts w:cs="Arial"/>
              </w:rPr>
              <w:t xml:space="preserve">pulmonary </w:t>
            </w:r>
            <w:r w:rsidRPr="00974FD7">
              <w:rPr>
                <w:rFonts w:cs="Arial"/>
              </w:rPr>
              <w:t xml:space="preserve">tuberculosis by X-ray examination methods forming a 70% coverage level in 2020. From the total number of registered patients with HIV infection, 56% were examined by fluorography and 14% by </w:t>
            </w:r>
            <w:r w:rsidR="003874CC" w:rsidRPr="00974FD7">
              <w:rPr>
                <w:rFonts w:cs="Arial"/>
              </w:rPr>
              <w:t>radiology (</w:t>
            </w:r>
            <w:r w:rsidRPr="00974FD7">
              <w:rPr>
                <w:rFonts w:cs="Arial"/>
              </w:rPr>
              <w:t>X-ray</w:t>
            </w:r>
            <w:r w:rsidR="003874CC" w:rsidRPr="00974FD7">
              <w:rPr>
                <w:rFonts w:cs="Arial"/>
              </w:rPr>
              <w:t>s)</w:t>
            </w:r>
            <w:r w:rsidR="00E65875" w:rsidRPr="00974FD7">
              <w:rPr>
                <w:rFonts w:cs="Arial"/>
              </w:rPr>
              <w:t xml:space="preserve"> </w:t>
            </w:r>
            <w:r w:rsidR="003874CC" w:rsidRPr="00974FD7">
              <w:rPr>
                <w:rFonts w:cs="Arial"/>
              </w:rPr>
              <w:t>testing</w:t>
            </w:r>
            <w:r w:rsidR="00E65875" w:rsidRPr="00974FD7">
              <w:rPr>
                <w:rFonts w:cs="Arial"/>
              </w:rPr>
              <w:t xml:space="preserve"> resulted in detection of</w:t>
            </w:r>
            <w:r w:rsidRPr="00974FD7">
              <w:rPr>
                <w:rFonts w:cs="Arial"/>
              </w:rPr>
              <w:t xml:space="preserve"> 56 cases of active tuberculosis (0.6%). </w:t>
            </w:r>
            <w:r w:rsidR="00003C7C" w:rsidRPr="00974FD7">
              <w:rPr>
                <w:rFonts w:cs="Arial"/>
              </w:rPr>
              <w:t xml:space="preserve">The coverage of PLHIV with preventive TB therapy decreased from 63% in 2017 to 46% in 2020, remaining at a low level. </w:t>
            </w:r>
          </w:p>
          <w:p w14:paraId="2A0C7250" w14:textId="74AB372B" w:rsidR="00CB376A" w:rsidRPr="00B25071" w:rsidRDefault="00CB376A" w:rsidP="004E7BF1">
            <w:pPr>
              <w:spacing w:before="240" w:line="240" w:lineRule="auto"/>
              <w:jc w:val="both"/>
              <w:rPr>
                <w:rFonts w:cs="Arial"/>
                <w:b/>
              </w:rPr>
            </w:pPr>
            <w:r w:rsidRPr="00B25071">
              <w:rPr>
                <w:rFonts w:cs="Arial"/>
                <w:b/>
              </w:rPr>
              <w:t>Tuberculosis monitoring and evaluation system</w:t>
            </w:r>
          </w:p>
          <w:p w14:paraId="721AF2F0" w14:textId="7AAA10F8" w:rsidR="00AC61F3" w:rsidRDefault="00CB376A" w:rsidP="004E7BF1">
            <w:pPr>
              <w:spacing w:after="0" w:line="240" w:lineRule="auto"/>
              <w:jc w:val="both"/>
              <w:rPr>
                <w:rFonts w:asciiTheme="minorHAnsi" w:hAnsiTheme="minorHAnsi" w:cstheme="minorHAnsi"/>
                <w:color w:val="191919"/>
              </w:rPr>
            </w:pPr>
            <w:r w:rsidRPr="004E7BF1">
              <w:rPr>
                <w:rFonts w:asciiTheme="minorHAnsi" w:hAnsiTheme="minorHAnsi" w:cstheme="minorHAnsi"/>
              </w:rPr>
              <w:t xml:space="preserve">The TB response-related indicators are collected regularly through the country-led platform for monitoring. The M&amp;E plans are integrated into the MoH’ overall monitoring framework. It is also accompanied by a comprehensive national health information system with well-functioning data sources and adopted approaches to address the data gaps and quality of information. The NSCP </w:t>
            </w:r>
            <w:r w:rsidRPr="004E7BF1">
              <w:rPr>
                <w:rFonts w:asciiTheme="minorHAnsi" w:hAnsiTheme="minorHAnsi" w:cstheme="minorHAnsi"/>
                <w:color w:val="1D2228"/>
              </w:rPr>
              <w:t xml:space="preserve">have clear roles and responsibilities in data collection and analysis, and regular reporting to the MoH respective units through established channels of communication and information systems. </w:t>
            </w:r>
            <w:r w:rsidRPr="004E7BF1">
              <w:rPr>
                <w:rFonts w:asciiTheme="minorHAnsi" w:hAnsiTheme="minorHAnsi" w:cstheme="minorHAnsi"/>
                <w:color w:val="191919"/>
              </w:rPr>
              <w:t>The approach for</w:t>
            </w:r>
            <w:r w:rsidR="005D4065" w:rsidRPr="004E7BF1">
              <w:rPr>
                <w:rFonts w:asciiTheme="minorHAnsi" w:hAnsiTheme="minorHAnsi" w:cstheme="minorHAnsi"/>
                <w:color w:val="191919"/>
              </w:rPr>
              <w:t xml:space="preserve"> monitoring of interventions proposed through this funding request </w:t>
            </w:r>
            <w:r w:rsidRPr="004E7BF1">
              <w:rPr>
                <w:rFonts w:asciiTheme="minorHAnsi" w:hAnsiTheme="minorHAnsi" w:cstheme="minorHAnsi"/>
                <w:color w:val="191919"/>
              </w:rPr>
              <w:t>is well fit into the NTP current monitoring systems, without the need to establish parallel mechanisms. The main principles and requirements for the TB Service’ M&amp;E, along with instruments, are elaborated in the Manual</w:t>
            </w:r>
            <w:r w:rsidRPr="004E7BF1">
              <w:rPr>
                <w:rStyle w:val="af"/>
                <w:rFonts w:asciiTheme="minorHAnsi" w:hAnsiTheme="minorHAnsi" w:cstheme="minorHAnsi"/>
                <w:color w:val="191919"/>
              </w:rPr>
              <w:footnoteReference w:id="55"/>
            </w:r>
            <w:r w:rsidR="00D75F8C" w:rsidRPr="004E7BF1">
              <w:rPr>
                <w:rFonts w:asciiTheme="minorHAnsi" w:hAnsiTheme="minorHAnsi" w:cstheme="minorHAnsi"/>
                <w:color w:val="191919"/>
              </w:rPr>
              <w:t xml:space="preserve"> adopted recently.</w:t>
            </w:r>
          </w:p>
          <w:p w14:paraId="69FFF15B" w14:textId="77777777" w:rsidR="00882F89" w:rsidRDefault="00882F89" w:rsidP="004E7BF1">
            <w:pPr>
              <w:spacing w:after="0" w:line="240" w:lineRule="auto"/>
              <w:jc w:val="both"/>
              <w:rPr>
                <w:rFonts w:asciiTheme="minorHAnsi" w:hAnsiTheme="minorHAnsi" w:cstheme="minorHAnsi"/>
                <w:color w:val="191919"/>
              </w:rPr>
            </w:pPr>
          </w:p>
          <w:p w14:paraId="1ADB13F1" w14:textId="54065C2B" w:rsidR="00882F89" w:rsidRDefault="00882F89" w:rsidP="004E7BF1">
            <w:pPr>
              <w:spacing w:after="0" w:line="240" w:lineRule="auto"/>
              <w:jc w:val="both"/>
              <w:rPr>
                <w:rFonts w:asciiTheme="minorHAnsi" w:hAnsiTheme="minorHAnsi" w:cstheme="minorHAnsi"/>
                <w:color w:val="191919"/>
              </w:rPr>
            </w:pPr>
            <w:r w:rsidRPr="00882F89">
              <w:rPr>
                <w:rFonts w:asciiTheme="minorHAnsi" w:hAnsiTheme="minorHAnsi" w:cstheme="minorHAnsi"/>
                <w:color w:val="191919"/>
              </w:rPr>
              <w:t xml:space="preserve">The NTP monitoring and evaluation Unit </w:t>
            </w:r>
            <w:r w:rsidR="00C93EEA" w:rsidRPr="00882F89">
              <w:rPr>
                <w:rFonts w:asciiTheme="minorHAnsi" w:hAnsiTheme="minorHAnsi" w:cstheme="minorHAnsi"/>
                <w:color w:val="191919"/>
              </w:rPr>
              <w:t xml:space="preserve">operates </w:t>
            </w:r>
            <w:r w:rsidRPr="00882F89">
              <w:rPr>
                <w:rFonts w:asciiTheme="minorHAnsi" w:hAnsiTheme="minorHAnsi" w:cstheme="minorHAnsi"/>
                <w:color w:val="191919"/>
              </w:rPr>
              <w:t>in the structure of the Organizational and Method</w:t>
            </w:r>
            <w:r w:rsidR="00C93EEA">
              <w:rPr>
                <w:rFonts w:asciiTheme="minorHAnsi" w:hAnsiTheme="minorHAnsi" w:cstheme="minorHAnsi"/>
                <w:color w:val="191919"/>
              </w:rPr>
              <w:t>ological Department</w:t>
            </w:r>
            <w:r w:rsidRPr="00882F89">
              <w:rPr>
                <w:rFonts w:asciiTheme="minorHAnsi" w:hAnsiTheme="minorHAnsi" w:cstheme="minorHAnsi"/>
                <w:color w:val="191919"/>
              </w:rPr>
              <w:t xml:space="preserve"> at the NSCP. The coordination of the NTP components implementation, legal and regulatory framework development, clinical guidelines elaboration, TB measures performance, monitoring visits conduction and technical support, TB Service data collection and analysis, TB drugs, reagents, and supplies centralized procurement, reporting, and coordination of international missions (e.g., WHO, GDF, rGLC) are among main tasks of the M&amp;E Unit. Similar units or groups are operating at the regional TB Centers for M&amp;E activities conduction within respective regions, and the reporting line is established between </w:t>
            </w:r>
            <w:r>
              <w:rPr>
                <w:rFonts w:asciiTheme="minorHAnsi" w:hAnsiTheme="minorHAnsi" w:cstheme="minorHAnsi"/>
                <w:color w:val="191919"/>
              </w:rPr>
              <w:t xml:space="preserve">the </w:t>
            </w:r>
            <w:r w:rsidRPr="00882F89">
              <w:rPr>
                <w:rFonts w:asciiTheme="minorHAnsi" w:hAnsiTheme="minorHAnsi" w:cstheme="minorHAnsi"/>
                <w:color w:val="191919"/>
              </w:rPr>
              <w:t>levels.</w:t>
            </w:r>
          </w:p>
          <w:p w14:paraId="770FFF4A" w14:textId="77777777" w:rsidR="005E2BED" w:rsidRPr="00974FD7" w:rsidRDefault="005E2BED" w:rsidP="004E7BF1">
            <w:pPr>
              <w:spacing w:after="0" w:line="240" w:lineRule="auto"/>
              <w:jc w:val="both"/>
              <w:rPr>
                <w:rFonts w:asciiTheme="minorHAnsi" w:hAnsiTheme="minorHAnsi" w:cstheme="minorHAnsi"/>
              </w:rPr>
            </w:pPr>
          </w:p>
          <w:p w14:paraId="7534EB32" w14:textId="2899701C" w:rsidR="009B64F0" w:rsidRPr="00974FD7" w:rsidRDefault="002519E2" w:rsidP="009B64F0">
            <w:pPr>
              <w:spacing w:after="0" w:line="240" w:lineRule="auto"/>
              <w:rPr>
                <w:rFonts w:asciiTheme="minorHAnsi" w:hAnsiTheme="minorHAnsi" w:cstheme="minorHAnsi"/>
                <w:i/>
              </w:rPr>
            </w:pPr>
            <w:r>
              <w:rPr>
                <w:rFonts w:asciiTheme="minorHAnsi" w:hAnsiTheme="minorHAnsi" w:cstheme="minorHAnsi"/>
                <w:i/>
              </w:rPr>
              <w:t xml:space="preserve">National TB Register </w:t>
            </w:r>
          </w:p>
          <w:p w14:paraId="67E20130" w14:textId="77777777" w:rsidR="009B64F0" w:rsidRPr="00974FD7" w:rsidRDefault="009B64F0" w:rsidP="009B64F0">
            <w:pPr>
              <w:spacing w:after="0" w:line="240" w:lineRule="auto"/>
              <w:rPr>
                <w:rFonts w:asciiTheme="minorHAnsi" w:hAnsiTheme="minorHAnsi" w:cstheme="minorHAnsi"/>
                <w:i/>
              </w:rPr>
            </w:pPr>
          </w:p>
          <w:p w14:paraId="2787623B" w14:textId="3CE59B25" w:rsidR="00130B4D" w:rsidRDefault="009B64F0" w:rsidP="004E7BF1">
            <w:pPr>
              <w:spacing w:after="0" w:line="240" w:lineRule="auto"/>
              <w:jc w:val="both"/>
              <w:rPr>
                <w:rFonts w:asciiTheme="minorHAnsi" w:hAnsiTheme="minorHAnsi" w:cstheme="minorHAnsi"/>
              </w:rPr>
            </w:pPr>
            <w:r w:rsidRPr="00974FD7">
              <w:rPr>
                <w:rFonts w:asciiTheme="minorHAnsi" w:hAnsiTheme="minorHAnsi" w:cstheme="minorHAnsi"/>
              </w:rPr>
              <w:t>The NRBT</w:t>
            </w:r>
            <w:r w:rsidR="006B19B4" w:rsidRPr="00974FD7">
              <w:rPr>
                <w:rFonts w:asciiTheme="minorHAnsi" w:hAnsiTheme="minorHAnsi" w:cstheme="minorHAnsi"/>
              </w:rPr>
              <w:t xml:space="preserve"> improves the completeness and timeliness of the country's tuberculosis surveillance system. It </w:t>
            </w:r>
            <w:r w:rsidR="00130B4D" w:rsidRPr="00974FD7">
              <w:rPr>
                <w:rFonts w:asciiTheme="minorHAnsi" w:hAnsiTheme="minorHAnsi" w:cstheme="minorHAnsi"/>
              </w:rPr>
              <w:t>contains records of all patients diagnosed with TB and eligible for TB treatment</w:t>
            </w:r>
            <w:r w:rsidR="006B19B4" w:rsidRPr="00974FD7">
              <w:rPr>
                <w:rFonts w:asciiTheme="minorHAnsi" w:hAnsiTheme="minorHAnsi" w:cstheme="minorHAnsi"/>
              </w:rPr>
              <w:t xml:space="preserve">, including personal and demographic data, gender, socio-economic status, geography, family contacts information, </w:t>
            </w:r>
            <w:r w:rsidR="00073F96" w:rsidRPr="00974FD7">
              <w:rPr>
                <w:rFonts w:asciiTheme="minorHAnsi" w:hAnsiTheme="minorHAnsi" w:cstheme="minorHAnsi"/>
              </w:rPr>
              <w:t xml:space="preserve">data </w:t>
            </w:r>
            <w:r w:rsidR="006B19B4" w:rsidRPr="00974FD7">
              <w:rPr>
                <w:rFonts w:asciiTheme="minorHAnsi" w:hAnsiTheme="minorHAnsi" w:cstheme="minorHAnsi"/>
              </w:rPr>
              <w:t>risk factor</w:t>
            </w:r>
            <w:r w:rsidR="00636C72" w:rsidRPr="00974FD7">
              <w:rPr>
                <w:rFonts w:asciiTheme="minorHAnsi" w:hAnsiTheme="minorHAnsi" w:cstheme="minorHAnsi"/>
              </w:rPr>
              <w:t>s and co-m</w:t>
            </w:r>
            <w:r w:rsidR="00073F96" w:rsidRPr="00974FD7">
              <w:rPr>
                <w:rFonts w:asciiTheme="minorHAnsi" w:hAnsiTheme="minorHAnsi" w:cstheme="minorHAnsi"/>
              </w:rPr>
              <w:t>orbidities</w:t>
            </w:r>
            <w:r w:rsidR="006B19B4" w:rsidRPr="00974FD7">
              <w:rPr>
                <w:rFonts w:asciiTheme="minorHAnsi" w:hAnsiTheme="minorHAnsi" w:cstheme="minorHAnsi"/>
              </w:rPr>
              <w:t>, results of bacteriological investigations, treatment-related data, including ART treatment</w:t>
            </w:r>
            <w:r w:rsidR="00175C7F" w:rsidRPr="00974FD7">
              <w:rPr>
                <w:rFonts w:asciiTheme="minorHAnsi" w:hAnsiTheme="minorHAnsi" w:cstheme="minorHAnsi"/>
              </w:rPr>
              <w:t xml:space="preserve"> and cotrimoxazole prophylaxis. </w:t>
            </w:r>
            <w:r w:rsidR="006B19B4" w:rsidRPr="00974FD7">
              <w:rPr>
                <w:rFonts w:asciiTheme="minorHAnsi" w:hAnsiTheme="minorHAnsi" w:cstheme="minorHAnsi"/>
              </w:rPr>
              <w:t xml:space="preserve">Procedures are established to improve the entered data quality, both automatic during data entry and after </w:t>
            </w:r>
            <w:r w:rsidR="00073F96" w:rsidRPr="00974FD7">
              <w:rPr>
                <w:rFonts w:asciiTheme="minorHAnsi" w:hAnsiTheme="minorHAnsi" w:cstheme="minorHAnsi"/>
              </w:rPr>
              <w:t>follow-up visits</w:t>
            </w:r>
            <w:r w:rsidR="00130B4D" w:rsidRPr="004E7BF1">
              <w:rPr>
                <w:rFonts w:asciiTheme="minorHAnsi" w:hAnsiTheme="minorHAnsi" w:cstheme="minorHAnsi"/>
              </w:rPr>
              <w:t xml:space="preserve">. </w:t>
            </w:r>
          </w:p>
          <w:p w14:paraId="048818F0" w14:textId="77777777" w:rsidR="004E7BF1" w:rsidRPr="00974FD7" w:rsidRDefault="004E7BF1" w:rsidP="004E7BF1">
            <w:pPr>
              <w:spacing w:after="0" w:line="240" w:lineRule="auto"/>
              <w:jc w:val="both"/>
              <w:rPr>
                <w:rFonts w:asciiTheme="minorHAnsi" w:hAnsiTheme="minorHAnsi" w:cstheme="minorHAnsi"/>
              </w:rPr>
            </w:pPr>
          </w:p>
          <w:p w14:paraId="7431716C" w14:textId="49611084" w:rsidR="004E7BF1" w:rsidRPr="00974FD7" w:rsidRDefault="00656DBC" w:rsidP="004E7BF1">
            <w:pPr>
              <w:spacing w:after="0" w:line="240" w:lineRule="auto"/>
              <w:jc w:val="both"/>
              <w:rPr>
                <w:rFonts w:asciiTheme="minorHAnsi" w:hAnsiTheme="minorHAnsi" w:cstheme="minorHAnsi"/>
              </w:rPr>
            </w:pPr>
            <w:r w:rsidRPr="00974FD7">
              <w:rPr>
                <w:rFonts w:asciiTheme="minorHAnsi" w:hAnsiTheme="minorHAnsi" w:cstheme="minorHAnsi"/>
              </w:rPr>
              <w:t xml:space="preserve">With the frequent emergence of new recommendations from WHO and technical partners, updating the </w:t>
            </w:r>
            <w:r w:rsidR="00636C72" w:rsidRPr="00974FD7">
              <w:rPr>
                <w:rFonts w:asciiTheme="minorHAnsi" w:hAnsiTheme="minorHAnsi" w:cstheme="minorHAnsi"/>
              </w:rPr>
              <w:t xml:space="preserve">NRBT </w:t>
            </w:r>
            <w:r w:rsidRPr="00974FD7">
              <w:rPr>
                <w:rFonts w:asciiTheme="minorHAnsi" w:hAnsiTheme="minorHAnsi" w:cstheme="minorHAnsi"/>
              </w:rPr>
              <w:t>system regularly and having sustainable technical support becomes necessary. Currently, these services are financed from the NSCP budget and donors' assistance. From a mid-term perspective, the NTP will focus on revisiting case</w:t>
            </w:r>
            <w:r w:rsidR="00384714">
              <w:rPr>
                <w:rFonts w:asciiTheme="minorHAnsi" w:hAnsiTheme="minorHAnsi" w:cstheme="minorHAnsi"/>
              </w:rPr>
              <w:t>s</w:t>
            </w:r>
            <w:r w:rsidRPr="00974FD7">
              <w:rPr>
                <w:rFonts w:asciiTheme="minorHAnsi" w:hAnsiTheme="minorHAnsi" w:cstheme="minorHAnsi"/>
              </w:rPr>
              <w:t xml:space="preserve"> definitions, treatment results, laboratory modules in connection with the large-scale introduction of new and repurposed drugs, adding pharmacovigilance data, and automatic generation</w:t>
            </w:r>
            <w:r w:rsidR="003763B3" w:rsidRPr="00974FD7">
              <w:rPr>
                <w:rFonts w:asciiTheme="minorHAnsi" w:hAnsiTheme="minorHAnsi" w:cstheme="minorHAnsi"/>
              </w:rPr>
              <w:t xml:space="preserve"> of</w:t>
            </w:r>
            <w:r w:rsidRPr="00974FD7">
              <w:rPr>
                <w:rFonts w:asciiTheme="minorHAnsi" w:hAnsiTheme="minorHAnsi" w:cstheme="minorHAnsi"/>
              </w:rPr>
              <w:t xml:space="preserve"> anti-tuberculosis drug' orders.</w:t>
            </w:r>
          </w:p>
          <w:p w14:paraId="6CD77993" w14:textId="35A7768D" w:rsidR="005F1060" w:rsidRPr="00974FD7" w:rsidRDefault="006B380D" w:rsidP="005F1060">
            <w:pPr>
              <w:spacing w:before="120" w:line="240" w:lineRule="auto"/>
              <w:jc w:val="both"/>
              <w:rPr>
                <w:rFonts w:asciiTheme="minorHAnsi" w:hAnsiTheme="minorHAnsi" w:cstheme="minorHAnsi"/>
                <w:i/>
              </w:rPr>
            </w:pPr>
            <w:r w:rsidRPr="00974FD7">
              <w:rPr>
                <w:rFonts w:asciiTheme="minorHAnsi" w:hAnsiTheme="minorHAnsi" w:cstheme="minorHAnsi"/>
                <w:i/>
              </w:rPr>
              <w:t xml:space="preserve">Central </w:t>
            </w:r>
            <w:r w:rsidR="008E1846" w:rsidRPr="00974FD7">
              <w:rPr>
                <w:rFonts w:asciiTheme="minorHAnsi" w:hAnsiTheme="minorHAnsi" w:cstheme="minorHAnsi"/>
                <w:i/>
              </w:rPr>
              <w:t>and regional</w:t>
            </w:r>
            <w:r w:rsidRPr="00974FD7">
              <w:rPr>
                <w:rFonts w:asciiTheme="minorHAnsi" w:hAnsiTheme="minorHAnsi" w:cstheme="minorHAnsi"/>
                <w:i/>
              </w:rPr>
              <w:t xml:space="preserve"> </w:t>
            </w:r>
            <w:r w:rsidR="005F1060" w:rsidRPr="00974FD7">
              <w:rPr>
                <w:rFonts w:asciiTheme="minorHAnsi" w:hAnsiTheme="minorHAnsi" w:cstheme="minorHAnsi"/>
                <w:i/>
              </w:rPr>
              <w:t>M&amp;E Teams</w:t>
            </w:r>
          </w:p>
          <w:p w14:paraId="4119CE75" w14:textId="77777777" w:rsidR="006B380D" w:rsidRDefault="00656DBC" w:rsidP="004E7BF1">
            <w:pPr>
              <w:spacing w:after="0" w:line="240" w:lineRule="auto"/>
              <w:jc w:val="both"/>
              <w:rPr>
                <w:rFonts w:cs="Arial"/>
                <w:color w:val="191919"/>
              </w:rPr>
            </w:pPr>
            <w:r w:rsidRPr="004E7BF1">
              <w:rPr>
                <w:rFonts w:asciiTheme="minorHAnsi" w:hAnsiTheme="minorHAnsi" w:cstheme="minorHAnsi"/>
                <w:color w:val="191919"/>
              </w:rPr>
              <w:t xml:space="preserve">The data are collecting through various channels involving routine reporting of diagnosed and treated cases. In addition, the </w:t>
            </w:r>
            <w:r w:rsidR="006B380D">
              <w:rPr>
                <w:rFonts w:asciiTheme="minorHAnsi" w:hAnsiTheme="minorHAnsi" w:cstheme="minorHAnsi"/>
                <w:color w:val="191919"/>
              </w:rPr>
              <w:t xml:space="preserve">central </w:t>
            </w:r>
            <w:r w:rsidRPr="004E7BF1">
              <w:rPr>
                <w:rFonts w:asciiTheme="minorHAnsi" w:hAnsiTheme="minorHAnsi" w:cstheme="minorHAnsi"/>
                <w:color w:val="191919"/>
              </w:rPr>
              <w:t>M&amp;E teams from four to five specialists are conducting supervision visits to health care facilities, institutions of the penitentiary system, and NGOs for monitoring the NTP activities, strengthening partnership</w:t>
            </w:r>
            <w:r w:rsidR="00983C2F" w:rsidRPr="004E7BF1">
              <w:rPr>
                <w:rFonts w:asciiTheme="minorHAnsi" w:hAnsiTheme="minorHAnsi" w:cstheme="minorHAnsi"/>
                <w:color w:val="191919"/>
              </w:rPr>
              <w:t xml:space="preserve"> will local government</w:t>
            </w:r>
            <w:r w:rsidRPr="004E7BF1">
              <w:rPr>
                <w:rFonts w:asciiTheme="minorHAnsi" w:hAnsiTheme="minorHAnsi" w:cstheme="minorHAnsi"/>
                <w:color w:val="191919"/>
              </w:rPr>
              <w:t>, verification of the quality of reported data, addressing data gaps, and registering challenges. During these visits, the on-site consultations are provided</w:t>
            </w:r>
            <w:r w:rsidR="008D544A" w:rsidRPr="004E7BF1">
              <w:rPr>
                <w:rFonts w:asciiTheme="minorHAnsi" w:hAnsiTheme="minorHAnsi" w:cstheme="minorHAnsi"/>
                <w:color w:val="191919"/>
              </w:rPr>
              <w:t xml:space="preserve"> to regional M&amp;E teams and P</w:t>
            </w:r>
            <w:r w:rsidR="00983C2F" w:rsidRPr="004E7BF1">
              <w:rPr>
                <w:rFonts w:asciiTheme="minorHAnsi" w:hAnsiTheme="minorHAnsi" w:cstheme="minorHAnsi"/>
                <w:color w:val="191919"/>
              </w:rPr>
              <w:t>HC staff</w:t>
            </w:r>
            <w:r w:rsidRPr="004E7BF1">
              <w:rPr>
                <w:rFonts w:asciiTheme="minorHAnsi" w:hAnsiTheme="minorHAnsi" w:cstheme="minorHAnsi"/>
                <w:color w:val="191919"/>
              </w:rPr>
              <w:t>, and two-way feedback is ensured. Meetings and discussions with stakeholders and beneficiaries</w:t>
            </w:r>
            <w:r w:rsidRPr="00983C2F">
              <w:rPr>
                <w:rFonts w:cs="Arial"/>
                <w:color w:val="191919"/>
              </w:rPr>
              <w:t xml:space="preserve"> allow reviewing the monitoring information.</w:t>
            </w:r>
            <w:r w:rsidR="00983C2F" w:rsidRPr="00983C2F">
              <w:rPr>
                <w:rFonts w:cs="Arial"/>
                <w:color w:val="191919"/>
              </w:rPr>
              <w:t xml:space="preserve"> </w:t>
            </w:r>
          </w:p>
          <w:p w14:paraId="511FDB23" w14:textId="77777777" w:rsidR="006B380D" w:rsidRDefault="006B380D" w:rsidP="004E7BF1">
            <w:pPr>
              <w:spacing w:after="0" w:line="240" w:lineRule="auto"/>
              <w:jc w:val="both"/>
              <w:rPr>
                <w:rFonts w:cs="Arial"/>
                <w:color w:val="191919"/>
              </w:rPr>
            </w:pPr>
          </w:p>
          <w:p w14:paraId="4E26A049" w14:textId="0239D118" w:rsidR="006B380D" w:rsidRDefault="00983C2F" w:rsidP="004E7BF1">
            <w:pPr>
              <w:spacing w:after="0" w:line="240" w:lineRule="auto"/>
              <w:jc w:val="both"/>
              <w:rPr>
                <w:rFonts w:cs="Arial"/>
              </w:rPr>
            </w:pPr>
            <w:r w:rsidRPr="00983C2F">
              <w:rPr>
                <w:rFonts w:cs="Arial"/>
                <w:color w:val="191919"/>
              </w:rPr>
              <w:t xml:space="preserve">To adjust to quarantine restrictions imposed by the </w:t>
            </w:r>
            <w:r w:rsidR="0028034D">
              <w:rPr>
                <w:rFonts w:cs="Arial"/>
                <w:color w:val="191919"/>
              </w:rPr>
              <w:t xml:space="preserve">COVID-19 </w:t>
            </w:r>
            <w:r w:rsidRPr="00983C2F">
              <w:rPr>
                <w:rFonts w:cs="Arial"/>
                <w:color w:val="191919"/>
              </w:rPr>
              <w:t>epidemic, the capacity of the NTP has been strengthened under the current GF grants for effective distance monitoring and inclusion of remote visits into the M&amp;E system. C</w:t>
            </w:r>
            <w:r w:rsidR="00B3131C">
              <w:rPr>
                <w:rFonts w:cs="Arial"/>
                <w:color w:val="191919"/>
              </w:rPr>
              <w:t xml:space="preserve">urrently, the monitoring mechanism </w:t>
            </w:r>
            <w:r w:rsidRPr="00983C2F">
              <w:rPr>
                <w:rFonts w:cs="Arial"/>
                <w:color w:val="191919"/>
              </w:rPr>
              <w:t xml:space="preserve">envisages at least two distant appointments of the central M&amp;E team with the regional M&amp;E teams and annual supervisory visits in each oblast and </w:t>
            </w:r>
            <w:r w:rsidRPr="00983C2F">
              <w:rPr>
                <w:rStyle w:val="longtext"/>
                <w:rFonts w:asciiTheme="majorHAnsi" w:hAnsiTheme="majorHAnsi" w:cs="Arial"/>
              </w:rPr>
              <w:t>cities of republican significance</w:t>
            </w:r>
            <w:r w:rsidRPr="00983C2F">
              <w:rPr>
                <w:rFonts w:cs="Arial"/>
                <w:color w:val="191919"/>
              </w:rPr>
              <w:t xml:space="preserve">. </w:t>
            </w:r>
            <w:r w:rsidR="0028034D">
              <w:rPr>
                <w:rFonts w:cs="Arial"/>
                <w:color w:val="191919"/>
              </w:rPr>
              <w:t xml:space="preserve">In its turn, the regional M&amp;E teams </w:t>
            </w:r>
            <w:r w:rsidR="00F46C9E">
              <w:rPr>
                <w:rFonts w:cs="Arial"/>
                <w:color w:val="191919"/>
              </w:rPr>
              <w:t xml:space="preserve">do </w:t>
            </w:r>
            <w:proofErr w:type="gramStart"/>
            <w:r w:rsidR="00F46C9E">
              <w:rPr>
                <w:rFonts w:cs="Arial"/>
                <w:color w:val="191919"/>
              </w:rPr>
              <w:t>monitoring</w:t>
            </w:r>
            <w:proofErr w:type="gramEnd"/>
            <w:r w:rsidR="00F46C9E">
              <w:rPr>
                <w:rFonts w:cs="Arial"/>
                <w:color w:val="191919"/>
              </w:rPr>
              <w:t xml:space="preserve"> at the healthcare facilities in the region. </w:t>
            </w:r>
            <w:r w:rsidRPr="00983C2F">
              <w:rPr>
                <w:rFonts w:cs="Arial"/>
              </w:rPr>
              <w:t>The monitoring indicators are designed around the main domains on staffing, laboratory, contacts investigation and check-ups, TB detection, treatment, infection prevention and control, intersectoral cooperation, NGO</w:t>
            </w:r>
            <w:r w:rsidR="002519E2">
              <w:rPr>
                <w:rFonts w:cs="Arial"/>
              </w:rPr>
              <w:t>-led services</w:t>
            </w:r>
            <w:r w:rsidRPr="00983C2F">
              <w:rPr>
                <w:rFonts w:cs="Arial"/>
              </w:rPr>
              <w:t>, and ACSM.</w:t>
            </w:r>
            <w:r w:rsidR="0028034D">
              <w:rPr>
                <w:rFonts w:cs="Arial"/>
              </w:rPr>
              <w:t xml:space="preserve"> </w:t>
            </w:r>
          </w:p>
          <w:p w14:paraId="631B39AD" w14:textId="77777777" w:rsidR="00C95135" w:rsidRPr="0028034D" w:rsidRDefault="00C95135" w:rsidP="004E7BF1">
            <w:pPr>
              <w:spacing w:after="0" w:line="240" w:lineRule="auto"/>
              <w:jc w:val="both"/>
              <w:rPr>
                <w:rFonts w:cs="Arial"/>
              </w:rPr>
            </w:pPr>
          </w:p>
          <w:p w14:paraId="1ED18C9D" w14:textId="6601B9DD" w:rsidR="0028034D" w:rsidRPr="0028034D" w:rsidRDefault="0028034D" w:rsidP="0028034D">
            <w:pPr>
              <w:spacing w:before="120" w:line="240" w:lineRule="auto"/>
              <w:jc w:val="both"/>
              <w:rPr>
                <w:rFonts w:cs="Arial"/>
                <w:i/>
                <w:color w:val="191919"/>
              </w:rPr>
            </w:pPr>
            <w:r w:rsidRPr="0028034D">
              <w:rPr>
                <w:rFonts w:cs="Arial"/>
                <w:i/>
                <w:color w:val="191919"/>
              </w:rPr>
              <w:t xml:space="preserve">External M&amp;E mechanisms </w:t>
            </w:r>
          </w:p>
          <w:p w14:paraId="5D5203AC" w14:textId="3C4DE836" w:rsidR="00682E73" w:rsidRDefault="009D2BAD" w:rsidP="00574AB0">
            <w:pPr>
              <w:spacing w:after="0" w:line="240" w:lineRule="auto"/>
              <w:jc w:val="both"/>
              <w:rPr>
                <w:rFonts w:asciiTheme="minorHAnsi" w:eastAsia="Times New Roman" w:hAnsiTheme="minorHAnsi" w:cstheme="minorHAnsi"/>
                <w:color w:val="0E101A"/>
              </w:rPr>
            </w:pPr>
            <w:r>
              <w:rPr>
                <w:rFonts w:asciiTheme="minorHAnsi" w:hAnsiTheme="minorHAnsi" w:cstheme="minorHAnsi"/>
                <w:color w:val="0E101A"/>
              </w:rPr>
              <w:t>There are also external mechanisms for the monitoring and support. D</w:t>
            </w:r>
            <w:r w:rsidRPr="009D2BAD">
              <w:rPr>
                <w:rFonts w:asciiTheme="minorHAnsi" w:hAnsiTheme="minorHAnsi" w:cstheme="minorHAnsi"/>
                <w:color w:val="0E101A"/>
              </w:rPr>
              <w:t xml:space="preserve">ue </w:t>
            </w:r>
            <w:r>
              <w:rPr>
                <w:rFonts w:asciiTheme="minorHAnsi" w:hAnsiTheme="minorHAnsi" w:cstheme="minorHAnsi"/>
                <w:color w:val="0E101A"/>
              </w:rPr>
              <w:t>to COVID-19 travel restrictions, t</w:t>
            </w:r>
            <w:r w:rsidRPr="009D2BAD">
              <w:rPr>
                <w:rFonts w:asciiTheme="minorHAnsi" w:hAnsiTheme="minorHAnsi" w:cstheme="minorHAnsi"/>
                <w:color w:val="0E101A"/>
              </w:rPr>
              <w:t>he regional Green Light Committee (rGLC) regular mission for the WHO European Region and GDF was carried out remotely in August 2020</w:t>
            </w:r>
            <w:r>
              <w:rPr>
                <w:rFonts w:asciiTheme="minorHAnsi" w:hAnsiTheme="minorHAnsi" w:cstheme="minorHAnsi"/>
                <w:color w:val="0E101A"/>
              </w:rPr>
              <w:t>.</w:t>
            </w:r>
            <w:r w:rsidRPr="009D2BAD">
              <w:rPr>
                <w:rFonts w:asciiTheme="minorHAnsi" w:hAnsiTheme="minorHAnsi" w:cstheme="minorHAnsi"/>
                <w:color w:val="0E101A"/>
              </w:rPr>
              <w:t xml:space="preserve"> </w:t>
            </w:r>
            <w:r>
              <w:rPr>
                <w:rFonts w:asciiTheme="minorHAnsi" w:hAnsiTheme="minorHAnsi" w:cstheme="minorHAnsi"/>
                <w:color w:val="0E101A"/>
              </w:rPr>
              <w:t>It aimed to assist</w:t>
            </w:r>
            <w:r w:rsidRPr="009D2BAD">
              <w:rPr>
                <w:rFonts w:asciiTheme="minorHAnsi" w:hAnsiTheme="minorHAnsi" w:cstheme="minorHAnsi"/>
                <w:color w:val="0E101A"/>
              </w:rPr>
              <w:t xml:space="preserve"> the country's </w:t>
            </w:r>
            <w:r w:rsidR="00527C39">
              <w:rPr>
                <w:rFonts w:asciiTheme="minorHAnsi" w:hAnsiTheme="minorHAnsi" w:cstheme="minorHAnsi"/>
                <w:color w:val="0E101A"/>
              </w:rPr>
              <w:t>TB control’ p</w:t>
            </w:r>
            <w:r w:rsidRPr="009D2BAD">
              <w:rPr>
                <w:rFonts w:asciiTheme="minorHAnsi" w:hAnsiTheme="minorHAnsi" w:cstheme="minorHAnsi"/>
                <w:color w:val="0E101A"/>
              </w:rPr>
              <w:t xml:space="preserve">lan implementation, including </w:t>
            </w:r>
            <w:r>
              <w:rPr>
                <w:rFonts w:asciiTheme="minorHAnsi" w:hAnsiTheme="minorHAnsi" w:cstheme="minorHAnsi"/>
                <w:color w:val="0E101A"/>
              </w:rPr>
              <w:t xml:space="preserve">its </w:t>
            </w:r>
            <w:r w:rsidRPr="009D2BAD">
              <w:rPr>
                <w:rFonts w:asciiTheme="minorHAnsi" w:hAnsiTheme="minorHAnsi" w:cstheme="minorHAnsi"/>
                <w:color w:val="0E101A"/>
              </w:rPr>
              <w:t xml:space="preserve">rifampicin-resistant tuberculosis (RR-TB) component. The mission recommendations </w:t>
            </w:r>
            <w:r w:rsidR="00CD17C0">
              <w:rPr>
                <w:rFonts w:asciiTheme="minorHAnsi" w:hAnsiTheme="minorHAnsi" w:cstheme="minorHAnsi"/>
                <w:color w:val="0E101A"/>
              </w:rPr>
              <w:t>a</w:t>
            </w:r>
            <w:r w:rsidRPr="009D2BAD">
              <w:rPr>
                <w:rFonts w:asciiTheme="minorHAnsi" w:hAnsiTheme="minorHAnsi" w:cstheme="minorHAnsi"/>
                <w:color w:val="0E101A"/>
              </w:rPr>
              <w:t xml:space="preserve">ddress three main challenges </w:t>
            </w:r>
            <w:r w:rsidR="00574AB0">
              <w:rPr>
                <w:rFonts w:asciiTheme="minorHAnsi" w:hAnsiTheme="minorHAnsi" w:cstheme="minorHAnsi"/>
                <w:color w:val="0E101A"/>
              </w:rPr>
              <w:t xml:space="preserve">the </w:t>
            </w:r>
            <w:r w:rsidRPr="009D2BAD">
              <w:rPr>
                <w:rFonts w:asciiTheme="minorHAnsi" w:hAnsiTheme="minorHAnsi" w:cstheme="minorHAnsi"/>
                <w:color w:val="0E101A"/>
              </w:rPr>
              <w:t>NTP</w:t>
            </w:r>
            <w:r>
              <w:rPr>
                <w:rFonts w:asciiTheme="minorHAnsi" w:hAnsiTheme="minorHAnsi" w:cstheme="minorHAnsi"/>
                <w:color w:val="0E101A"/>
              </w:rPr>
              <w:t xml:space="preserve"> currently faces</w:t>
            </w:r>
            <w:r w:rsidRPr="009D2BAD">
              <w:rPr>
                <w:rFonts w:asciiTheme="minorHAnsi" w:hAnsiTheme="minorHAnsi" w:cstheme="minorHAnsi"/>
                <w:color w:val="0E101A"/>
              </w:rPr>
              <w:t>:</w:t>
            </w:r>
            <w:r>
              <w:rPr>
                <w:rFonts w:asciiTheme="minorHAnsi" w:hAnsiTheme="minorHAnsi" w:cstheme="minorHAnsi"/>
                <w:color w:val="0E101A"/>
              </w:rPr>
              <w:t xml:space="preserve"> (i) a</w:t>
            </w:r>
            <w:r w:rsidRPr="009D2BAD">
              <w:rPr>
                <w:rFonts w:asciiTheme="minorHAnsi" w:eastAsia="Times New Roman" w:hAnsiTheme="minorHAnsi" w:cstheme="minorHAnsi"/>
                <w:color w:val="0E101A"/>
              </w:rPr>
              <w:t xml:space="preserve">ccelerating the pace of introduction of short all-oral regimens for treatment of </w:t>
            </w:r>
            <w:r w:rsidR="00D663BA">
              <w:rPr>
                <w:rFonts w:asciiTheme="minorHAnsi" w:eastAsia="Times New Roman" w:hAnsiTheme="minorHAnsi" w:cstheme="minorHAnsi"/>
                <w:color w:val="0E101A"/>
              </w:rPr>
              <w:t>RR/MDR</w:t>
            </w:r>
            <w:r w:rsidRPr="009D2BAD">
              <w:rPr>
                <w:rFonts w:asciiTheme="minorHAnsi" w:eastAsia="Times New Roman" w:hAnsiTheme="minorHAnsi" w:cstheme="minorHAnsi"/>
                <w:color w:val="0E101A"/>
              </w:rPr>
              <w:t>-TB</w:t>
            </w:r>
            <w:r>
              <w:rPr>
                <w:rFonts w:asciiTheme="minorHAnsi" w:eastAsia="Times New Roman" w:hAnsiTheme="minorHAnsi" w:cstheme="minorHAnsi"/>
                <w:color w:val="0E101A"/>
              </w:rPr>
              <w:t>; (ii) i</w:t>
            </w:r>
            <w:r w:rsidRPr="009D2BAD">
              <w:rPr>
                <w:rFonts w:asciiTheme="minorHAnsi" w:eastAsia="Times New Roman" w:hAnsiTheme="minorHAnsi" w:cstheme="minorHAnsi"/>
                <w:color w:val="0E101A"/>
              </w:rPr>
              <w:t>ntroduction of new definitions of pre-and XDR-TB cases along with the need to update the elect</w:t>
            </w:r>
            <w:r w:rsidR="00752AF3">
              <w:rPr>
                <w:rFonts w:asciiTheme="minorHAnsi" w:eastAsia="Times New Roman" w:hAnsiTheme="minorHAnsi" w:cstheme="minorHAnsi"/>
                <w:color w:val="0E101A"/>
              </w:rPr>
              <w:t>ronic surveillance system</w:t>
            </w:r>
            <w:r>
              <w:rPr>
                <w:rFonts w:asciiTheme="minorHAnsi" w:eastAsia="Times New Roman" w:hAnsiTheme="minorHAnsi" w:cstheme="minorHAnsi"/>
                <w:color w:val="0E101A"/>
              </w:rPr>
              <w:t>; and (iii) t</w:t>
            </w:r>
            <w:r w:rsidRPr="009D2BAD">
              <w:rPr>
                <w:rFonts w:asciiTheme="minorHAnsi" w:eastAsia="Times New Roman" w:hAnsiTheme="minorHAnsi" w:cstheme="minorHAnsi"/>
                <w:color w:val="0E101A"/>
              </w:rPr>
              <w:t xml:space="preserve">he </w:t>
            </w:r>
            <w:r w:rsidR="00CD17C0">
              <w:rPr>
                <w:rFonts w:asciiTheme="minorHAnsi" w:eastAsia="Times New Roman" w:hAnsiTheme="minorHAnsi" w:cstheme="minorHAnsi"/>
                <w:color w:val="0E101A"/>
              </w:rPr>
              <w:t xml:space="preserve">smooth </w:t>
            </w:r>
            <w:r w:rsidRPr="009D2BAD">
              <w:rPr>
                <w:rFonts w:asciiTheme="minorHAnsi" w:eastAsia="Times New Roman" w:hAnsiTheme="minorHAnsi" w:cstheme="minorHAnsi"/>
                <w:color w:val="0E101A"/>
              </w:rPr>
              <w:t>transitio</w:t>
            </w:r>
            <w:r>
              <w:rPr>
                <w:rFonts w:asciiTheme="minorHAnsi" w:eastAsia="Times New Roman" w:hAnsiTheme="minorHAnsi" w:cstheme="minorHAnsi"/>
                <w:color w:val="0E101A"/>
              </w:rPr>
              <w:t xml:space="preserve">n of the medical service of </w:t>
            </w:r>
            <w:r w:rsidRPr="009D2BAD">
              <w:rPr>
                <w:rFonts w:asciiTheme="minorHAnsi" w:eastAsia="Times New Roman" w:hAnsiTheme="minorHAnsi" w:cstheme="minorHAnsi"/>
                <w:color w:val="0E101A"/>
              </w:rPr>
              <w:t>penitenti</w:t>
            </w:r>
            <w:r>
              <w:rPr>
                <w:rFonts w:asciiTheme="minorHAnsi" w:eastAsia="Times New Roman" w:hAnsiTheme="minorHAnsi" w:cstheme="minorHAnsi"/>
                <w:color w:val="0E101A"/>
              </w:rPr>
              <w:t xml:space="preserve">ary system to the health sector. </w:t>
            </w:r>
            <w:r w:rsidR="00574AB0">
              <w:rPr>
                <w:rFonts w:asciiTheme="minorHAnsi" w:eastAsia="Times New Roman" w:hAnsiTheme="minorHAnsi" w:cstheme="minorHAnsi"/>
                <w:color w:val="0E101A"/>
              </w:rPr>
              <w:t>Particularly, the rGLC mission recommends to:</w:t>
            </w:r>
          </w:p>
          <w:p w14:paraId="4F4C4350" w14:textId="77777777" w:rsidR="00CD17C0" w:rsidRDefault="00CD17C0" w:rsidP="00574AB0">
            <w:pPr>
              <w:spacing w:after="0" w:line="240" w:lineRule="auto"/>
              <w:jc w:val="both"/>
              <w:rPr>
                <w:rFonts w:asciiTheme="minorHAnsi" w:eastAsia="Times New Roman" w:hAnsiTheme="minorHAnsi" w:cstheme="minorHAnsi"/>
                <w:color w:val="0E101A"/>
              </w:rPr>
            </w:pPr>
          </w:p>
          <w:p w14:paraId="47F144EF" w14:textId="6E90B131" w:rsidR="00574AB0" w:rsidRPr="00574AB0" w:rsidRDefault="00574AB0" w:rsidP="006A0E08">
            <w:pPr>
              <w:pStyle w:val="affff3"/>
              <w:numPr>
                <w:ilvl w:val="0"/>
                <w:numId w:val="47"/>
              </w:numPr>
              <w:spacing w:after="0" w:line="240" w:lineRule="auto"/>
              <w:jc w:val="both"/>
              <w:rPr>
                <w:rFonts w:asciiTheme="minorHAnsi" w:eastAsia="Times New Roman" w:hAnsiTheme="minorHAnsi" w:cstheme="minorHAnsi"/>
              </w:rPr>
            </w:pPr>
            <w:r w:rsidRPr="00574AB0">
              <w:rPr>
                <w:rFonts w:asciiTheme="minorHAnsi" w:hAnsiTheme="minorHAnsi" w:cstheme="minorHAnsi"/>
              </w:rPr>
              <w:t>C</w:t>
            </w:r>
            <w:r w:rsidR="00635DB3" w:rsidRPr="00574AB0">
              <w:rPr>
                <w:rFonts w:asciiTheme="minorHAnsi" w:hAnsiTheme="minorHAnsi" w:cstheme="minorHAnsi"/>
              </w:rPr>
              <w:t xml:space="preserve">onsider </w:t>
            </w:r>
            <w:r w:rsidRPr="00574AB0">
              <w:rPr>
                <w:rFonts w:asciiTheme="minorHAnsi" w:hAnsiTheme="minorHAnsi" w:cstheme="minorHAnsi"/>
              </w:rPr>
              <w:t>countrywide</w:t>
            </w:r>
            <w:r w:rsidR="00635DB3" w:rsidRPr="00574AB0">
              <w:rPr>
                <w:rFonts w:asciiTheme="minorHAnsi" w:hAnsiTheme="minorHAnsi" w:cstheme="minorHAnsi"/>
              </w:rPr>
              <w:t xml:space="preserve"> introduction of Xpert XDR technology</w:t>
            </w:r>
            <w:r w:rsidR="00ED1BAE">
              <w:rPr>
                <w:rFonts w:asciiTheme="minorHAnsi" w:hAnsiTheme="minorHAnsi" w:cstheme="minorHAnsi"/>
              </w:rPr>
              <w:t>.</w:t>
            </w:r>
          </w:p>
          <w:p w14:paraId="0DB8564B" w14:textId="7BD2A9A4" w:rsidR="00574AB0" w:rsidRPr="00574AB0" w:rsidRDefault="00574AB0" w:rsidP="006A0E08">
            <w:pPr>
              <w:pStyle w:val="affff3"/>
              <w:numPr>
                <w:ilvl w:val="0"/>
                <w:numId w:val="47"/>
              </w:numPr>
              <w:spacing w:after="0" w:line="240" w:lineRule="auto"/>
              <w:jc w:val="both"/>
              <w:rPr>
                <w:rFonts w:asciiTheme="minorHAnsi" w:eastAsia="Times New Roman" w:hAnsiTheme="minorHAnsi" w:cstheme="minorHAnsi"/>
              </w:rPr>
            </w:pPr>
            <w:r w:rsidRPr="00574AB0">
              <w:rPr>
                <w:rFonts w:asciiTheme="minorHAnsi" w:hAnsiTheme="minorHAnsi" w:cstheme="minorHAnsi"/>
              </w:rPr>
              <w:t>C</w:t>
            </w:r>
            <w:r w:rsidR="00635DB3" w:rsidRPr="00574AB0">
              <w:rPr>
                <w:rFonts w:asciiTheme="minorHAnsi" w:hAnsiTheme="minorHAnsi" w:cstheme="minorHAnsi"/>
              </w:rPr>
              <w:t xml:space="preserve">omplete the process of introducing sequencing </w:t>
            </w:r>
            <w:r w:rsidR="00ED1BAE">
              <w:rPr>
                <w:rFonts w:asciiTheme="minorHAnsi" w:hAnsiTheme="minorHAnsi" w:cstheme="minorHAnsi"/>
              </w:rPr>
              <w:t>into the practice of the NSCP.</w:t>
            </w:r>
          </w:p>
          <w:p w14:paraId="41421F43" w14:textId="5F2E40AA" w:rsidR="00574AB0" w:rsidRPr="00574AB0" w:rsidRDefault="00574AB0" w:rsidP="006A0E08">
            <w:pPr>
              <w:pStyle w:val="affff3"/>
              <w:numPr>
                <w:ilvl w:val="0"/>
                <w:numId w:val="47"/>
              </w:numPr>
              <w:spacing w:after="0" w:line="240" w:lineRule="auto"/>
              <w:jc w:val="both"/>
              <w:rPr>
                <w:rFonts w:asciiTheme="minorHAnsi" w:eastAsia="Times New Roman" w:hAnsiTheme="minorHAnsi" w:cstheme="minorHAnsi"/>
              </w:rPr>
            </w:pPr>
            <w:r w:rsidRPr="00574AB0">
              <w:rPr>
                <w:rFonts w:asciiTheme="minorHAnsi" w:hAnsiTheme="minorHAnsi" w:cstheme="minorHAnsi"/>
              </w:rPr>
              <w:t>I</w:t>
            </w:r>
            <w:r w:rsidR="00635DB3" w:rsidRPr="00574AB0">
              <w:rPr>
                <w:rFonts w:asciiTheme="minorHAnsi" w:hAnsiTheme="minorHAnsi" w:cstheme="minorHAnsi"/>
              </w:rPr>
              <w:t xml:space="preserve">mprove the algorithm for diagnosing TB with mono-resistance to H </w:t>
            </w:r>
            <w:proofErr w:type="gramStart"/>
            <w:r w:rsidR="00635DB3" w:rsidRPr="00574AB0">
              <w:rPr>
                <w:rFonts w:asciiTheme="minorHAnsi" w:hAnsiTheme="minorHAnsi" w:cstheme="minorHAnsi"/>
              </w:rPr>
              <w:t>in order to</w:t>
            </w:r>
            <w:proofErr w:type="gramEnd"/>
            <w:r w:rsidR="00635DB3" w:rsidRPr="00574AB0">
              <w:rPr>
                <w:rFonts w:asciiTheme="minorHAnsi" w:hAnsiTheme="minorHAnsi" w:cstheme="minorHAnsi"/>
              </w:rPr>
              <w:t xml:space="preserve"> ensure earlier treatment with appropriate treatment regimen</w:t>
            </w:r>
            <w:r w:rsidR="00ED1BAE">
              <w:rPr>
                <w:rFonts w:asciiTheme="minorHAnsi" w:hAnsiTheme="minorHAnsi" w:cstheme="minorHAnsi"/>
              </w:rPr>
              <w:t>.</w:t>
            </w:r>
          </w:p>
          <w:p w14:paraId="7BC10BC8" w14:textId="4AB571F3" w:rsidR="00574AB0" w:rsidRPr="00574AB0" w:rsidRDefault="00574AB0" w:rsidP="006A0E08">
            <w:pPr>
              <w:pStyle w:val="affff3"/>
              <w:numPr>
                <w:ilvl w:val="0"/>
                <w:numId w:val="47"/>
              </w:numPr>
              <w:spacing w:after="0" w:line="240" w:lineRule="auto"/>
              <w:jc w:val="both"/>
              <w:rPr>
                <w:rFonts w:asciiTheme="minorHAnsi" w:eastAsia="Times New Roman" w:hAnsiTheme="minorHAnsi" w:cstheme="minorHAnsi"/>
              </w:rPr>
            </w:pPr>
            <w:r w:rsidRPr="00574AB0">
              <w:rPr>
                <w:rFonts w:asciiTheme="minorHAnsi" w:hAnsiTheme="minorHAnsi" w:cstheme="minorHAnsi"/>
              </w:rPr>
              <w:t>I</w:t>
            </w:r>
            <w:r w:rsidR="00635DB3" w:rsidRPr="00574AB0">
              <w:rPr>
                <w:rFonts w:asciiTheme="minorHAnsi" w:hAnsiTheme="minorHAnsi" w:cstheme="minorHAnsi"/>
              </w:rPr>
              <w:t>nitiate EQA for DST to Cfz, Bdq and Dlm (when introduced)</w:t>
            </w:r>
            <w:r w:rsidR="00ED1BAE">
              <w:rPr>
                <w:rFonts w:asciiTheme="minorHAnsi" w:hAnsiTheme="minorHAnsi" w:cstheme="minorHAnsi"/>
              </w:rPr>
              <w:t>.</w:t>
            </w:r>
          </w:p>
          <w:p w14:paraId="3BDB8DFC" w14:textId="38A6D56C" w:rsidR="00574AB0" w:rsidRPr="00574AB0" w:rsidRDefault="00574AB0" w:rsidP="006A0E08">
            <w:pPr>
              <w:pStyle w:val="affff3"/>
              <w:numPr>
                <w:ilvl w:val="0"/>
                <w:numId w:val="47"/>
              </w:numPr>
              <w:spacing w:after="0" w:line="240" w:lineRule="auto"/>
              <w:jc w:val="both"/>
              <w:rPr>
                <w:rFonts w:asciiTheme="minorHAnsi" w:eastAsia="Times New Roman" w:hAnsiTheme="minorHAnsi" w:cstheme="minorHAnsi"/>
              </w:rPr>
            </w:pPr>
            <w:r w:rsidRPr="00574AB0">
              <w:rPr>
                <w:rFonts w:asciiTheme="minorHAnsi" w:hAnsiTheme="minorHAnsi" w:cstheme="minorHAnsi"/>
              </w:rPr>
              <w:t>E</w:t>
            </w:r>
            <w:r w:rsidR="00635DB3" w:rsidRPr="00574AB0">
              <w:rPr>
                <w:rFonts w:asciiTheme="minorHAnsi" w:hAnsiTheme="minorHAnsi" w:cstheme="minorHAnsi"/>
              </w:rPr>
              <w:t xml:space="preserve">xtend and expand the cohort of patients enrolled to the </w:t>
            </w:r>
            <w:proofErr w:type="gramStart"/>
            <w:r w:rsidR="00635DB3" w:rsidRPr="00574AB0">
              <w:rPr>
                <w:rFonts w:asciiTheme="minorHAnsi" w:hAnsiTheme="minorHAnsi" w:cstheme="minorHAnsi"/>
              </w:rPr>
              <w:t>all oral</w:t>
            </w:r>
            <w:proofErr w:type="gramEnd"/>
            <w:r w:rsidR="00635DB3" w:rsidRPr="00574AB0">
              <w:rPr>
                <w:rFonts w:asciiTheme="minorHAnsi" w:hAnsiTheme="minorHAnsi" w:cstheme="minorHAnsi"/>
              </w:rPr>
              <w:t xml:space="preserve"> shorter treatment regimens f</w:t>
            </w:r>
            <w:r w:rsidR="00ED1BAE">
              <w:rPr>
                <w:rFonts w:asciiTheme="minorHAnsi" w:hAnsiTheme="minorHAnsi" w:cstheme="minorHAnsi"/>
              </w:rPr>
              <w:t>or drug-resistant tuberculosis.</w:t>
            </w:r>
          </w:p>
          <w:p w14:paraId="66FB808C" w14:textId="2F94F38B" w:rsidR="00574AB0" w:rsidRPr="00574AB0" w:rsidRDefault="00574AB0" w:rsidP="006A0E08">
            <w:pPr>
              <w:pStyle w:val="affff3"/>
              <w:numPr>
                <w:ilvl w:val="0"/>
                <w:numId w:val="47"/>
              </w:numPr>
              <w:spacing w:after="0" w:line="240" w:lineRule="auto"/>
              <w:jc w:val="both"/>
              <w:rPr>
                <w:rFonts w:asciiTheme="minorHAnsi" w:eastAsia="Times New Roman" w:hAnsiTheme="minorHAnsi" w:cstheme="minorHAnsi"/>
              </w:rPr>
            </w:pPr>
            <w:r w:rsidRPr="00574AB0">
              <w:rPr>
                <w:rFonts w:asciiTheme="minorHAnsi" w:hAnsiTheme="minorHAnsi" w:cstheme="minorHAnsi"/>
              </w:rPr>
              <w:t>C</w:t>
            </w:r>
            <w:r w:rsidR="00635DB3" w:rsidRPr="00574AB0">
              <w:rPr>
                <w:rFonts w:asciiTheme="minorHAnsi" w:hAnsiTheme="minorHAnsi" w:cstheme="minorHAnsi"/>
              </w:rPr>
              <w:t xml:space="preserve">onsider the possibility of introducing BPaL for treatment </w:t>
            </w:r>
            <w:r w:rsidR="00682E73">
              <w:rPr>
                <w:rFonts w:asciiTheme="minorHAnsi" w:hAnsiTheme="minorHAnsi" w:cstheme="minorHAnsi"/>
              </w:rPr>
              <w:t xml:space="preserve">of drug-resistant </w:t>
            </w:r>
            <w:proofErr w:type="gramStart"/>
            <w:r w:rsidR="00682E73">
              <w:rPr>
                <w:rFonts w:asciiTheme="minorHAnsi" w:hAnsiTheme="minorHAnsi" w:cstheme="minorHAnsi"/>
              </w:rPr>
              <w:t>tuberculosis;</w:t>
            </w:r>
            <w:proofErr w:type="gramEnd"/>
          </w:p>
          <w:p w14:paraId="004FF4D1" w14:textId="77777777" w:rsidR="00682E73" w:rsidRPr="00682E73" w:rsidRDefault="00574AB0" w:rsidP="006A0E08">
            <w:pPr>
              <w:pStyle w:val="affff3"/>
              <w:numPr>
                <w:ilvl w:val="0"/>
                <w:numId w:val="47"/>
              </w:numPr>
              <w:spacing w:after="0" w:line="240" w:lineRule="auto"/>
              <w:jc w:val="both"/>
              <w:rPr>
                <w:rFonts w:asciiTheme="minorHAnsi" w:eastAsia="Times New Roman" w:hAnsiTheme="minorHAnsi" w:cstheme="minorHAnsi"/>
              </w:rPr>
            </w:pPr>
            <w:r w:rsidRPr="00574AB0">
              <w:rPr>
                <w:rFonts w:asciiTheme="minorHAnsi" w:hAnsiTheme="minorHAnsi" w:cstheme="minorHAnsi"/>
              </w:rPr>
              <w:t>E</w:t>
            </w:r>
            <w:r w:rsidR="00635DB3" w:rsidRPr="00574AB0">
              <w:rPr>
                <w:rFonts w:asciiTheme="minorHAnsi" w:hAnsiTheme="minorHAnsi" w:cstheme="minorHAnsi"/>
              </w:rPr>
              <w:t xml:space="preserve">nsure that all components necessary for implementation of 2021 WHO recommended new definitions of XDR-TB are in place, such as: </w:t>
            </w:r>
          </w:p>
          <w:p w14:paraId="3D55F27E" w14:textId="42ACF4EB" w:rsidR="00682E73" w:rsidRPr="00682E73" w:rsidRDefault="00635DB3" w:rsidP="006A0E08">
            <w:pPr>
              <w:pStyle w:val="affff3"/>
              <w:numPr>
                <w:ilvl w:val="0"/>
                <w:numId w:val="47"/>
              </w:numPr>
              <w:spacing w:after="0" w:line="240" w:lineRule="auto"/>
              <w:jc w:val="both"/>
              <w:rPr>
                <w:rFonts w:asciiTheme="minorHAnsi" w:hAnsiTheme="minorHAnsi" w:cstheme="minorHAnsi"/>
              </w:rPr>
            </w:pPr>
            <w:r w:rsidRPr="00682E73">
              <w:rPr>
                <w:rFonts w:asciiTheme="minorHAnsi" w:hAnsiTheme="minorHAnsi" w:cstheme="minorHAnsi"/>
              </w:rPr>
              <w:t>quality assu</w:t>
            </w:r>
            <w:r w:rsidR="00CD17C0">
              <w:rPr>
                <w:rFonts w:asciiTheme="minorHAnsi" w:hAnsiTheme="minorHAnsi" w:cstheme="minorHAnsi"/>
              </w:rPr>
              <w:t>red DST for new and repurposed</w:t>
            </w:r>
            <w:r w:rsidRPr="00682E73">
              <w:rPr>
                <w:rFonts w:asciiTheme="minorHAnsi" w:hAnsiTheme="minorHAnsi" w:cstheme="minorHAnsi"/>
              </w:rPr>
              <w:t xml:space="preserve"> dru</w:t>
            </w:r>
            <w:r w:rsidR="00682E73">
              <w:rPr>
                <w:rFonts w:asciiTheme="minorHAnsi" w:hAnsiTheme="minorHAnsi" w:cstheme="minorHAnsi"/>
              </w:rPr>
              <w:t>gs is available countrywide,</w:t>
            </w:r>
          </w:p>
          <w:p w14:paraId="57F53B01" w14:textId="77777777" w:rsidR="00682E73" w:rsidRPr="00682E73" w:rsidRDefault="00635DB3" w:rsidP="006A0E08">
            <w:pPr>
              <w:pStyle w:val="affff3"/>
              <w:numPr>
                <w:ilvl w:val="0"/>
                <w:numId w:val="47"/>
              </w:numPr>
              <w:spacing w:after="0" w:line="240" w:lineRule="auto"/>
              <w:jc w:val="both"/>
              <w:rPr>
                <w:rFonts w:asciiTheme="minorHAnsi" w:eastAsia="Times New Roman" w:hAnsiTheme="minorHAnsi" w:cstheme="minorHAnsi"/>
              </w:rPr>
            </w:pPr>
            <w:r w:rsidRPr="00682E73">
              <w:rPr>
                <w:rFonts w:asciiTheme="minorHAnsi" w:hAnsiTheme="minorHAnsi" w:cstheme="minorHAnsi"/>
              </w:rPr>
              <w:t xml:space="preserve">TB registry is updated to include the fields for all new and reprogrammed </w:t>
            </w:r>
            <w:proofErr w:type="gramStart"/>
            <w:r w:rsidRPr="00682E73">
              <w:rPr>
                <w:rFonts w:asciiTheme="minorHAnsi" w:hAnsiTheme="minorHAnsi" w:cstheme="minorHAnsi"/>
              </w:rPr>
              <w:t>drugs;</w:t>
            </w:r>
            <w:proofErr w:type="gramEnd"/>
            <w:r w:rsidRPr="00682E73">
              <w:rPr>
                <w:rFonts w:asciiTheme="minorHAnsi" w:hAnsiTheme="minorHAnsi" w:cstheme="minorHAnsi"/>
              </w:rPr>
              <w:t xml:space="preserve"> </w:t>
            </w:r>
          </w:p>
          <w:p w14:paraId="509221A5" w14:textId="77777777" w:rsidR="00682E73" w:rsidRDefault="00682E73" w:rsidP="006A0E08">
            <w:pPr>
              <w:pStyle w:val="affff3"/>
              <w:numPr>
                <w:ilvl w:val="0"/>
                <w:numId w:val="47"/>
              </w:numPr>
              <w:spacing w:after="0" w:line="240" w:lineRule="auto"/>
              <w:jc w:val="both"/>
              <w:rPr>
                <w:rFonts w:asciiTheme="minorHAnsi" w:eastAsia="Times New Roman" w:hAnsiTheme="minorHAnsi" w:cstheme="minorHAnsi"/>
              </w:rPr>
            </w:pPr>
            <w:r>
              <w:rPr>
                <w:rFonts w:asciiTheme="minorHAnsi" w:hAnsiTheme="minorHAnsi" w:cstheme="minorHAnsi"/>
              </w:rPr>
              <w:t>the national guidelines</w:t>
            </w:r>
            <w:r w:rsidR="00635DB3" w:rsidRPr="00682E73">
              <w:rPr>
                <w:rFonts w:asciiTheme="minorHAnsi" w:hAnsiTheme="minorHAnsi" w:cstheme="minorHAnsi"/>
              </w:rPr>
              <w:t xml:space="preserve"> are updated to include revised </w:t>
            </w:r>
            <w:proofErr w:type="gramStart"/>
            <w:r w:rsidR="00635DB3" w:rsidRPr="00682E73">
              <w:rPr>
                <w:rFonts w:asciiTheme="minorHAnsi" w:hAnsiTheme="minorHAnsi" w:cstheme="minorHAnsi"/>
              </w:rPr>
              <w:t>definitions;</w:t>
            </w:r>
            <w:proofErr w:type="gramEnd"/>
            <w:r w:rsidR="00635DB3" w:rsidRPr="00682E73">
              <w:rPr>
                <w:rFonts w:asciiTheme="minorHAnsi" w:hAnsiTheme="minorHAnsi" w:cstheme="minorHAnsi"/>
              </w:rPr>
              <w:t xml:space="preserve"> </w:t>
            </w:r>
          </w:p>
          <w:p w14:paraId="4ECAA531" w14:textId="77777777" w:rsidR="00682E73" w:rsidRPr="00682E73" w:rsidRDefault="00635DB3" w:rsidP="006A0E08">
            <w:pPr>
              <w:pStyle w:val="affff3"/>
              <w:numPr>
                <w:ilvl w:val="0"/>
                <w:numId w:val="47"/>
              </w:numPr>
              <w:spacing w:after="0" w:line="240" w:lineRule="auto"/>
              <w:jc w:val="both"/>
              <w:rPr>
                <w:rFonts w:asciiTheme="minorHAnsi" w:eastAsia="Times New Roman" w:hAnsiTheme="minorHAnsi" w:cstheme="minorHAnsi"/>
              </w:rPr>
            </w:pPr>
            <w:r w:rsidRPr="00682E73">
              <w:rPr>
                <w:rFonts w:asciiTheme="minorHAnsi" w:hAnsiTheme="minorHAnsi" w:cstheme="minorHAnsi"/>
              </w:rPr>
              <w:t xml:space="preserve">the relevant health care staff is trained to use new definitions, and </w:t>
            </w:r>
          </w:p>
          <w:p w14:paraId="7B345C38" w14:textId="31E4429A" w:rsidR="00635DB3" w:rsidRPr="00682E73" w:rsidRDefault="00CD17C0" w:rsidP="006A0E08">
            <w:pPr>
              <w:pStyle w:val="affff3"/>
              <w:numPr>
                <w:ilvl w:val="0"/>
                <w:numId w:val="47"/>
              </w:numPr>
              <w:spacing w:after="0" w:line="240" w:lineRule="auto"/>
              <w:jc w:val="both"/>
              <w:rPr>
                <w:rFonts w:asciiTheme="minorHAnsi" w:eastAsia="Times New Roman" w:hAnsiTheme="minorHAnsi" w:cstheme="minorHAnsi"/>
              </w:rPr>
            </w:pPr>
            <w:r>
              <w:rPr>
                <w:rFonts w:asciiTheme="minorHAnsi" w:hAnsiTheme="minorHAnsi" w:cstheme="minorHAnsi"/>
              </w:rPr>
              <w:t>update n</w:t>
            </w:r>
            <w:r w:rsidR="00635DB3" w:rsidRPr="00682E73">
              <w:rPr>
                <w:rFonts w:asciiTheme="minorHAnsi" w:hAnsiTheme="minorHAnsi" w:cstheme="minorHAnsi"/>
              </w:rPr>
              <w:t>ational TB RR</w:t>
            </w:r>
            <w:r w:rsidR="00682E73">
              <w:rPr>
                <w:rFonts w:asciiTheme="minorHAnsi" w:hAnsiTheme="minorHAnsi" w:cstheme="minorHAnsi"/>
              </w:rPr>
              <w:t>/MDR-TB g</w:t>
            </w:r>
            <w:r w:rsidR="00635DB3" w:rsidRPr="00682E73">
              <w:rPr>
                <w:rFonts w:asciiTheme="minorHAnsi" w:hAnsiTheme="minorHAnsi" w:cstheme="minorHAnsi"/>
              </w:rPr>
              <w:t>uidelines and related documents with new WHO recommendations: WHO Consolidated Guidelines and Handbook on Tuberculosis, Module 4: Treatment - Drug-Resistant Tuberculosis Treatment (2020).</w:t>
            </w:r>
          </w:p>
          <w:p w14:paraId="52D59ECD" w14:textId="77777777" w:rsidR="00682E73" w:rsidRPr="00682E73" w:rsidRDefault="00682E73" w:rsidP="00682E73">
            <w:pPr>
              <w:spacing w:after="0" w:line="240" w:lineRule="auto"/>
              <w:ind w:left="680"/>
              <w:jc w:val="both"/>
              <w:rPr>
                <w:rFonts w:asciiTheme="minorHAnsi" w:eastAsia="Times New Roman" w:hAnsiTheme="minorHAnsi" w:cstheme="minorHAnsi"/>
              </w:rPr>
            </w:pPr>
          </w:p>
          <w:p w14:paraId="6BD6C5EF" w14:textId="1D8F2EF9" w:rsidR="009447F3" w:rsidRPr="00974FD7" w:rsidRDefault="00E61EAC" w:rsidP="00CD17C0">
            <w:pPr>
              <w:jc w:val="both"/>
              <w:rPr>
                <w:rFonts w:asciiTheme="minorHAnsi" w:hAnsiTheme="minorHAnsi" w:cstheme="minorHAnsi"/>
              </w:rPr>
            </w:pPr>
            <w:r w:rsidRPr="00974FD7">
              <w:rPr>
                <w:rFonts w:asciiTheme="minorHAnsi" w:hAnsiTheme="minorHAnsi" w:cstheme="minorHAnsi"/>
              </w:rPr>
              <w:t>The proposal for the implementation of some of these recommendations is reflected in the funding request</w:t>
            </w:r>
            <w:r w:rsidR="00CD17C0" w:rsidRPr="00974FD7">
              <w:rPr>
                <w:rFonts w:asciiTheme="minorHAnsi" w:hAnsiTheme="minorHAnsi" w:cstheme="minorHAnsi"/>
              </w:rPr>
              <w:t>'</w:t>
            </w:r>
            <w:r w:rsidRPr="00974FD7">
              <w:rPr>
                <w:rFonts w:asciiTheme="minorHAnsi" w:hAnsiTheme="minorHAnsi" w:cstheme="minorHAnsi"/>
              </w:rPr>
              <w:t xml:space="preserve"> respective sections.</w:t>
            </w:r>
          </w:p>
          <w:p w14:paraId="275840E9" w14:textId="19564F2D" w:rsidR="00BE1E69" w:rsidRDefault="009447F3" w:rsidP="00CD17C0">
            <w:pPr>
              <w:spacing w:before="240" w:line="240" w:lineRule="auto"/>
              <w:jc w:val="both"/>
              <w:rPr>
                <w:b/>
                <w:bCs/>
              </w:rPr>
            </w:pPr>
            <w:r w:rsidRPr="00446639">
              <w:rPr>
                <w:b/>
                <w:bCs/>
              </w:rPr>
              <w:t xml:space="preserve">Pharmacovigilance system and </w:t>
            </w:r>
            <w:r>
              <w:rPr>
                <w:b/>
                <w:bCs/>
              </w:rPr>
              <w:t xml:space="preserve">active TB drug-safety </w:t>
            </w:r>
            <w:r w:rsidR="0082771E">
              <w:rPr>
                <w:b/>
                <w:bCs/>
              </w:rPr>
              <w:t xml:space="preserve">monitoring and management </w:t>
            </w:r>
          </w:p>
          <w:p w14:paraId="403FFE92" w14:textId="72070D09" w:rsidR="003D1CAD" w:rsidRDefault="003D1CAD" w:rsidP="00CD17C0">
            <w:pPr>
              <w:spacing w:after="0" w:line="240" w:lineRule="auto"/>
              <w:jc w:val="both"/>
            </w:pPr>
            <w:r w:rsidRPr="003D1CAD">
              <w:t xml:space="preserve">The government's commitment to ensuring quality, safety, and effective care is supported by strategic documents and legislative acts on medicines and medical devices. A particular chapter on pharmacovigilance is foreseen in the Code </w:t>
            </w:r>
            <w:r w:rsidR="004C2307">
              <w:t>on health and health care system.</w:t>
            </w:r>
            <w:r w:rsidRPr="003D1CAD">
              <w:t xml:space="preserve"> The regulatory framework endorses the main requirements of pharmacovigilance, including key stakeholders and their roles, tools for data recording, as well as an effective information managemen</w:t>
            </w:r>
            <w:r w:rsidR="0035698A">
              <w:t>t system and collabo</w:t>
            </w:r>
            <w:r w:rsidR="002E5F52">
              <w:t>ration with international organizations</w:t>
            </w:r>
            <w:r w:rsidRPr="003D1CAD">
              <w:t xml:space="preserve"> </w:t>
            </w:r>
            <w:r w:rsidR="0035698A">
              <w:t xml:space="preserve">specialized </w:t>
            </w:r>
            <w:r w:rsidRPr="003D1CAD">
              <w:t xml:space="preserve">on pharmacovigilance.  </w:t>
            </w:r>
          </w:p>
          <w:p w14:paraId="07E53123" w14:textId="77777777" w:rsidR="00CD17C0" w:rsidRDefault="00CD17C0" w:rsidP="00CD17C0">
            <w:pPr>
              <w:spacing w:after="0" w:line="240" w:lineRule="auto"/>
              <w:jc w:val="both"/>
            </w:pPr>
          </w:p>
          <w:p w14:paraId="28E221CB" w14:textId="65AD73DC" w:rsidR="00D81808" w:rsidRDefault="003D1CAD" w:rsidP="00CD17C0">
            <w:pPr>
              <w:spacing w:after="0" w:line="240" w:lineRule="auto"/>
              <w:jc w:val="both"/>
            </w:pPr>
            <w:r w:rsidRPr="003D1CAD">
              <w:t xml:space="preserve">The pharmacovigilance term in the national regulation </w:t>
            </w:r>
            <w:r w:rsidR="00BD0E34">
              <w:t>has</w:t>
            </w:r>
            <w:r w:rsidRPr="003D1CAD">
              <w:t xml:space="preserve"> a comprehensive meaning, foreseeing monitoring the medicine safety, efficacy, medication error</w:t>
            </w:r>
            <w:r w:rsidR="00BD0E34">
              <w:t xml:space="preserve">, </w:t>
            </w:r>
            <w:proofErr w:type="gramStart"/>
            <w:r w:rsidR="00BD0E34">
              <w:t>abuse</w:t>
            </w:r>
            <w:proofErr w:type="gramEnd"/>
            <w:r w:rsidR="00BD0E34">
              <w:t xml:space="preserve"> or misuse of medicine. </w:t>
            </w:r>
            <w:r w:rsidR="00647124">
              <w:t>Drugs safety m</w:t>
            </w:r>
            <w:r w:rsidR="00D81808" w:rsidRPr="00D81808">
              <w:t xml:space="preserve">onitoring </w:t>
            </w:r>
            <w:r w:rsidR="00BD0E34">
              <w:t>along with</w:t>
            </w:r>
            <w:r w:rsidR="00D81808" w:rsidRPr="00D81808">
              <w:t xml:space="preserve"> </w:t>
            </w:r>
            <w:r w:rsidR="00647124">
              <w:t xml:space="preserve">its </w:t>
            </w:r>
            <w:r w:rsidR="00D81808" w:rsidRPr="00D81808">
              <w:t>circulation</w:t>
            </w:r>
            <w:r w:rsidR="00BD0E34">
              <w:t xml:space="preserve"> pathway and </w:t>
            </w:r>
            <w:r w:rsidR="00D81808" w:rsidRPr="00D81808">
              <w:t xml:space="preserve">actors involved </w:t>
            </w:r>
            <w:r w:rsidR="00BD0E34">
              <w:t>at various stages such as</w:t>
            </w:r>
            <w:r w:rsidR="00D81808" w:rsidRPr="00D81808">
              <w:t xml:space="preserve"> manufacturers </w:t>
            </w:r>
            <w:r w:rsidR="00BD0E34" w:rsidRPr="00D81808">
              <w:t>pharmacies</w:t>
            </w:r>
            <w:r w:rsidR="00BD0E34">
              <w:t>,</w:t>
            </w:r>
            <w:r w:rsidR="00BD0E34" w:rsidRPr="00D81808">
              <w:t xml:space="preserve"> </w:t>
            </w:r>
            <w:r w:rsidR="00D81808" w:rsidRPr="00D81808">
              <w:t>market</w:t>
            </w:r>
            <w:r w:rsidR="00BD0E34">
              <w:t>ing authorization holders,</w:t>
            </w:r>
            <w:r w:rsidR="00D81808" w:rsidRPr="00D81808">
              <w:t xml:space="preserve"> </w:t>
            </w:r>
            <w:r w:rsidR="00647124">
              <w:t>healthcare workers</w:t>
            </w:r>
            <w:r w:rsidR="00BD0E34">
              <w:t xml:space="preserve"> and</w:t>
            </w:r>
            <w:r w:rsidR="00D81808" w:rsidRPr="00D81808">
              <w:t xml:space="preserve"> patients are enforced by the cur</w:t>
            </w:r>
            <w:r w:rsidR="00B74274">
              <w:t>rent regulatory framework. The R</w:t>
            </w:r>
            <w:r w:rsidR="00D81808" w:rsidRPr="00D81808">
              <w:t>ules</w:t>
            </w:r>
            <w:r w:rsidR="00D81808">
              <w:rPr>
                <w:rStyle w:val="af"/>
              </w:rPr>
              <w:footnoteReference w:id="56"/>
            </w:r>
            <w:r w:rsidR="00D81808">
              <w:t xml:space="preserve"> recently adopted have</w:t>
            </w:r>
            <w:r w:rsidR="00D81808" w:rsidRPr="00D81808">
              <w:t xml:space="preserve"> secure medicine safety' monitoring function at the </w:t>
            </w:r>
            <w:r w:rsidR="00BD0E34">
              <w:t xml:space="preserve">health </w:t>
            </w:r>
            <w:r w:rsidR="00D81808" w:rsidRPr="00D81808">
              <w:t>facilities</w:t>
            </w:r>
            <w:r w:rsidR="00D81808">
              <w:t xml:space="preserve"> by </w:t>
            </w:r>
            <w:r w:rsidR="00D81808" w:rsidRPr="00D81808">
              <w:t>stressing the need for a particular staff in each health</w:t>
            </w:r>
            <w:r w:rsidR="00D81808">
              <w:t>care</w:t>
            </w:r>
            <w:r w:rsidR="00D81808" w:rsidRPr="00D81808">
              <w:t xml:space="preserve"> setting responsible for pharmacovigilance.</w:t>
            </w:r>
          </w:p>
          <w:p w14:paraId="7E9ACB67" w14:textId="77777777" w:rsidR="00CD17C0" w:rsidRPr="00C52E1E" w:rsidRDefault="00CD17C0" w:rsidP="00CD17C0">
            <w:pPr>
              <w:spacing w:after="0" w:line="240" w:lineRule="auto"/>
              <w:jc w:val="both"/>
            </w:pPr>
          </w:p>
          <w:p w14:paraId="1C526D37" w14:textId="77777777" w:rsidR="0017536F" w:rsidRDefault="00C04E7D" w:rsidP="00CD17C0">
            <w:pPr>
              <w:spacing w:after="0" w:line="240" w:lineRule="auto"/>
              <w:jc w:val="both"/>
            </w:pPr>
            <w:r>
              <w:t>A key partner for the NTP on pharmacovigilance is the National Center for Expertise of Medicine</w:t>
            </w:r>
            <w:r w:rsidR="00F053A1">
              <w:t xml:space="preserve"> and Medical Devices (NCEMMD), </w:t>
            </w:r>
            <w:r>
              <w:t>a public entity responsible for monitoring the safety of medicine and medical devices, includin</w:t>
            </w:r>
            <w:r w:rsidR="0082771E">
              <w:t xml:space="preserve">g management of the information </w:t>
            </w:r>
            <w:r>
              <w:t>system</w:t>
            </w:r>
            <w:r w:rsidR="0082771E">
              <w:t xml:space="preserve">. The NCEMMD collaborates with </w:t>
            </w:r>
            <w:r>
              <w:t xml:space="preserve">the WHO </w:t>
            </w:r>
            <w:r w:rsidR="0082771E">
              <w:t xml:space="preserve">in updating the </w:t>
            </w:r>
            <w:r>
              <w:t>global d</w:t>
            </w:r>
            <w:r w:rsidR="0082771E">
              <w:t>atabase VigiAccess, VigiBase, by reporting potential side effects of medical products</w:t>
            </w:r>
            <w:r>
              <w:t>.</w:t>
            </w:r>
          </w:p>
          <w:p w14:paraId="654342A8" w14:textId="21348BF5" w:rsidR="00C04E7D" w:rsidRDefault="00C04E7D" w:rsidP="00CD17C0">
            <w:pPr>
              <w:spacing w:after="0" w:line="240" w:lineRule="auto"/>
              <w:jc w:val="both"/>
            </w:pPr>
            <w:r>
              <w:t xml:space="preserve"> </w:t>
            </w:r>
          </w:p>
          <w:p w14:paraId="23340546" w14:textId="649800F3" w:rsidR="00B7129E" w:rsidRDefault="00646367" w:rsidP="00CD17C0">
            <w:pPr>
              <w:spacing w:after="0" w:line="240" w:lineRule="auto"/>
              <w:jc w:val="both"/>
            </w:pPr>
            <w:r w:rsidRPr="00646367">
              <w:t xml:space="preserve">The MoH and NTP are approached holistically towards introducing new and re-purposed treatment regimens for DR-TB. One of the critical prerequisites was the establishment of the active medicine monitoring system (aDSM). </w:t>
            </w:r>
            <w:r w:rsidR="00F62463" w:rsidRPr="00F62463">
              <w:t>The initial capacities, knowledge, and procedures for implementing the aDSM were formed within the partne</w:t>
            </w:r>
            <w:r w:rsidR="00F62463">
              <w:t>rs’ operational research</w:t>
            </w:r>
            <w:r w:rsidR="0082771E">
              <w:t xml:space="preserve"> initiatives</w:t>
            </w:r>
            <w:r w:rsidR="00F62463">
              <w:t xml:space="preserve">. </w:t>
            </w:r>
            <w:r w:rsidR="00F62463" w:rsidRPr="00F62463">
              <w:t>However, the general regulation on pharmacovigilance foresees the definition regarding the active monitoring of the medicine's safety that is considered basically for the requirements for active monitoring by pharmaceutical manufacturers and marketing authorization holders, in case of registration of medicine under special conditions.</w:t>
            </w:r>
            <w:r w:rsidR="00D5313F">
              <w:t xml:space="preserve"> </w:t>
            </w:r>
            <w:r w:rsidR="00157352">
              <w:t>Therefore</w:t>
            </w:r>
            <w:r w:rsidR="000B14F8">
              <w:t>, the aDSM for TB</w:t>
            </w:r>
            <w:r w:rsidR="00B7129E">
              <w:t xml:space="preserve"> is </w:t>
            </w:r>
            <w:r w:rsidR="000B14F8">
              <w:t>deeply</w:t>
            </w:r>
            <w:r w:rsidR="00B7129E">
              <w:t xml:space="preserve"> regulated by guidel</w:t>
            </w:r>
            <w:r w:rsidR="000B14F8">
              <w:t>ines developed as part of the rules on</w:t>
            </w:r>
            <w:r w:rsidR="00B7129E">
              <w:t xml:space="preserve"> DR</w:t>
            </w:r>
            <w:r w:rsidR="00D5313F">
              <w:t>-</w:t>
            </w:r>
            <w:r w:rsidR="00B7129E">
              <w:t>TB management. Moreove</w:t>
            </w:r>
            <w:r w:rsidR="00BA3F77">
              <w:t>r, the aDSM component is envisaged in</w:t>
            </w:r>
            <w:r w:rsidR="00B7129E">
              <w:t xml:space="preserve"> </w:t>
            </w:r>
            <w:r w:rsidR="0046759D">
              <w:t xml:space="preserve">the </w:t>
            </w:r>
            <w:r w:rsidR="00B7129E">
              <w:t xml:space="preserve">management of </w:t>
            </w:r>
            <w:r w:rsidR="0046759D">
              <w:t>TB</w:t>
            </w:r>
            <w:r w:rsidR="00B7129E">
              <w:t xml:space="preserve"> </w:t>
            </w:r>
            <w:r w:rsidR="00BA3F77">
              <w:t>at the</w:t>
            </w:r>
            <w:r w:rsidR="00B7129E">
              <w:t xml:space="preserve"> </w:t>
            </w:r>
            <w:r w:rsidR="000B14F8">
              <w:t>PHC</w:t>
            </w:r>
            <w:r w:rsidR="0046759D">
              <w:t xml:space="preserve">. It </w:t>
            </w:r>
            <w:r w:rsidR="00B7129E">
              <w:t xml:space="preserve">provides the definitions, </w:t>
            </w:r>
            <w:r w:rsidR="00BA3F77">
              <w:t xml:space="preserve">highlights the tasks, </w:t>
            </w:r>
            <w:r w:rsidR="00B7129E">
              <w:t xml:space="preserve">algorithm </w:t>
            </w:r>
            <w:r w:rsidR="00BA3F77">
              <w:t xml:space="preserve">for </w:t>
            </w:r>
            <w:r w:rsidR="00B7129E">
              <w:t xml:space="preserve">clinical and information management of the side effects </w:t>
            </w:r>
            <w:r w:rsidR="0046759D">
              <w:t>under</w:t>
            </w:r>
            <w:r w:rsidR="00B7129E">
              <w:t xml:space="preserve"> the activ</w:t>
            </w:r>
            <w:r w:rsidR="002E5F52">
              <w:t>e mode</w:t>
            </w:r>
            <w:r w:rsidR="00D31C7A">
              <w:t xml:space="preserve"> of TB drugs safety monitoring</w:t>
            </w:r>
            <w:r w:rsidR="00B7129E">
              <w:t>.</w:t>
            </w:r>
          </w:p>
          <w:p w14:paraId="137A1765" w14:textId="77777777" w:rsidR="00CD17C0" w:rsidRDefault="00CD17C0" w:rsidP="00CD17C0">
            <w:pPr>
              <w:spacing w:after="0" w:line="240" w:lineRule="auto"/>
              <w:jc w:val="both"/>
            </w:pPr>
          </w:p>
          <w:p w14:paraId="6D8F9AE4" w14:textId="657A1321" w:rsidR="009447F3" w:rsidRDefault="00BA2712" w:rsidP="00CD17C0">
            <w:pPr>
              <w:spacing w:after="0" w:line="240" w:lineRule="auto"/>
              <w:jc w:val="both"/>
            </w:pPr>
            <w:r w:rsidRPr="00BA2712">
              <w:rPr>
                <w:rFonts w:eastAsia="Times New Roman" w:cs="Arial"/>
                <w:color w:val="000000"/>
                <w:shd w:val="clear" w:color="auto" w:fill="FFFFFF"/>
              </w:rPr>
              <w:t>The nationwide introduction of</w:t>
            </w:r>
            <w:r w:rsidR="00C20C16">
              <w:rPr>
                <w:rFonts w:eastAsia="Times New Roman" w:cs="Arial"/>
                <w:color w:val="000000"/>
                <w:shd w:val="clear" w:color="auto" w:fill="FFFFFF"/>
              </w:rPr>
              <w:t xml:space="preserve"> </w:t>
            </w:r>
            <w:r w:rsidRPr="00BA2712">
              <w:rPr>
                <w:rFonts w:eastAsia="Times New Roman" w:cs="Arial"/>
                <w:color w:val="000000"/>
                <w:bdr w:val="none" w:sz="0" w:space="0" w:color="auto" w:frame="1"/>
              </w:rPr>
              <w:t>new and re-purposed TB medicines requires enhanced measures of adverse events.</w:t>
            </w:r>
            <w:r>
              <w:rPr>
                <w:rFonts w:ascii="Times" w:eastAsia="Times New Roman" w:hAnsi="Times" w:cs="Times New Roman"/>
                <w:sz w:val="20"/>
                <w:szCs w:val="20"/>
              </w:rPr>
              <w:t xml:space="preserve"> </w:t>
            </w:r>
            <w:r>
              <w:rPr>
                <w:rFonts w:asciiTheme="minorHAnsi" w:hAnsiTheme="minorHAnsi" w:cstheme="minorHAnsi"/>
                <w:color w:val="0E101A"/>
              </w:rPr>
              <w:t>Towards this objective</w:t>
            </w:r>
            <w:r w:rsidR="00D43410">
              <w:rPr>
                <w:rFonts w:asciiTheme="minorHAnsi" w:hAnsiTheme="minorHAnsi" w:cstheme="minorHAnsi"/>
                <w:color w:val="0E101A"/>
              </w:rPr>
              <w:t>, a set of interventions</w:t>
            </w:r>
            <w:r w:rsidR="00D810F5" w:rsidRPr="00D810F5">
              <w:rPr>
                <w:rFonts w:asciiTheme="minorHAnsi" w:hAnsiTheme="minorHAnsi" w:cstheme="minorHAnsi"/>
                <w:color w:val="0E101A"/>
              </w:rPr>
              <w:t xml:space="preserve"> have been undertaken, including (i) unification of data reporting and forms for side effects</w:t>
            </w:r>
            <w:r w:rsidR="0082771E">
              <w:rPr>
                <w:rFonts w:asciiTheme="minorHAnsi" w:hAnsiTheme="minorHAnsi" w:cstheme="minorHAnsi"/>
                <w:color w:val="0E101A"/>
              </w:rPr>
              <w:t xml:space="preserve"> recording</w:t>
            </w:r>
            <w:r w:rsidR="00D810F5" w:rsidRPr="00D810F5">
              <w:rPr>
                <w:rFonts w:asciiTheme="minorHAnsi" w:hAnsiTheme="minorHAnsi" w:cstheme="minorHAnsi"/>
                <w:color w:val="0E101A"/>
              </w:rPr>
              <w:t xml:space="preserve"> irrespective of TB medicines registration status, from the facility level to the NCEMMD; (ii) improving data on clinical and laboratory monitoring of adverse drug events, by updating the unified health information system; (iii) provision of e-learning modules and capacity building at all levels of care. To ensure </w:t>
            </w:r>
            <w:r w:rsidR="00752AF3">
              <w:rPr>
                <w:rFonts w:asciiTheme="minorHAnsi" w:hAnsiTheme="minorHAnsi" w:cstheme="minorHAnsi"/>
                <w:color w:val="0E101A"/>
              </w:rPr>
              <w:t>active TB drug-sa</w:t>
            </w:r>
            <w:r w:rsidR="00070CB7">
              <w:rPr>
                <w:rFonts w:asciiTheme="minorHAnsi" w:hAnsiTheme="minorHAnsi" w:cstheme="minorHAnsi"/>
                <w:color w:val="0E101A"/>
              </w:rPr>
              <w:t>fety monitoring and management</w:t>
            </w:r>
            <w:r w:rsidR="00D810F5" w:rsidRPr="00D810F5">
              <w:rPr>
                <w:rFonts w:asciiTheme="minorHAnsi" w:hAnsiTheme="minorHAnsi" w:cstheme="minorHAnsi"/>
                <w:color w:val="0E101A"/>
              </w:rPr>
              <w:t xml:space="preserve"> at the regional and district levels and mitigate the </w:t>
            </w:r>
            <w:r w:rsidR="00D810F5">
              <w:rPr>
                <w:rFonts w:asciiTheme="minorHAnsi" w:hAnsiTheme="minorHAnsi" w:cstheme="minorHAnsi"/>
                <w:color w:val="0E101A"/>
              </w:rPr>
              <w:t xml:space="preserve">medication </w:t>
            </w:r>
            <w:r w:rsidR="00D810F5" w:rsidRPr="00D810F5">
              <w:rPr>
                <w:rFonts w:asciiTheme="minorHAnsi" w:hAnsiTheme="minorHAnsi" w:cstheme="minorHAnsi"/>
                <w:color w:val="0E101A"/>
              </w:rPr>
              <w:t>risks, the prescription and revision of the treatment regimens with new TB drugs is coordinated by the Central Medical Advisory Committee</w:t>
            </w:r>
            <w:r w:rsidR="00D810F5">
              <w:rPr>
                <w:rFonts w:asciiTheme="minorHAnsi" w:hAnsiTheme="minorHAnsi" w:cstheme="minorHAnsi"/>
                <w:color w:val="0E101A"/>
              </w:rPr>
              <w:t xml:space="preserve"> (CMAC) established at the NSCP. Also,</w:t>
            </w:r>
            <w:r w:rsidR="00D810F5" w:rsidRPr="00D810F5">
              <w:rPr>
                <w:rFonts w:asciiTheme="minorHAnsi" w:hAnsiTheme="minorHAnsi" w:cstheme="minorHAnsi"/>
                <w:color w:val="0E101A"/>
              </w:rPr>
              <w:t xml:space="preserve"> the aDMS</w:t>
            </w:r>
            <w:r w:rsidR="00D810F5">
              <w:rPr>
                <w:rFonts w:asciiTheme="minorHAnsi" w:hAnsiTheme="minorHAnsi" w:cstheme="minorHAnsi"/>
                <w:color w:val="0E101A"/>
              </w:rPr>
              <w:t>’</w:t>
            </w:r>
            <w:r w:rsidR="00D810F5" w:rsidRPr="00D810F5">
              <w:rPr>
                <w:rFonts w:asciiTheme="minorHAnsi" w:hAnsiTheme="minorHAnsi" w:cstheme="minorHAnsi"/>
                <w:color w:val="0E101A"/>
              </w:rPr>
              <w:t xml:space="preserve"> components have become an integral part of the NTP' overall M&amp;E system.</w:t>
            </w:r>
            <w:r w:rsidR="00C87C76">
              <w:rPr>
                <w:rFonts w:asciiTheme="minorHAnsi" w:hAnsiTheme="minorHAnsi" w:cstheme="minorHAnsi"/>
                <w:color w:val="0E101A"/>
              </w:rPr>
              <w:t xml:space="preserve"> </w:t>
            </w:r>
            <w:r w:rsidR="00B7129E">
              <w:t xml:space="preserve">The perspectives of </w:t>
            </w:r>
            <w:r w:rsidR="00D810F5">
              <w:t>enhancing</w:t>
            </w:r>
            <w:r w:rsidR="00B7129E">
              <w:t xml:space="preserve"> the pharmacovigilance </w:t>
            </w:r>
            <w:r w:rsidR="00D810F5">
              <w:t xml:space="preserve">and aDMS are reflected </w:t>
            </w:r>
            <w:r w:rsidR="00857A6B">
              <w:t xml:space="preserve">in the </w:t>
            </w:r>
            <w:r w:rsidR="00B7129E">
              <w:t xml:space="preserve">new </w:t>
            </w:r>
            <w:r w:rsidR="00D810F5">
              <w:t>Comprehensive Plan for 2022-2026</w:t>
            </w:r>
            <w:r w:rsidR="00B7129E">
              <w:t>.</w:t>
            </w:r>
          </w:p>
          <w:p w14:paraId="459C2B01" w14:textId="77777777" w:rsidR="00C20C16" w:rsidRPr="00BA2712" w:rsidRDefault="00C20C16" w:rsidP="00C20C16">
            <w:pPr>
              <w:spacing w:after="0" w:line="240" w:lineRule="auto"/>
              <w:jc w:val="both"/>
              <w:rPr>
                <w:rFonts w:ascii="Times" w:eastAsia="Times New Roman" w:hAnsi="Times" w:cs="Times New Roman"/>
                <w:sz w:val="20"/>
                <w:szCs w:val="20"/>
              </w:rPr>
            </w:pPr>
          </w:p>
          <w:p w14:paraId="21DE24C6" w14:textId="53C69800" w:rsidR="00635DB3" w:rsidRPr="00B73361" w:rsidRDefault="00A078CD" w:rsidP="00635DB3">
            <w:pPr>
              <w:rPr>
                <w:rFonts w:cs="Arial"/>
                <w:b/>
                <w:bCs/>
              </w:rPr>
            </w:pPr>
            <w:r w:rsidRPr="00B73361">
              <w:rPr>
                <w:rFonts w:cs="Arial"/>
                <w:b/>
                <w:bCs/>
              </w:rPr>
              <w:t>Impact</w:t>
            </w:r>
            <w:r w:rsidR="00635DB3" w:rsidRPr="00B73361">
              <w:rPr>
                <w:rFonts w:cs="Arial"/>
                <w:b/>
                <w:bCs/>
              </w:rPr>
              <w:t xml:space="preserve"> </w:t>
            </w:r>
            <w:r w:rsidRPr="00B73361">
              <w:rPr>
                <w:rFonts w:cs="Arial"/>
                <w:b/>
                <w:bCs/>
              </w:rPr>
              <w:t>of t</w:t>
            </w:r>
            <w:r w:rsidR="00635DB3" w:rsidRPr="00B73361">
              <w:rPr>
                <w:rFonts w:cs="Arial"/>
                <w:b/>
                <w:bCs/>
              </w:rPr>
              <w:t xml:space="preserve">he COVID-19 pandemic on TB control in Kazakhstan </w:t>
            </w:r>
          </w:p>
          <w:p w14:paraId="62357DBE" w14:textId="7CF463CB" w:rsidR="00635DB3" w:rsidRPr="002D1EFA" w:rsidRDefault="00635DB3" w:rsidP="00635DB3">
            <w:pPr>
              <w:jc w:val="both"/>
              <w:rPr>
                <w:rFonts w:cs="Arial"/>
              </w:rPr>
            </w:pPr>
            <w:r w:rsidRPr="002D1EFA">
              <w:rPr>
                <w:rFonts w:cs="Arial"/>
              </w:rPr>
              <w:t>Kazakhstan was among the first countries followed China in implementing widespread containment measures agai</w:t>
            </w:r>
            <w:r w:rsidR="00FF7814">
              <w:rPr>
                <w:rFonts w:cs="Arial"/>
              </w:rPr>
              <w:t>nst the COVID-19 outbreak. The g</w:t>
            </w:r>
            <w:r w:rsidRPr="002D1EFA">
              <w:rPr>
                <w:rFonts w:cs="Arial"/>
              </w:rPr>
              <w:t xml:space="preserve">overnment quickly proceeded to set up institutional arrangements needed for an adequate response. The Interdepartmental Commission with sub-national </w:t>
            </w:r>
            <w:r w:rsidR="00B670E3" w:rsidRPr="002D1EFA">
              <w:rPr>
                <w:rFonts w:cs="Arial"/>
              </w:rPr>
              <w:t>representation was</w:t>
            </w:r>
            <w:r w:rsidRPr="002D1EFA">
              <w:rPr>
                <w:rFonts w:cs="Arial"/>
              </w:rPr>
              <w:t xml:space="preserve"> established under the President on 27 January 2020 for national-level planning and coordination. On 29 January 2020, the Commission endorsed the "Action Plan to Prevent the Emergence and Spread of Coronavirus Infection in the Territory of the Republic of Kazakhstan." For this Plan, the Government allocated contingency reserves totaled KZT17 billion (US$39.5 million) for urgent needs such as procuring medications, critical medical supplies, and equipment; setting up special wards to boost hospitalization and intensive care capacity; and establishing testing laboratories. Also, Republican</w:t>
            </w:r>
            <w:r>
              <w:t xml:space="preserve"> </w:t>
            </w:r>
            <w:r w:rsidRPr="002D1EFA">
              <w:rPr>
                <w:rFonts w:cs="Arial"/>
              </w:rPr>
              <w:t>Headquarters, headed</w:t>
            </w:r>
            <w:r w:rsidR="002F5625">
              <w:rPr>
                <w:rFonts w:cs="Arial"/>
              </w:rPr>
              <w:t xml:space="preserve"> by the Minister of Health (MoH)</w:t>
            </w:r>
            <w:r w:rsidRPr="002D1EFA">
              <w:rPr>
                <w:rFonts w:cs="Arial"/>
              </w:rPr>
              <w:t>, was established on 30 January 2020, and charged with additional powers to adopt and revisit preventive measures in COVID-19 response to lessons learned and new challenges in the months ahead. Decisions on when to lift or introduce a set of measures are balanced by epidemiological evidence, public health advice, and the impact the lockdowns had on the economy of the country and people's health.</w:t>
            </w:r>
          </w:p>
          <w:p w14:paraId="3925DC9B" w14:textId="7DB407CB" w:rsidR="00635DB3" w:rsidRDefault="00635DB3" w:rsidP="00635DB3">
            <w:pPr>
              <w:jc w:val="both"/>
              <w:rPr>
                <w:rFonts w:cs="Arial"/>
                <w:i/>
              </w:rPr>
            </w:pPr>
            <w:r>
              <w:rPr>
                <w:rFonts w:cs="Arial"/>
              </w:rPr>
              <w:t>First</w:t>
            </w:r>
            <w:r w:rsidRPr="002D1EFA">
              <w:rPr>
                <w:rFonts w:cs="Arial"/>
              </w:rPr>
              <w:t xml:space="preserve"> COVID-19 cases were detected in Kazakhstan on 13 March 2020. As of </w:t>
            </w:r>
            <w:r w:rsidR="00ED1BAE">
              <w:rPr>
                <w:rFonts w:cs="Arial"/>
              </w:rPr>
              <w:t xml:space="preserve">14 </w:t>
            </w:r>
            <w:r>
              <w:rPr>
                <w:rFonts w:cs="Arial"/>
              </w:rPr>
              <w:t>Nov</w:t>
            </w:r>
            <w:r w:rsidR="00ED1BAE">
              <w:rPr>
                <w:rFonts w:cs="Arial"/>
              </w:rPr>
              <w:t>ember</w:t>
            </w:r>
            <w:r>
              <w:rPr>
                <w:rFonts w:cs="Arial"/>
              </w:rPr>
              <w:t xml:space="preserve"> 2021, </w:t>
            </w:r>
            <w:r w:rsidRPr="002D1EFA">
              <w:rPr>
                <w:rFonts w:cs="Arial"/>
              </w:rPr>
              <w:t xml:space="preserve">the country has reported </w:t>
            </w:r>
            <w:r>
              <w:rPr>
                <w:rFonts w:cs="Arial"/>
              </w:rPr>
              <w:t>956</w:t>
            </w:r>
            <w:r w:rsidRPr="002D1EFA">
              <w:rPr>
                <w:rFonts w:cs="Arial"/>
              </w:rPr>
              <w:t>,</w:t>
            </w:r>
            <w:r>
              <w:rPr>
                <w:rFonts w:cs="Arial"/>
              </w:rPr>
              <w:t>499</w:t>
            </w:r>
            <w:r w:rsidRPr="002D1EFA">
              <w:rPr>
                <w:rFonts w:cs="Arial"/>
              </w:rPr>
              <w:t xml:space="preserve"> confirmed </w:t>
            </w:r>
            <w:proofErr w:type="gramStart"/>
            <w:r w:rsidRPr="002D1EFA">
              <w:rPr>
                <w:rFonts w:cs="Arial"/>
              </w:rPr>
              <w:t>infection</w:t>
            </w:r>
            <w:proofErr w:type="gramEnd"/>
            <w:r w:rsidRPr="002D1EFA">
              <w:rPr>
                <w:rFonts w:cs="Arial"/>
              </w:rPr>
              <w:t xml:space="preserve"> with total of 1</w:t>
            </w:r>
            <w:r>
              <w:rPr>
                <w:rFonts w:cs="Arial"/>
              </w:rPr>
              <w:t>2</w:t>
            </w:r>
            <w:r w:rsidRPr="002D1EFA">
              <w:rPr>
                <w:rFonts w:cs="Arial"/>
              </w:rPr>
              <w:t>,</w:t>
            </w:r>
            <w:r>
              <w:rPr>
                <w:rFonts w:cs="Arial"/>
              </w:rPr>
              <w:t>419</w:t>
            </w:r>
            <w:r w:rsidRPr="002D1EFA">
              <w:rPr>
                <w:rFonts w:cs="Arial"/>
              </w:rPr>
              <w:t xml:space="preserve"> deaths, and total recovery of </w:t>
            </w:r>
            <w:r>
              <w:rPr>
                <w:rFonts w:cs="Arial"/>
              </w:rPr>
              <w:t>914</w:t>
            </w:r>
            <w:r w:rsidRPr="002D1EFA">
              <w:rPr>
                <w:rFonts w:cs="Arial"/>
              </w:rPr>
              <w:t>,</w:t>
            </w:r>
            <w:r>
              <w:rPr>
                <w:rFonts w:cs="Arial"/>
              </w:rPr>
              <w:t>098</w:t>
            </w:r>
            <w:r w:rsidRPr="002D1EFA">
              <w:rPr>
                <w:rFonts w:cs="Arial"/>
              </w:rPr>
              <w:t xml:space="preserve"> (9</w:t>
            </w:r>
            <w:r>
              <w:rPr>
                <w:rFonts w:cs="Arial"/>
              </w:rPr>
              <w:t>5.6</w:t>
            </w:r>
            <w:r w:rsidRPr="002D1EFA">
              <w:rPr>
                <w:rFonts w:cs="Arial"/>
              </w:rPr>
              <w:t>%)</w:t>
            </w:r>
            <w:r>
              <w:rPr>
                <w:rStyle w:val="af"/>
                <w:rFonts w:cs="Arial"/>
              </w:rPr>
              <w:footnoteReference w:id="57"/>
            </w:r>
            <w:r w:rsidRPr="002D1EFA">
              <w:rPr>
                <w:rFonts w:cs="Arial"/>
              </w:rPr>
              <w:t>. Infection fatality ratio forms 1.3%. More than one-third of all COVID-19 cases are registered in Nur-Sultan and Almaty cities. Oblasts with the high number of confirmed cumulative cases are Karaganda, Atyrau, Almaty, Pavlodar, East Kazakhstan, Akmola, and West Kazakhstan. Circulation of new coronavirus strains drove the increase in transmission, reaching the maximum number of 7,899 new cases on 07 August</w:t>
            </w:r>
            <w:r>
              <w:rPr>
                <w:rFonts w:cs="Arial"/>
              </w:rPr>
              <w:t xml:space="preserve"> 2021</w:t>
            </w:r>
            <w:r w:rsidRPr="002D1EFA">
              <w:rPr>
                <w:rFonts w:cs="Arial"/>
              </w:rPr>
              <w:t>. Since then, the country is on downswing of the wave of cases</w:t>
            </w:r>
            <w:r>
              <w:t xml:space="preserve"> </w:t>
            </w:r>
            <w:r w:rsidRPr="004B6723">
              <w:rPr>
                <w:rFonts w:cs="Arial"/>
              </w:rPr>
              <w:t xml:space="preserve">with the rolling 7-day average of new infections dipped to the lowest level of </w:t>
            </w:r>
            <w:r>
              <w:rPr>
                <w:rFonts w:cs="Arial"/>
              </w:rPr>
              <w:t>1</w:t>
            </w:r>
            <w:r w:rsidRPr="004B6723">
              <w:rPr>
                <w:rFonts w:cs="Arial"/>
              </w:rPr>
              <w:t>,</w:t>
            </w:r>
            <w:r>
              <w:rPr>
                <w:rFonts w:cs="Arial"/>
              </w:rPr>
              <w:t>159</w:t>
            </w:r>
            <w:r w:rsidRPr="004B6723">
              <w:rPr>
                <w:rFonts w:cs="Arial"/>
              </w:rPr>
              <w:t xml:space="preserve"> on </w:t>
            </w:r>
            <w:r>
              <w:rPr>
                <w:rFonts w:cs="Arial"/>
              </w:rPr>
              <w:t>13</w:t>
            </w:r>
            <w:r w:rsidRPr="004B6723">
              <w:rPr>
                <w:rFonts w:cs="Arial"/>
              </w:rPr>
              <w:t xml:space="preserve"> </w:t>
            </w:r>
            <w:r>
              <w:rPr>
                <w:rFonts w:cs="Arial"/>
              </w:rPr>
              <w:t>November 2021</w:t>
            </w:r>
            <w:r>
              <w:rPr>
                <w:rStyle w:val="af"/>
                <w:rFonts w:cs="Arial"/>
              </w:rPr>
              <w:footnoteReference w:id="58"/>
            </w:r>
            <w:r w:rsidRPr="004B6723">
              <w:rPr>
                <w:rFonts w:cs="Arial"/>
              </w:rPr>
              <w:t>.</w:t>
            </w:r>
            <w:r w:rsidRPr="002D1EFA">
              <w:rPr>
                <w:rFonts w:cs="Arial"/>
              </w:rPr>
              <w:t xml:space="preserve"> </w:t>
            </w:r>
          </w:p>
          <w:p w14:paraId="33EBE27C" w14:textId="5CAE425A" w:rsidR="008F5199" w:rsidRPr="00997AEE" w:rsidRDefault="00635DB3" w:rsidP="00635DB3">
            <w:pPr>
              <w:jc w:val="both"/>
              <w:rPr>
                <w:rFonts w:cs="Arial"/>
              </w:rPr>
            </w:pPr>
            <w:r w:rsidRPr="00363748">
              <w:rPr>
                <w:rFonts w:cs="Arial"/>
              </w:rPr>
              <w:t>To stabilize the epidemiological situation, reduce mortality and hospitalizations, Kazakhstan prepared the vaccination plan and launched its vaccination efforts</w:t>
            </w:r>
            <w:r w:rsidR="00997AEE">
              <w:rPr>
                <w:rFonts w:cs="Arial"/>
              </w:rPr>
              <w:t xml:space="preserve"> on 01 February 2021. There were</w:t>
            </w:r>
            <w:r w:rsidRPr="00363748">
              <w:rPr>
                <w:rFonts w:cs="Arial"/>
              </w:rPr>
              <w:t xml:space="preserve"> four vaccines approved for the use: Gamaleya Sputnik V and Light, QazVac and Sinovac-Coronavac. Based on the recent data of Interdepartment</w:t>
            </w:r>
            <w:r>
              <w:rPr>
                <w:rFonts w:cs="Arial"/>
              </w:rPr>
              <w:t>al Commission on COVID-19</w:t>
            </w:r>
            <w:r w:rsidRPr="00363748">
              <w:rPr>
                <w:rFonts w:cs="Arial"/>
              </w:rPr>
              <w:t xml:space="preserve">, the country has successfully vaccinated </w:t>
            </w:r>
            <w:r>
              <w:rPr>
                <w:rFonts w:cs="Arial"/>
              </w:rPr>
              <w:t>8,</w:t>
            </w:r>
            <w:r w:rsidRPr="00363748">
              <w:rPr>
                <w:rFonts w:cs="Arial"/>
              </w:rPr>
              <w:t>533</w:t>
            </w:r>
            <w:r>
              <w:rPr>
                <w:rFonts w:cs="Arial"/>
              </w:rPr>
              <w:t>,</w:t>
            </w:r>
            <w:r w:rsidRPr="00363748">
              <w:rPr>
                <w:rFonts w:cs="Arial"/>
              </w:rPr>
              <w:t>457</w:t>
            </w:r>
            <w:r>
              <w:rPr>
                <w:rFonts w:cs="Arial"/>
              </w:rPr>
              <w:t xml:space="preserve"> </w:t>
            </w:r>
            <w:r w:rsidRPr="00363748">
              <w:rPr>
                <w:rFonts w:cs="Arial"/>
              </w:rPr>
              <w:t>people with the first dose and 7</w:t>
            </w:r>
            <w:r>
              <w:rPr>
                <w:rFonts w:cs="Arial"/>
              </w:rPr>
              <w:t>,</w:t>
            </w:r>
            <w:r w:rsidRPr="00363748">
              <w:rPr>
                <w:rFonts w:cs="Arial"/>
              </w:rPr>
              <w:t>811</w:t>
            </w:r>
            <w:r>
              <w:rPr>
                <w:rFonts w:cs="Arial"/>
              </w:rPr>
              <w:t>,</w:t>
            </w:r>
            <w:r w:rsidRPr="00363748">
              <w:rPr>
                <w:rFonts w:cs="Arial"/>
              </w:rPr>
              <w:t>435</w:t>
            </w:r>
            <w:r>
              <w:rPr>
                <w:rFonts w:cs="Arial"/>
              </w:rPr>
              <w:t xml:space="preserve"> </w:t>
            </w:r>
            <w:r w:rsidRPr="00363748">
              <w:rPr>
                <w:rFonts w:cs="Arial"/>
              </w:rPr>
              <w:t>people</w:t>
            </w:r>
            <w:r>
              <w:rPr>
                <w:rStyle w:val="af"/>
                <w:rFonts w:cs="Arial"/>
              </w:rPr>
              <w:footnoteReference w:id="59"/>
            </w:r>
            <w:r w:rsidRPr="00363748">
              <w:rPr>
                <w:rFonts w:cs="Arial"/>
              </w:rPr>
              <w:t xml:space="preserve"> with the second dose forming nearly </w:t>
            </w:r>
            <w:r>
              <w:rPr>
                <w:rFonts w:cs="Arial"/>
              </w:rPr>
              <w:t>41</w:t>
            </w:r>
            <w:r w:rsidRPr="00363748">
              <w:rPr>
                <w:rFonts w:cs="Arial"/>
              </w:rPr>
              <w:t xml:space="preserve">% of fully vaccinated </w:t>
            </w:r>
            <w:r>
              <w:rPr>
                <w:rFonts w:cs="Arial"/>
              </w:rPr>
              <w:t xml:space="preserve">general </w:t>
            </w:r>
            <w:r w:rsidRPr="00363748">
              <w:rPr>
                <w:rFonts w:cs="Arial"/>
              </w:rPr>
              <w:t>population.</w:t>
            </w:r>
            <w:r>
              <w:rPr>
                <w:rFonts w:cs="Arial"/>
              </w:rPr>
              <w:t xml:space="preserve"> </w:t>
            </w:r>
            <w:r w:rsidR="008F5199" w:rsidRPr="008F5199">
              <w:rPr>
                <w:rFonts w:cs="Arial"/>
              </w:rPr>
              <w:t>On 10 November 2021 first shipment of the Comirnaty BioNTech/Pfizer vaccine was delivered to the country, and the vaccination of children aged 12 to 18 years, pregnant at 16 to 37 weeks of the pregnancy, as well as for breastfeeding women have started.</w:t>
            </w:r>
            <w:r w:rsidRPr="00E65D5A">
              <w:rPr>
                <w:rStyle w:val="af"/>
                <w:rFonts w:cs="Arial"/>
              </w:rPr>
              <w:footnoteReference w:id="60"/>
            </w:r>
          </w:p>
          <w:p w14:paraId="431A77AD" w14:textId="2CEC6628" w:rsidR="00635DB3" w:rsidRDefault="00997AEE" w:rsidP="00635DB3">
            <w:pPr>
              <w:jc w:val="both"/>
              <w:rPr>
                <w:rFonts w:asciiTheme="majorHAnsi" w:hAnsiTheme="majorHAnsi" w:cstheme="majorHAnsi"/>
                <w:color w:val="1A1A1A"/>
              </w:rPr>
            </w:pPr>
            <w:r>
              <w:rPr>
                <w:rFonts w:asciiTheme="majorHAnsi" w:hAnsiTheme="majorHAnsi" w:cstheme="majorHAnsi"/>
                <w:color w:val="1A1A1A"/>
              </w:rPr>
              <w:t xml:space="preserve">The pandemic has caused </w:t>
            </w:r>
            <w:r w:rsidR="00635DB3">
              <w:rPr>
                <w:rFonts w:asciiTheme="majorHAnsi" w:hAnsiTheme="majorHAnsi" w:cstheme="majorHAnsi"/>
                <w:color w:val="1A1A1A"/>
              </w:rPr>
              <w:t>disruption</w:t>
            </w:r>
            <w:r>
              <w:rPr>
                <w:rFonts w:asciiTheme="majorHAnsi" w:hAnsiTheme="majorHAnsi" w:cstheme="majorHAnsi"/>
                <w:color w:val="1A1A1A"/>
              </w:rPr>
              <w:t>s</w:t>
            </w:r>
            <w:r w:rsidR="00635DB3">
              <w:rPr>
                <w:rFonts w:asciiTheme="majorHAnsi" w:hAnsiTheme="majorHAnsi" w:cstheme="majorHAnsi"/>
                <w:color w:val="1A1A1A"/>
              </w:rPr>
              <w:t xml:space="preserve"> to</w:t>
            </w:r>
            <w:r>
              <w:rPr>
                <w:rFonts w:asciiTheme="majorHAnsi" w:hAnsiTheme="majorHAnsi" w:cstheme="majorHAnsi"/>
                <w:color w:val="1A1A1A"/>
              </w:rPr>
              <w:t xml:space="preserve"> the entire healthcare system, including the TB service, </w:t>
            </w:r>
            <w:r w:rsidR="00635DB3">
              <w:rPr>
                <w:rFonts w:asciiTheme="majorHAnsi" w:hAnsiTheme="majorHAnsi" w:cstheme="majorHAnsi"/>
                <w:color w:val="1A1A1A"/>
              </w:rPr>
              <w:t xml:space="preserve">by threatening to reverse recent progress reported towards national TB targets. The </w:t>
            </w:r>
            <w:r>
              <w:rPr>
                <w:rFonts w:asciiTheme="majorHAnsi" w:hAnsiTheme="majorHAnsi" w:cstheme="majorHAnsi"/>
                <w:color w:val="1A1A1A"/>
              </w:rPr>
              <w:t>TB</w:t>
            </w:r>
            <w:r w:rsidR="00635DB3">
              <w:rPr>
                <w:rFonts w:asciiTheme="majorHAnsi" w:hAnsiTheme="majorHAnsi" w:cstheme="majorHAnsi"/>
                <w:color w:val="1A1A1A"/>
              </w:rPr>
              <w:t xml:space="preserve"> registration decreased significantly by about 23%</w:t>
            </w:r>
            <w:r w:rsidR="00635DB3">
              <w:rPr>
                <w:rStyle w:val="af"/>
                <w:rFonts w:asciiTheme="majorHAnsi" w:hAnsiTheme="majorHAnsi" w:cstheme="majorHAnsi"/>
                <w:color w:val="1A1A1A"/>
              </w:rPr>
              <w:footnoteReference w:id="61"/>
            </w:r>
            <w:r w:rsidR="00635DB3">
              <w:rPr>
                <w:rFonts w:asciiTheme="majorHAnsi" w:hAnsiTheme="majorHAnsi" w:cstheme="majorHAnsi"/>
                <w:color w:val="1A1A1A"/>
              </w:rPr>
              <w:t xml:space="preserve"> for both indicators: TB notification and RR/MDR-TB cases, </w:t>
            </w:r>
            <w:r>
              <w:rPr>
                <w:rFonts w:asciiTheme="majorHAnsi" w:hAnsiTheme="majorHAnsi" w:cstheme="majorHAnsi"/>
                <w:color w:val="1A1A1A"/>
              </w:rPr>
              <w:t>relative</w:t>
            </w:r>
            <w:r w:rsidR="00635DB3">
              <w:rPr>
                <w:rFonts w:asciiTheme="majorHAnsi" w:hAnsiTheme="majorHAnsi" w:cstheme="majorHAnsi"/>
                <w:color w:val="1A1A1A"/>
              </w:rPr>
              <w:t xml:space="preserve"> to the average annual decrease of 8-10% seen in the last five years. </w:t>
            </w:r>
            <w:r>
              <w:rPr>
                <w:rFonts w:asciiTheme="majorHAnsi" w:hAnsiTheme="majorHAnsi" w:cstheme="majorHAnsi"/>
              </w:rPr>
              <w:t>Compared</w:t>
            </w:r>
            <w:r w:rsidR="00635DB3">
              <w:rPr>
                <w:rFonts w:asciiTheme="majorHAnsi" w:hAnsiTheme="majorHAnsi" w:cstheme="majorHAnsi"/>
              </w:rPr>
              <w:t xml:space="preserve"> to the WHO-estimated number of TB patients in the country, which was 13,000 in 2019, there is a difference of 3,000 patients detected in 2020. </w:t>
            </w:r>
            <w:r w:rsidR="00635DB3">
              <w:rPr>
                <w:rFonts w:asciiTheme="majorHAnsi" w:hAnsiTheme="majorHAnsi" w:cstheme="majorHAnsi"/>
                <w:color w:val="1A1A1A"/>
              </w:rPr>
              <w:t xml:space="preserve">In 2020, it was recorded merely 5% fewer deaths than in 2019, whereas the average annual decrease registered in the past five years was greater and exceeded 10%. </w:t>
            </w:r>
          </w:p>
          <w:p w14:paraId="696DFD1D" w14:textId="7CA66FB1" w:rsidR="00635DB3" w:rsidRDefault="00635DB3" w:rsidP="00635DB3">
            <w:pPr>
              <w:jc w:val="both"/>
              <w:rPr>
                <w:rFonts w:asciiTheme="majorHAnsi" w:hAnsiTheme="majorHAnsi" w:cstheme="majorHAnsi"/>
                <w:color w:val="1A1A1A"/>
              </w:rPr>
            </w:pPr>
            <w:r w:rsidRPr="00D247CE">
              <w:rPr>
                <w:rFonts w:asciiTheme="majorHAnsi" w:hAnsiTheme="majorHAnsi" w:cstheme="majorHAnsi"/>
                <w:color w:val="1A1A1A"/>
              </w:rPr>
              <w:t>Though in Kazakhstan the decrease in TB notification in 2020 was not that dramatic as it seen in othe</w:t>
            </w:r>
            <w:r w:rsidR="00997AEE">
              <w:rPr>
                <w:rFonts w:asciiTheme="majorHAnsi" w:hAnsiTheme="majorHAnsi" w:cstheme="majorHAnsi"/>
                <w:color w:val="1A1A1A"/>
              </w:rPr>
              <w:t xml:space="preserve">r countries of the EECA region; </w:t>
            </w:r>
            <w:proofErr w:type="gramStart"/>
            <w:r w:rsidR="00997AEE">
              <w:rPr>
                <w:rFonts w:asciiTheme="majorHAnsi" w:hAnsiTheme="majorHAnsi" w:cstheme="majorHAnsi"/>
                <w:color w:val="1A1A1A"/>
              </w:rPr>
              <w:t>h</w:t>
            </w:r>
            <w:r w:rsidRPr="00D247CE">
              <w:rPr>
                <w:rFonts w:asciiTheme="majorHAnsi" w:hAnsiTheme="majorHAnsi" w:cstheme="majorHAnsi"/>
                <w:color w:val="1A1A1A"/>
              </w:rPr>
              <w:t>owever</w:t>
            </w:r>
            <w:proofErr w:type="gramEnd"/>
            <w:r w:rsidRPr="00D247CE">
              <w:rPr>
                <w:rFonts w:asciiTheme="majorHAnsi" w:hAnsiTheme="majorHAnsi" w:cstheme="majorHAnsi"/>
                <w:color w:val="1A1A1A"/>
              </w:rPr>
              <w:t xml:space="preserve"> it is difficult to say, what part of TB notification rate reduction in 2020 was caused by TB services </w:t>
            </w:r>
            <w:r w:rsidR="00997AEE">
              <w:rPr>
                <w:rFonts w:asciiTheme="majorHAnsi" w:hAnsiTheme="majorHAnsi" w:cstheme="majorHAnsi"/>
                <w:color w:val="1A1A1A"/>
              </w:rPr>
              <w:t>disruptions due to lockdowns and</w:t>
            </w:r>
            <w:r w:rsidRPr="00D247CE">
              <w:rPr>
                <w:rFonts w:asciiTheme="majorHAnsi" w:hAnsiTheme="majorHAnsi" w:cstheme="majorHAnsi"/>
                <w:color w:val="1A1A1A"/>
              </w:rPr>
              <w:t xml:space="preserve"> preventive measures imposed, including improved infection prevention and control (IPC) practices to stop COVID-19 transmission. All these activities had a definite impact also on TB transmission. </w:t>
            </w:r>
            <w:r w:rsidR="000D4A8D">
              <w:rPr>
                <w:rFonts w:asciiTheme="majorHAnsi" w:hAnsiTheme="majorHAnsi" w:cstheme="majorHAnsi"/>
                <w:color w:val="1A1A1A"/>
              </w:rPr>
              <w:t>At the same</w:t>
            </w:r>
            <w:r w:rsidR="00070CB7">
              <w:rPr>
                <w:rFonts w:asciiTheme="majorHAnsi" w:hAnsiTheme="majorHAnsi" w:cstheme="majorHAnsi"/>
                <w:color w:val="1A1A1A"/>
              </w:rPr>
              <w:t xml:space="preserve"> time</w:t>
            </w:r>
            <w:r w:rsidRPr="00D247CE">
              <w:rPr>
                <w:rFonts w:asciiTheme="majorHAnsi" w:hAnsiTheme="majorHAnsi" w:cstheme="majorHAnsi"/>
                <w:color w:val="1A1A1A"/>
              </w:rPr>
              <w:t xml:space="preserve">, the restrictive measures adopted had a negative influence on TB suspects’ </w:t>
            </w:r>
            <w:proofErr w:type="gramStart"/>
            <w:r w:rsidRPr="00D247CE">
              <w:rPr>
                <w:rFonts w:asciiTheme="majorHAnsi" w:hAnsiTheme="majorHAnsi" w:cstheme="majorHAnsi"/>
                <w:color w:val="1A1A1A"/>
              </w:rPr>
              <w:t>health-care</w:t>
            </w:r>
            <w:proofErr w:type="gramEnd"/>
            <w:r w:rsidRPr="00D247CE">
              <w:rPr>
                <w:rFonts w:asciiTheme="majorHAnsi" w:hAnsiTheme="majorHAnsi" w:cstheme="majorHAnsi"/>
                <w:color w:val="1A1A1A"/>
              </w:rPr>
              <w:t xml:space="preserve"> seeking behavior at the PHC and TB Service levels. </w:t>
            </w:r>
            <w:r w:rsidR="00070CB7">
              <w:rPr>
                <w:rFonts w:asciiTheme="majorHAnsi" w:hAnsiTheme="majorHAnsi" w:cstheme="majorHAnsi"/>
                <w:color w:val="1A1A1A"/>
              </w:rPr>
              <w:t>M</w:t>
            </w:r>
            <w:r w:rsidRPr="00D247CE">
              <w:rPr>
                <w:rFonts w:asciiTheme="majorHAnsi" w:hAnsiTheme="majorHAnsi" w:cstheme="majorHAnsi"/>
                <w:color w:val="1A1A1A"/>
              </w:rPr>
              <w:t>any PHC and TB Centers were actively involved in service provision to the patients with coronavirus infection, and the significant human and laboratory resources were repurposed for COVID-19 response. Therefore, more time is needed to assess the evolution of TB notification and understand the full impact the coronavirus pandemic had on TB epidemiology in the country.</w:t>
            </w:r>
          </w:p>
          <w:p w14:paraId="3FFB94BB" w14:textId="12480751" w:rsidR="00635DB3" w:rsidRPr="00B73361" w:rsidRDefault="00635DB3" w:rsidP="00635DB3">
            <w:pPr>
              <w:jc w:val="both"/>
              <w:rPr>
                <w:rFonts w:asciiTheme="majorHAnsi" w:hAnsiTheme="majorHAnsi" w:cstheme="majorHAnsi"/>
                <w:color w:val="1A1A1A"/>
              </w:rPr>
            </w:pPr>
            <w:r>
              <w:rPr>
                <w:rFonts w:asciiTheme="majorHAnsi" w:hAnsiTheme="majorHAnsi" w:cstheme="majorHAnsi"/>
                <w:color w:val="1A1A1A"/>
              </w:rPr>
              <w:t xml:space="preserve">The observed decline in uptake in diagnostic services in the first eight months of 2020 has been gradually restored linked with lifted restrictive measures and enhanced services provided to persons with suspected tuberculosis. As shown </w:t>
            </w:r>
            <w:r w:rsidRPr="00B670E3">
              <w:rPr>
                <w:rFonts w:asciiTheme="majorHAnsi" w:hAnsiTheme="majorHAnsi" w:cstheme="majorHAnsi"/>
                <w:color w:val="1A1A1A"/>
              </w:rPr>
              <w:t xml:space="preserve">in </w:t>
            </w:r>
            <w:r w:rsidR="00B670E3">
              <w:rPr>
                <w:rFonts w:asciiTheme="majorHAnsi" w:hAnsiTheme="majorHAnsi" w:cstheme="majorHAnsi"/>
                <w:color w:val="1A1A1A"/>
              </w:rPr>
              <w:t>Figures 35&amp;36</w:t>
            </w:r>
            <w:r w:rsidRPr="00B670E3">
              <w:rPr>
                <w:rFonts w:asciiTheme="majorHAnsi" w:hAnsiTheme="majorHAnsi" w:cstheme="majorHAnsi"/>
                <w:color w:val="1A1A1A"/>
              </w:rPr>
              <w:t>,</w:t>
            </w:r>
            <w:r>
              <w:rPr>
                <w:rFonts w:asciiTheme="majorHAnsi" w:hAnsiTheme="majorHAnsi" w:cstheme="majorHAnsi"/>
                <w:color w:val="1A1A1A"/>
              </w:rPr>
              <w:t xml:space="preserve"> TB detection has improved by the end of 2020. The average monthly number of new and relapse TB cases notified in the last quarter of 2020 was about 850 cases. This tendency has continued in the first half of 2021, with an average number of 807 patients notified per month, with a maximum of 1,001 TB cases reported in April 2021. </w:t>
            </w:r>
          </w:p>
          <w:tbl>
            <w:tblPr>
              <w:tblStyle w:val="aa"/>
              <w:tblW w:w="10165" w:type="dxa"/>
              <w:tblLayout w:type="fixed"/>
              <w:tblLook w:val="04A0" w:firstRow="1" w:lastRow="0" w:firstColumn="1" w:lastColumn="0" w:noHBand="0" w:noVBand="1"/>
            </w:tblPr>
            <w:tblGrid>
              <w:gridCol w:w="5575"/>
              <w:gridCol w:w="4590"/>
            </w:tblGrid>
            <w:tr w:rsidR="00635DB3" w14:paraId="0640AE06" w14:textId="77777777" w:rsidTr="00876C33">
              <w:trPr>
                <w:trHeight w:val="2894"/>
              </w:trPr>
              <w:tc>
                <w:tcPr>
                  <w:tcW w:w="5575" w:type="dxa"/>
                  <w:tcBorders>
                    <w:top w:val="single" w:sz="4" w:space="0" w:color="auto"/>
                    <w:left w:val="single" w:sz="4" w:space="0" w:color="auto"/>
                    <w:bottom w:val="single" w:sz="4" w:space="0" w:color="auto"/>
                    <w:right w:val="single" w:sz="4" w:space="0" w:color="auto"/>
                  </w:tcBorders>
                </w:tcPr>
                <w:p w14:paraId="3185A7AC" w14:textId="7F62D09D" w:rsidR="00635DB3" w:rsidRPr="000D4A8D" w:rsidRDefault="00B670E3" w:rsidP="00635DB3">
                  <w:pPr>
                    <w:jc w:val="both"/>
                    <w:rPr>
                      <w:rFonts w:asciiTheme="majorHAnsi" w:hAnsiTheme="majorHAnsi" w:cstheme="majorHAnsi"/>
                      <w:b/>
                      <w:sz w:val="20"/>
                      <w:szCs w:val="20"/>
                      <w:lang w:val="en-GB"/>
                    </w:rPr>
                  </w:pPr>
                  <w:r>
                    <w:rPr>
                      <w:rFonts w:asciiTheme="majorHAnsi" w:hAnsiTheme="majorHAnsi" w:cstheme="majorHAnsi"/>
                      <w:b/>
                      <w:sz w:val="20"/>
                      <w:szCs w:val="20"/>
                      <w:lang w:val="en-GB"/>
                    </w:rPr>
                    <w:t>Figure 35</w:t>
                  </w:r>
                  <w:r w:rsidR="00635DB3" w:rsidRPr="00B670E3">
                    <w:rPr>
                      <w:rFonts w:asciiTheme="majorHAnsi" w:hAnsiTheme="majorHAnsi" w:cstheme="majorHAnsi"/>
                      <w:b/>
                      <w:sz w:val="20"/>
                      <w:szCs w:val="20"/>
                      <w:lang w:val="en-GB"/>
                    </w:rPr>
                    <w:t>.</w:t>
                  </w:r>
                  <w:r w:rsidR="00635DB3" w:rsidRPr="000D4A8D">
                    <w:rPr>
                      <w:rFonts w:asciiTheme="majorHAnsi" w:hAnsiTheme="majorHAnsi" w:cstheme="majorHAnsi"/>
                      <w:b/>
                      <w:sz w:val="20"/>
                      <w:szCs w:val="20"/>
                      <w:lang w:val="en-GB"/>
                    </w:rPr>
                    <w:t xml:space="preserve"> The number of TB cases (new and relapses) notified in Kazakhstan in 2016-2020, and by months in 2020</w:t>
                  </w:r>
                  <w:r w:rsidR="00635DB3" w:rsidRPr="000D4A8D">
                    <w:rPr>
                      <w:rStyle w:val="af"/>
                      <w:rFonts w:asciiTheme="majorHAnsi" w:hAnsiTheme="majorHAnsi" w:cstheme="majorHAnsi"/>
                      <w:b/>
                      <w:sz w:val="20"/>
                      <w:szCs w:val="20"/>
                    </w:rPr>
                    <w:footnoteReference w:id="62"/>
                  </w:r>
                </w:p>
                <w:p w14:paraId="6F7E2DE0" w14:textId="77777777" w:rsidR="00635DB3" w:rsidRDefault="00635DB3" w:rsidP="00635DB3">
                  <w:pPr>
                    <w:rPr>
                      <w:rFonts w:asciiTheme="majorHAnsi" w:hAnsiTheme="majorHAnsi" w:cstheme="majorHAnsi"/>
                      <w:lang w:val="en-GB"/>
                    </w:rPr>
                  </w:pPr>
                </w:p>
                <w:p w14:paraId="56B2D3A6" w14:textId="77777777" w:rsidR="00635DB3" w:rsidRDefault="00635DB3" w:rsidP="00635DB3">
                  <w:pPr>
                    <w:rPr>
                      <w:rFonts w:asciiTheme="majorHAnsi" w:hAnsiTheme="majorHAnsi" w:cstheme="majorHAnsi"/>
                      <w:lang w:val="ru-RU"/>
                    </w:rPr>
                  </w:pPr>
                  <w:r>
                    <w:rPr>
                      <w:rFonts w:asciiTheme="majorHAnsi" w:hAnsiTheme="majorHAnsi" w:cstheme="majorHAnsi"/>
                      <w:noProof/>
                    </w:rPr>
                    <w:drawing>
                      <wp:inline distT="0" distB="0" distL="0" distR="0" wp14:anchorId="6FC1A1D2" wp14:editId="7269F590">
                        <wp:extent cx="3356610" cy="11620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56610" cy="1162050"/>
                                </a:xfrm>
                                <a:prstGeom prst="rect">
                                  <a:avLst/>
                                </a:prstGeom>
                                <a:noFill/>
                                <a:ln>
                                  <a:noFill/>
                                </a:ln>
                              </pic:spPr>
                            </pic:pic>
                          </a:graphicData>
                        </a:graphic>
                      </wp:inline>
                    </w:drawing>
                  </w:r>
                </w:p>
                <w:p w14:paraId="256E6917" w14:textId="77777777" w:rsidR="00635DB3" w:rsidRDefault="00635DB3" w:rsidP="00635DB3">
                  <w:pPr>
                    <w:rPr>
                      <w:rFonts w:asciiTheme="majorHAnsi" w:hAnsiTheme="majorHAnsi" w:cstheme="majorHAnsi"/>
                      <w:lang w:val="ru-RU"/>
                    </w:rPr>
                  </w:pPr>
                </w:p>
              </w:tc>
              <w:tc>
                <w:tcPr>
                  <w:tcW w:w="4590" w:type="dxa"/>
                  <w:tcBorders>
                    <w:top w:val="single" w:sz="4" w:space="0" w:color="auto"/>
                    <w:left w:val="single" w:sz="4" w:space="0" w:color="auto"/>
                    <w:bottom w:val="single" w:sz="4" w:space="0" w:color="auto"/>
                    <w:right w:val="single" w:sz="4" w:space="0" w:color="auto"/>
                  </w:tcBorders>
                </w:tcPr>
                <w:p w14:paraId="17C24C68" w14:textId="4A851113" w:rsidR="00635DB3" w:rsidRPr="00B670E3" w:rsidRDefault="00B670E3" w:rsidP="00635DB3">
                  <w:pPr>
                    <w:jc w:val="both"/>
                    <w:rPr>
                      <w:rFonts w:asciiTheme="majorHAnsi" w:hAnsiTheme="majorHAnsi" w:cstheme="majorHAnsi"/>
                      <w:b/>
                      <w:sz w:val="20"/>
                      <w:szCs w:val="20"/>
                      <w:lang w:val="en-GB"/>
                    </w:rPr>
                  </w:pPr>
                  <w:r>
                    <w:rPr>
                      <w:rFonts w:asciiTheme="majorHAnsi" w:hAnsiTheme="majorHAnsi" w:cstheme="majorHAnsi"/>
                      <w:b/>
                      <w:sz w:val="20"/>
                      <w:szCs w:val="20"/>
                      <w:lang w:val="en-GB"/>
                    </w:rPr>
                    <w:t>Figure 36</w:t>
                  </w:r>
                  <w:r w:rsidR="00635DB3" w:rsidRPr="00B670E3">
                    <w:rPr>
                      <w:rFonts w:asciiTheme="majorHAnsi" w:hAnsiTheme="majorHAnsi" w:cstheme="majorHAnsi"/>
                      <w:b/>
                      <w:sz w:val="20"/>
                      <w:szCs w:val="20"/>
                      <w:lang w:val="en-GB"/>
                    </w:rPr>
                    <w:t>. The number of TB cases (new and relapses) notified in Kazakhstan by months in 2021</w:t>
                  </w:r>
                  <w:r w:rsidR="00635DB3" w:rsidRPr="00B670E3">
                    <w:rPr>
                      <w:rStyle w:val="af"/>
                      <w:rFonts w:asciiTheme="majorHAnsi" w:hAnsiTheme="majorHAnsi" w:cstheme="majorHAnsi"/>
                      <w:b/>
                      <w:sz w:val="20"/>
                      <w:szCs w:val="20"/>
                    </w:rPr>
                    <w:footnoteReference w:id="63"/>
                  </w:r>
                </w:p>
                <w:p w14:paraId="13F9FC57" w14:textId="77777777" w:rsidR="00635DB3" w:rsidRDefault="00635DB3" w:rsidP="00635DB3">
                  <w:pPr>
                    <w:rPr>
                      <w:rFonts w:asciiTheme="majorHAnsi" w:hAnsiTheme="majorHAnsi" w:cstheme="majorHAnsi"/>
                      <w:lang w:val="en-GB"/>
                    </w:rPr>
                  </w:pPr>
                </w:p>
                <w:p w14:paraId="78523ED0" w14:textId="77777777" w:rsidR="00635DB3" w:rsidRDefault="00635DB3" w:rsidP="00635DB3">
                  <w:pPr>
                    <w:rPr>
                      <w:rFonts w:asciiTheme="majorHAnsi" w:hAnsiTheme="majorHAnsi" w:cstheme="majorHAnsi"/>
                      <w:lang w:val="en-GB"/>
                    </w:rPr>
                  </w:pPr>
                  <w:r>
                    <w:rPr>
                      <w:rFonts w:asciiTheme="majorHAnsi" w:hAnsiTheme="majorHAnsi" w:cstheme="majorHAnsi"/>
                      <w:noProof/>
                    </w:rPr>
                    <w:drawing>
                      <wp:inline distT="0" distB="0" distL="0" distR="0" wp14:anchorId="65FE9450" wp14:editId="728CBCC4">
                        <wp:extent cx="2449830" cy="1158240"/>
                        <wp:effectExtent l="0" t="0" r="7620" b="38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9830" cy="1158240"/>
                                </a:xfrm>
                                <a:prstGeom prst="rect">
                                  <a:avLst/>
                                </a:prstGeom>
                                <a:noFill/>
                                <a:ln>
                                  <a:noFill/>
                                </a:ln>
                              </pic:spPr>
                            </pic:pic>
                          </a:graphicData>
                        </a:graphic>
                      </wp:inline>
                    </w:drawing>
                  </w:r>
                </w:p>
              </w:tc>
            </w:tr>
          </w:tbl>
          <w:p w14:paraId="7A60C46A" w14:textId="77777777" w:rsidR="00635DB3" w:rsidRDefault="00635DB3" w:rsidP="00635DB3">
            <w:pPr>
              <w:jc w:val="both"/>
              <w:rPr>
                <w:rFonts w:asciiTheme="majorHAnsi" w:eastAsia="Times New Roman" w:hAnsiTheme="majorHAnsi" w:cstheme="majorHAnsi"/>
              </w:rPr>
            </w:pPr>
          </w:p>
          <w:p w14:paraId="7E3C942D" w14:textId="3D70AC36" w:rsidR="00635DB3" w:rsidRDefault="00635DB3" w:rsidP="00C95135">
            <w:pPr>
              <w:spacing w:after="0" w:line="240" w:lineRule="auto"/>
              <w:jc w:val="both"/>
              <w:rPr>
                <w:rFonts w:asciiTheme="majorHAnsi" w:hAnsiTheme="majorHAnsi" w:cstheme="majorHAnsi"/>
              </w:rPr>
            </w:pPr>
            <w:r>
              <w:rPr>
                <w:rFonts w:asciiTheme="majorHAnsi" w:hAnsiTheme="majorHAnsi" w:cstheme="majorHAnsi"/>
              </w:rPr>
              <w:t>A clear link was noted between the imposed quarantine measures and uptake in medical services, showing a decrease in numbers of TB suspects tested in mid of 2020 and a steady monthly increase in post-lockdown ‘</w:t>
            </w:r>
            <w:r w:rsidR="000D4A8D">
              <w:rPr>
                <w:rFonts w:asciiTheme="majorHAnsi" w:hAnsiTheme="majorHAnsi" w:cstheme="majorHAnsi"/>
              </w:rPr>
              <w:t>phases (Q4.2020), continued in nine</w:t>
            </w:r>
            <w:r>
              <w:rPr>
                <w:rFonts w:asciiTheme="majorHAnsi" w:hAnsiTheme="majorHAnsi" w:cstheme="majorHAnsi"/>
              </w:rPr>
              <w:t xml:space="preserve"> months of the 2021 (</w:t>
            </w:r>
            <w:r w:rsidRPr="00B670E3">
              <w:rPr>
                <w:rFonts w:asciiTheme="majorHAnsi" w:hAnsiTheme="majorHAnsi" w:cstheme="majorHAnsi"/>
              </w:rPr>
              <w:t>Fi</w:t>
            </w:r>
            <w:r w:rsidR="00B670E3">
              <w:rPr>
                <w:rFonts w:asciiTheme="majorHAnsi" w:hAnsiTheme="majorHAnsi" w:cstheme="majorHAnsi"/>
              </w:rPr>
              <w:t>gures 37&amp;38</w:t>
            </w:r>
            <w:r w:rsidRPr="00B670E3">
              <w:rPr>
                <w:rFonts w:asciiTheme="majorHAnsi" w:hAnsiTheme="majorHAnsi" w:cstheme="majorHAnsi"/>
              </w:rPr>
              <w:t>).</w:t>
            </w:r>
          </w:p>
          <w:p w14:paraId="268B5EB2" w14:textId="77777777" w:rsidR="00C95135" w:rsidRDefault="00C95135" w:rsidP="00C95135">
            <w:pPr>
              <w:spacing w:after="0" w:line="240" w:lineRule="auto"/>
              <w:jc w:val="both"/>
              <w:rPr>
                <w:rFonts w:asciiTheme="majorHAnsi" w:hAnsiTheme="majorHAnsi" w:cstheme="majorHAnsi"/>
              </w:rPr>
            </w:pPr>
          </w:p>
          <w:p w14:paraId="6E14E23F" w14:textId="4BBCACA7" w:rsidR="00C95135" w:rsidRDefault="00C95135" w:rsidP="00635DB3">
            <w:pPr>
              <w:jc w:val="both"/>
              <w:rPr>
                <w:rFonts w:asciiTheme="majorHAnsi" w:hAnsiTheme="majorHAnsi" w:cstheme="majorHAnsi"/>
              </w:rPr>
            </w:pPr>
            <w:r>
              <w:rPr>
                <w:rFonts w:asciiTheme="majorHAnsi" w:hAnsiTheme="majorHAnsi" w:cstheme="majorHAnsi"/>
              </w:rPr>
              <w:t xml:space="preserve">At the same time, the increase in the incidence of tuberculosis in children in some regions, and a slight increase in the number of registered advanced TB cases, indicate that the activities were not sufficient in scale and volume among contacts and population groups less likely to seek healthcare services, resulted from restrictive measures imposed and TB Service participation in COVID-19 response. </w:t>
            </w:r>
            <w:r w:rsidRPr="001A4A58">
              <w:rPr>
                <w:rFonts w:asciiTheme="majorHAnsi" w:hAnsiTheme="majorHAnsi" w:cstheme="majorHAnsi"/>
              </w:rPr>
              <w:t xml:space="preserve">In early 2020, the Service has repurposed its hospital capacity and deployed COVID-19 isolated wards with 3,197 beds (62% of total TB beds) for acute and critical care. The number of hospitalized with coronavirus infection grown up to 21,427, with more than 98% of all patients transitioned to a successful discharge. Treatment was provided also to 214 patients with TB/COVID-19 co-infection, including 94 COVID-19 patients who were diagnosed with tuberculosis after admission. The presence of co-infections was associated with poor health outcomes, resulted in nearly 10% of deaths from total number of these admissions. While establishing COVID-19 treatment wards, the approximately 27% of its staff (323 physicians, 1,026 middle level medical personnel and 1,031 auxiliary personnel) were reassigned for every-day emergency functions. Eight bacteriological laboratories obtained temporary permissions for doing COVID-19 testing on the Xpert equipment using SARS-CoV-2 cartridges supplied through the GFATM and USAID funding. By the end of </w:t>
            </w:r>
            <w:r>
              <w:rPr>
                <w:rFonts w:asciiTheme="majorHAnsi" w:hAnsiTheme="majorHAnsi" w:cstheme="majorHAnsi"/>
              </w:rPr>
              <w:t>September</w:t>
            </w:r>
            <w:r w:rsidRPr="001A4A58">
              <w:rPr>
                <w:rFonts w:asciiTheme="majorHAnsi" w:hAnsiTheme="majorHAnsi" w:cstheme="majorHAnsi"/>
              </w:rPr>
              <w:t xml:space="preserve"> 2021, there were </w:t>
            </w:r>
            <w:r>
              <w:rPr>
                <w:rFonts w:asciiTheme="majorHAnsi" w:hAnsiTheme="majorHAnsi" w:cstheme="majorHAnsi"/>
              </w:rPr>
              <w:t>15</w:t>
            </w:r>
            <w:r w:rsidRPr="001A4A58">
              <w:rPr>
                <w:rFonts w:asciiTheme="majorHAnsi" w:hAnsiTheme="majorHAnsi" w:cstheme="majorHAnsi"/>
              </w:rPr>
              <w:t>,</w:t>
            </w:r>
            <w:r>
              <w:rPr>
                <w:rFonts w:asciiTheme="majorHAnsi" w:hAnsiTheme="majorHAnsi" w:cstheme="majorHAnsi"/>
              </w:rPr>
              <w:t>865</w:t>
            </w:r>
            <w:r w:rsidRPr="001A4A58">
              <w:rPr>
                <w:rFonts w:asciiTheme="majorHAnsi" w:hAnsiTheme="majorHAnsi" w:cstheme="majorHAnsi"/>
              </w:rPr>
              <w:t xml:space="preserve"> tests performed for </w:t>
            </w:r>
            <w:r>
              <w:rPr>
                <w:rFonts w:asciiTheme="majorHAnsi" w:hAnsiTheme="majorHAnsi" w:cstheme="majorHAnsi"/>
              </w:rPr>
              <w:t>15</w:t>
            </w:r>
            <w:r w:rsidRPr="001A4A58">
              <w:rPr>
                <w:rFonts w:asciiTheme="majorHAnsi" w:hAnsiTheme="majorHAnsi" w:cstheme="majorHAnsi"/>
              </w:rPr>
              <w:t>,</w:t>
            </w:r>
            <w:r>
              <w:rPr>
                <w:rFonts w:asciiTheme="majorHAnsi" w:hAnsiTheme="majorHAnsi" w:cstheme="majorHAnsi"/>
              </w:rPr>
              <w:t>585</w:t>
            </w:r>
            <w:r w:rsidRPr="001A4A58">
              <w:rPr>
                <w:rFonts w:asciiTheme="majorHAnsi" w:hAnsiTheme="majorHAnsi" w:cstheme="majorHAnsi"/>
              </w:rPr>
              <w:t xml:space="preserve"> persons, with the test's positivity rate reached </w:t>
            </w:r>
            <w:r>
              <w:rPr>
                <w:rFonts w:asciiTheme="majorHAnsi" w:hAnsiTheme="majorHAnsi" w:cstheme="majorHAnsi"/>
              </w:rPr>
              <w:t>32.</w:t>
            </w:r>
            <w:r w:rsidRPr="001A4A58">
              <w:rPr>
                <w:rFonts w:asciiTheme="majorHAnsi" w:hAnsiTheme="majorHAnsi" w:cstheme="majorHAnsi"/>
              </w:rPr>
              <w:t>8%.</w:t>
            </w:r>
          </w:p>
          <w:tbl>
            <w:tblPr>
              <w:tblStyle w:val="aa"/>
              <w:tblW w:w="10142" w:type="dxa"/>
              <w:tblLayout w:type="fixed"/>
              <w:tblLook w:val="04A0" w:firstRow="1" w:lastRow="0" w:firstColumn="1" w:lastColumn="0" w:noHBand="0" w:noVBand="1"/>
            </w:tblPr>
            <w:tblGrid>
              <w:gridCol w:w="5012"/>
              <w:gridCol w:w="5130"/>
            </w:tblGrid>
            <w:tr w:rsidR="00635DB3" w14:paraId="1009A969" w14:textId="77777777" w:rsidTr="00635DB3">
              <w:trPr>
                <w:trHeight w:val="868"/>
              </w:trPr>
              <w:tc>
                <w:tcPr>
                  <w:tcW w:w="5012" w:type="dxa"/>
                  <w:tcBorders>
                    <w:top w:val="single" w:sz="4" w:space="0" w:color="auto"/>
                    <w:left w:val="single" w:sz="4" w:space="0" w:color="auto"/>
                    <w:bottom w:val="single" w:sz="4" w:space="0" w:color="auto"/>
                    <w:right w:val="single" w:sz="4" w:space="0" w:color="auto"/>
                  </w:tcBorders>
                  <w:hideMark/>
                </w:tcPr>
                <w:p w14:paraId="750D8B8A" w14:textId="604A91D9" w:rsidR="00635DB3" w:rsidRDefault="00B670E3" w:rsidP="00635DB3">
                  <w:pPr>
                    <w:spacing w:before="120"/>
                    <w:jc w:val="both"/>
                    <w:rPr>
                      <w:rFonts w:asciiTheme="majorHAnsi" w:hAnsiTheme="majorHAnsi" w:cstheme="majorHAnsi"/>
                      <w:b/>
                      <w:sz w:val="20"/>
                      <w:szCs w:val="20"/>
                      <w:lang w:val="en-GB"/>
                    </w:rPr>
                  </w:pPr>
                  <w:r>
                    <w:rPr>
                      <w:rFonts w:asciiTheme="majorHAnsi" w:hAnsiTheme="majorHAnsi" w:cstheme="majorHAnsi"/>
                      <w:b/>
                      <w:sz w:val="20"/>
                      <w:szCs w:val="20"/>
                      <w:lang w:val="en-GB"/>
                    </w:rPr>
                    <w:t>Figure 37</w:t>
                  </w:r>
                  <w:r w:rsidR="00635DB3" w:rsidRPr="00B670E3">
                    <w:rPr>
                      <w:rFonts w:asciiTheme="majorHAnsi" w:hAnsiTheme="majorHAnsi" w:cstheme="majorHAnsi"/>
                      <w:b/>
                      <w:sz w:val="20"/>
                      <w:szCs w:val="20"/>
                      <w:lang w:val="en-GB"/>
                    </w:rPr>
                    <w:t>.</w:t>
                  </w:r>
                  <w:r w:rsidR="00635DB3">
                    <w:rPr>
                      <w:rFonts w:asciiTheme="majorHAnsi" w:hAnsiTheme="majorHAnsi" w:cstheme="majorHAnsi"/>
                      <w:b/>
                      <w:sz w:val="20"/>
                      <w:szCs w:val="20"/>
                      <w:lang w:val="en-GB"/>
                    </w:rPr>
                    <w:t xml:space="preserve"> </w:t>
                  </w:r>
                  <w:r w:rsidR="00635DB3" w:rsidRPr="000D4A8D">
                    <w:rPr>
                      <w:rFonts w:asciiTheme="majorHAnsi" w:hAnsiTheme="majorHAnsi" w:cstheme="majorHAnsi"/>
                      <w:b/>
                      <w:sz w:val="20"/>
                      <w:szCs w:val="20"/>
                      <w:lang w:val="en-GB"/>
                    </w:rPr>
                    <w:t>The number of suspects investigated by Xpert MTB/RIF technology, by months, abs, 2020- 9m.2021, Kazakhstan</w:t>
                  </w:r>
                </w:p>
              </w:tc>
              <w:tc>
                <w:tcPr>
                  <w:tcW w:w="5130" w:type="dxa"/>
                  <w:tcBorders>
                    <w:top w:val="single" w:sz="4" w:space="0" w:color="auto"/>
                    <w:left w:val="single" w:sz="4" w:space="0" w:color="auto"/>
                    <w:bottom w:val="single" w:sz="4" w:space="0" w:color="auto"/>
                    <w:right w:val="single" w:sz="4" w:space="0" w:color="auto"/>
                  </w:tcBorders>
                  <w:hideMark/>
                </w:tcPr>
                <w:p w14:paraId="23AF1D74" w14:textId="121C7E63" w:rsidR="00635DB3" w:rsidRPr="000D4A8D" w:rsidRDefault="00B670E3" w:rsidP="00635DB3">
                  <w:pPr>
                    <w:spacing w:before="120"/>
                    <w:jc w:val="both"/>
                    <w:rPr>
                      <w:rFonts w:asciiTheme="majorHAnsi" w:hAnsiTheme="majorHAnsi" w:cstheme="majorHAnsi"/>
                      <w:b/>
                      <w:sz w:val="20"/>
                      <w:szCs w:val="20"/>
                      <w:lang w:val="en-GB"/>
                    </w:rPr>
                  </w:pPr>
                  <w:r>
                    <w:rPr>
                      <w:rFonts w:asciiTheme="majorHAnsi" w:hAnsiTheme="majorHAnsi" w:cstheme="majorHAnsi"/>
                      <w:b/>
                      <w:sz w:val="20"/>
                      <w:szCs w:val="20"/>
                      <w:lang w:val="en-GB"/>
                    </w:rPr>
                    <w:t>Figure 38</w:t>
                  </w:r>
                  <w:r w:rsidR="00635DB3" w:rsidRPr="00B670E3">
                    <w:rPr>
                      <w:rFonts w:asciiTheme="majorHAnsi" w:hAnsiTheme="majorHAnsi" w:cstheme="majorHAnsi"/>
                      <w:b/>
                      <w:sz w:val="20"/>
                      <w:szCs w:val="20"/>
                      <w:lang w:val="en-GB"/>
                    </w:rPr>
                    <w:t>. The number of tests Xpert MTB/RIF performed by months, abs, 2020-9m.2021, Kazakhstan</w:t>
                  </w:r>
                </w:p>
              </w:tc>
            </w:tr>
            <w:tr w:rsidR="00635DB3" w14:paraId="296FE1E3" w14:textId="77777777" w:rsidTr="00635DB3">
              <w:trPr>
                <w:trHeight w:val="2611"/>
              </w:trPr>
              <w:tc>
                <w:tcPr>
                  <w:tcW w:w="5012" w:type="dxa"/>
                  <w:tcBorders>
                    <w:top w:val="single" w:sz="4" w:space="0" w:color="auto"/>
                    <w:left w:val="single" w:sz="4" w:space="0" w:color="auto"/>
                    <w:bottom w:val="single" w:sz="4" w:space="0" w:color="auto"/>
                    <w:right w:val="single" w:sz="4" w:space="0" w:color="auto"/>
                  </w:tcBorders>
                  <w:hideMark/>
                </w:tcPr>
                <w:p w14:paraId="5DB4D272" w14:textId="77777777" w:rsidR="00635DB3" w:rsidRDefault="00635DB3" w:rsidP="00635DB3">
                  <w:pPr>
                    <w:spacing w:before="120"/>
                    <w:rPr>
                      <w:rFonts w:asciiTheme="majorHAnsi" w:hAnsiTheme="majorHAnsi" w:cstheme="majorHAnsi"/>
                      <w:lang w:val="en-GB"/>
                    </w:rPr>
                  </w:pPr>
                  <w:r>
                    <w:rPr>
                      <w:noProof/>
                    </w:rPr>
                    <w:drawing>
                      <wp:inline distT="0" distB="0" distL="0" distR="0" wp14:anchorId="1C32A723" wp14:editId="5E42ADF9">
                        <wp:extent cx="3067050" cy="1836420"/>
                        <wp:effectExtent l="0" t="0" r="0" b="11430"/>
                        <wp:docPr id="255" name="Chart 255">
                          <a:extLst xmlns:a="http://schemas.openxmlformats.org/drawingml/2006/main">
                            <a:ext uri="{FF2B5EF4-FFF2-40B4-BE49-F238E27FC236}">
                              <a16:creationId xmlns:a16="http://schemas.microsoft.com/office/drawing/2014/main" id="{00000000-0008-0000-01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5130" w:type="dxa"/>
                  <w:tcBorders>
                    <w:top w:val="single" w:sz="4" w:space="0" w:color="auto"/>
                    <w:left w:val="single" w:sz="4" w:space="0" w:color="auto"/>
                    <w:bottom w:val="single" w:sz="4" w:space="0" w:color="auto"/>
                    <w:right w:val="single" w:sz="4" w:space="0" w:color="auto"/>
                  </w:tcBorders>
                  <w:hideMark/>
                </w:tcPr>
                <w:p w14:paraId="7CFA4D2E" w14:textId="77777777" w:rsidR="00635DB3" w:rsidRDefault="00635DB3" w:rsidP="00635DB3">
                  <w:pPr>
                    <w:spacing w:before="120"/>
                    <w:rPr>
                      <w:rFonts w:asciiTheme="majorHAnsi" w:hAnsiTheme="majorHAnsi" w:cstheme="majorHAnsi"/>
                      <w:lang w:val="en-GB"/>
                    </w:rPr>
                  </w:pPr>
                  <w:r>
                    <w:rPr>
                      <w:noProof/>
                    </w:rPr>
                    <w:drawing>
                      <wp:inline distT="0" distB="0" distL="0" distR="0" wp14:anchorId="3F191581" wp14:editId="405ACCDB">
                        <wp:extent cx="3067050" cy="1817370"/>
                        <wp:effectExtent l="0" t="0" r="0" b="11430"/>
                        <wp:docPr id="256" name="Chart 256">
                          <a:extLst xmlns:a="http://schemas.openxmlformats.org/drawingml/2006/main">
                            <a:ext uri="{FF2B5EF4-FFF2-40B4-BE49-F238E27FC236}">
                              <a16:creationId xmlns:a16="http://schemas.microsoft.com/office/drawing/2014/main" id="{00000000-0008-0000-0100-000001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14:paraId="443984D3" w14:textId="77777777" w:rsidR="00635DB3" w:rsidRDefault="00635DB3" w:rsidP="00635DB3">
            <w:pPr>
              <w:spacing w:after="0" w:line="240" w:lineRule="auto"/>
              <w:jc w:val="both"/>
            </w:pPr>
            <w:r>
              <w:rPr>
                <w:rFonts w:asciiTheme="majorHAnsi" w:hAnsiTheme="majorHAnsi" w:cstheme="majorHAnsi"/>
                <w:color w:val="1A1A1A"/>
              </w:rPr>
              <w:t xml:space="preserve"> </w:t>
            </w:r>
          </w:p>
          <w:p w14:paraId="787E375E" w14:textId="77777777" w:rsidR="00635DB3" w:rsidRDefault="00635DB3" w:rsidP="00635DB3">
            <w:pPr>
              <w:jc w:val="both"/>
              <w:rPr>
                <w:rFonts w:cs="Arial"/>
                <w:i/>
              </w:rPr>
            </w:pPr>
            <w:r>
              <w:rPr>
                <w:rFonts w:asciiTheme="majorHAnsi" w:hAnsiTheme="majorHAnsi" w:cstheme="majorHAnsi"/>
              </w:rPr>
              <w:t>In 2021, in response to the deteriorated epidemiological situation, the TB Service deployed 2,720 beds, and 1,760 healthcare workers have been provided care to COVID-19 patients. In preparation for COVID-19 patients, TB Centers have experienced increased needs for PPE medical supplies and medical equipment, which were supplied through donors funding mechanism, especially at the beginning of the pandemic, and financed from domestic resources.</w:t>
            </w:r>
          </w:p>
          <w:p w14:paraId="304B5D1C" w14:textId="5CE0AF07" w:rsidR="00B670E3" w:rsidRPr="00246C47" w:rsidRDefault="00635DB3" w:rsidP="00635DB3">
            <w:pPr>
              <w:jc w:val="both"/>
              <w:rPr>
                <w:rFonts w:cs="Arial"/>
              </w:rPr>
            </w:pPr>
            <w:r w:rsidRPr="001A4A58">
              <w:rPr>
                <w:rFonts w:cs="Arial"/>
              </w:rPr>
              <w:t>While building essential infrastructure and healthcare workforce capacity for COVID-19 services in the co</w:t>
            </w:r>
            <w:r w:rsidR="00246C47">
              <w:rPr>
                <w:rFonts w:cs="Arial"/>
              </w:rPr>
              <w:t>untry at both PHC and TB Center</w:t>
            </w:r>
            <w:r w:rsidRPr="001A4A58">
              <w:rPr>
                <w:rFonts w:cs="Arial"/>
              </w:rPr>
              <w:t>s</w:t>
            </w:r>
            <w:r w:rsidR="00246C47">
              <w:rPr>
                <w:rFonts w:cs="Arial"/>
              </w:rPr>
              <w:t>’</w:t>
            </w:r>
            <w:r w:rsidRPr="001A4A58">
              <w:rPr>
                <w:rFonts w:cs="Arial"/>
              </w:rPr>
              <w:t xml:space="preserve"> level, the NTP reflecting on the situation, has adjusted its </w:t>
            </w:r>
            <w:proofErr w:type="gramStart"/>
            <w:r w:rsidRPr="001A4A58">
              <w:rPr>
                <w:rFonts w:cs="Arial"/>
              </w:rPr>
              <w:t>programs</w:t>
            </w:r>
            <w:proofErr w:type="gramEnd"/>
            <w:r w:rsidRPr="001A4A58">
              <w:rPr>
                <w:rFonts w:cs="Arial"/>
              </w:rPr>
              <w:t xml:space="preserve"> and adopted innovative ways to connect patients to effective treatment. The diagnostic algorithm for suspected TB cases was revisited and adopted, allowing those being evaluated for COVID-19 to be tested for TB if the symptoms, course of illness and X-ray findings suggest so. Most counseling services were shifted to distance/online format. By freeing up beds for patients with coronavirus disease, many TB patients were transferred to ambulatory care. Transport closure and limited people’s ability to healthcare services accelerated the use of digital treatment technologies, and innovative care models have bridged the gap between healthcare providers and patients. Video </w:t>
            </w:r>
            <w:r w:rsidR="00DD2FB2">
              <w:rPr>
                <w:rFonts w:cs="Arial"/>
              </w:rPr>
              <w:t>supported therapy</w:t>
            </w:r>
            <w:r w:rsidRPr="001A4A58">
              <w:rPr>
                <w:rFonts w:cs="Arial"/>
              </w:rPr>
              <w:t xml:space="preserve"> for TB was offered to approximately 4</w:t>
            </w:r>
            <w:r>
              <w:rPr>
                <w:rFonts w:cs="Arial"/>
              </w:rPr>
              <w:t>7</w:t>
            </w:r>
            <w:r w:rsidRPr="001A4A58">
              <w:rPr>
                <w:rFonts w:cs="Arial"/>
              </w:rPr>
              <w:t xml:space="preserve">% of patients receiving care at the PHC in 2020. About </w:t>
            </w:r>
            <w:r>
              <w:rPr>
                <w:rFonts w:cs="Arial"/>
              </w:rPr>
              <w:t>8</w:t>
            </w:r>
            <w:r w:rsidRPr="001A4A58">
              <w:rPr>
                <w:rFonts w:cs="Arial"/>
              </w:rPr>
              <w:t xml:space="preserve">% of TB patients received home-based treatment through “hospital at </w:t>
            </w:r>
            <w:r w:rsidRPr="00246C47">
              <w:rPr>
                <w:rFonts w:cs="Arial"/>
              </w:rPr>
              <w:t>home” or “mobile teams” models. Proper communication with TB patients was ensured using virtual means of communication. Smartphones and WhatsApp applications were applied to monitor patients’ health and control treatment; Skype, ZOOM, telemedicine devices at the MoH/NSCP were used to consult patients and define treatment approaches. In 2020, also most of the M&amp;E groups’ activities, training, and consultations to regional teams have been switched to the online mode. In parallel, the M&amp;E capacity at the national TB Program was strengthened, framework refined, and tools developed, as well as additional staff hired at the central NSCP level.</w:t>
            </w:r>
          </w:p>
          <w:p w14:paraId="4832062D" w14:textId="77777777" w:rsidR="00635DB3" w:rsidRDefault="00635DB3" w:rsidP="00B670E3">
            <w:pPr>
              <w:spacing w:after="0" w:line="240" w:lineRule="auto"/>
              <w:jc w:val="both"/>
              <w:rPr>
                <w:rFonts w:cs="Arial"/>
              </w:rPr>
            </w:pPr>
            <w:r w:rsidRPr="00246C47">
              <w:rPr>
                <w:rFonts w:cs="Arial"/>
              </w:rPr>
              <w:t>In the first months after introducing lockdowns, the NGOs have limited services to key and vulnerable groups, including stateless people, drug users, homeless people, former prisoners, people affected by HIV and TB. They moved to distance service provision mode due to a shortage of PPE and because the coronavirus exposure might present a health risk to its workers as most outreach personnel are PLHIV or TB recovered patients. Shortly, the NGOs resumed their activities with the key populations, gradually returning to the pre-lockdown level at the end of 2020, as it was presented above. To comply with infection prevention and control measures, the PPE were procured for both the staff and beneficiaries, and IT equipment was delivered in support to the online work and client databases maintenance.</w:t>
            </w:r>
          </w:p>
          <w:p w14:paraId="43B1AD09" w14:textId="77777777" w:rsidR="00B73361" w:rsidRPr="00246C47" w:rsidRDefault="00B73361" w:rsidP="00B670E3">
            <w:pPr>
              <w:spacing w:after="0" w:line="240" w:lineRule="auto"/>
              <w:jc w:val="both"/>
              <w:rPr>
                <w:rFonts w:cs="Arial"/>
              </w:rPr>
            </w:pPr>
          </w:p>
          <w:p w14:paraId="4223B4BB" w14:textId="0935740F" w:rsidR="00635DB3" w:rsidRPr="00246C47" w:rsidRDefault="00635DB3" w:rsidP="00B670E3">
            <w:pPr>
              <w:spacing w:after="0" w:line="240" w:lineRule="auto"/>
              <w:jc w:val="both"/>
              <w:rPr>
                <w:rFonts w:asciiTheme="majorHAnsi" w:hAnsiTheme="majorHAnsi" w:cstheme="majorHAnsi"/>
              </w:rPr>
            </w:pPr>
            <w:r w:rsidRPr="00246C47">
              <w:rPr>
                <w:rFonts w:asciiTheme="majorHAnsi" w:hAnsiTheme="majorHAnsi" w:cstheme="majorHAnsi"/>
              </w:rPr>
              <w:t>The main challenges, needs and financing gaps of TB Service in Kazakhstan r</w:t>
            </w:r>
            <w:r w:rsidR="00246C47">
              <w:rPr>
                <w:rFonts w:asciiTheme="majorHAnsi" w:hAnsiTheme="majorHAnsi" w:cstheme="majorHAnsi"/>
              </w:rPr>
              <w:t>esulted as influence of the COV</w:t>
            </w:r>
            <w:r w:rsidRPr="00246C47">
              <w:rPr>
                <w:rFonts w:asciiTheme="majorHAnsi" w:hAnsiTheme="majorHAnsi" w:cstheme="majorHAnsi"/>
              </w:rPr>
              <w:t xml:space="preserve">ID-19 pandemic in country are summarized below: </w:t>
            </w:r>
          </w:p>
          <w:p w14:paraId="6ED92F3D" w14:textId="77777777" w:rsidR="00635DB3" w:rsidRPr="00246C47" w:rsidRDefault="00635DB3" w:rsidP="006A0E08">
            <w:pPr>
              <w:pStyle w:val="affff3"/>
              <w:numPr>
                <w:ilvl w:val="0"/>
                <w:numId w:val="47"/>
              </w:numPr>
              <w:spacing w:before="120" w:after="0" w:line="240" w:lineRule="auto"/>
              <w:jc w:val="both"/>
            </w:pPr>
            <w:r w:rsidRPr="00246C47">
              <w:t xml:space="preserve">Decline in uptake in diagnostic services for TB suspects due to quarantine restrictions, fear of being infected with COVID-19 in the health facilities, re-purposing PHC and TB Centers for COVID-19 services, and rearrangement of patient’s pathways. </w:t>
            </w:r>
          </w:p>
          <w:p w14:paraId="1CF6380A" w14:textId="77777777" w:rsidR="00635DB3" w:rsidRPr="00246C47" w:rsidRDefault="00635DB3" w:rsidP="006A0E08">
            <w:pPr>
              <w:pStyle w:val="affff3"/>
              <w:numPr>
                <w:ilvl w:val="0"/>
                <w:numId w:val="47"/>
              </w:numPr>
              <w:spacing w:after="0" w:line="240" w:lineRule="auto"/>
              <w:jc w:val="both"/>
            </w:pPr>
            <w:r w:rsidRPr="00246C47">
              <w:t>The disproportionate impact of the pandemic on key population groups further reduced access to the services for KPs.</w:t>
            </w:r>
          </w:p>
          <w:p w14:paraId="2CD09B4B" w14:textId="77777777" w:rsidR="00635DB3" w:rsidRPr="00246C47" w:rsidRDefault="00635DB3" w:rsidP="006A0E08">
            <w:pPr>
              <w:pStyle w:val="affff3"/>
              <w:numPr>
                <w:ilvl w:val="0"/>
                <w:numId w:val="47"/>
              </w:numPr>
              <w:spacing w:after="0" w:line="240" w:lineRule="auto"/>
              <w:jc w:val="both"/>
            </w:pPr>
            <w:r w:rsidRPr="00246C47">
              <w:t xml:space="preserve">TB Centers participated in COVID-19 response faced additional costs in PPE, </w:t>
            </w:r>
            <w:proofErr w:type="gramStart"/>
            <w:r w:rsidRPr="00246C47">
              <w:t>medicines</w:t>
            </w:r>
            <w:proofErr w:type="gramEnd"/>
            <w:r w:rsidRPr="00246C47">
              <w:t xml:space="preserve"> and medical equipment.</w:t>
            </w:r>
          </w:p>
          <w:p w14:paraId="59E266E8" w14:textId="77777777" w:rsidR="00635DB3" w:rsidRPr="00246C47" w:rsidRDefault="00635DB3" w:rsidP="006A0E08">
            <w:pPr>
              <w:pStyle w:val="affff3"/>
              <w:numPr>
                <w:ilvl w:val="0"/>
                <w:numId w:val="47"/>
              </w:numPr>
              <w:spacing w:after="0" w:line="240" w:lineRule="auto"/>
              <w:jc w:val="both"/>
            </w:pPr>
            <w:r w:rsidRPr="00246C47">
              <w:t>Need to revisit algorithm for evaluating TB suspects and its adaptation to the COVID-19 detection measures.</w:t>
            </w:r>
          </w:p>
          <w:p w14:paraId="5D92CA3D" w14:textId="77777777" w:rsidR="00635DB3" w:rsidRPr="00246C47" w:rsidRDefault="00635DB3" w:rsidP="006A0E08">
            <w:pPr>
              <w:pStyle w:val="affff3"/>
              <w:numPr>
                <w:ilvl w:val="0"/>
                <w:numId w:val="47"/>
              </w:numPr>
              <w:spacing w:after="0" w:line="240" w:lineRule="auto"/>
              <w:jc w:val="both"/>
            </w:pPr>
            <w:r w:rsidRPr="00246C47">
              <w:t>Strengthening activities among TB contacts in sites of TB transmission.</w:t>
            </w:r>
          </w:p>
          <w:p w14:paraId="63657EF1" w14:textId="77777777" w:rsidR="00635DB3" w:rsidRPr="00246C47" w:rsidRDefault="00635DB3" w:rsidP="006A0E08">
            <w:pPr>
              <w:pStyle w:val="affff3"/>
              <w:numPr>
                <w:ilvl w:val="0"/>
                <w:numId w:val="47"/>
              </w:numPr>
              <w:spacing w:after="0" w:line="240" w:lineRule="auto"/>
              <w:jc w:val="both"/>
            </w:pPr>
            <w:r w:rsidRPr="00246C47">
              <w:t xml:space="preserve">Revisit NGOs services delivery models to the KPs during strict quarantine restrictions. Identified need for geographic expansion of NGO activities to target more beneficiaries. Ensure safe work environment especially for the front-line workers and KPs with high risk of getting coronavirus disease, by supplying PPE both for the NGO staff and clients. </w:t>
            </w:r>
          </w:p>
          <w:p w14:paraId="47C3DC43" w14:textId="77777777" w:rsidR="00635DB3" w:rsidRPr="009E3637" w:rsidRDefault="00635DB3" w:rsidP="006A0E08">
            <w:pPr>
              <w:pStyle w:val="affff3"/>
              <w:numPr>
                <w:ilvl w:val="0"/>
                <w:numId w:val="47"/>
              </w:numPr>
              <w:spacing w:after="0" w:line="240" w:lineRule="auto"/>
              <w:jc w:val="both"/>
            </w:pPr>
            <w:r w:rsidRPr="00246C47">
              <w:t xml:space="preserve">Addressing needs in IT equipment linked with the shift of certain services to online mode and </w:t>
            </w:r>
            <w:r w:rsidRPr="009E3637">
              <w:t>improving quality of delivery.</w:t>
            </w:r>
          </w:p>
          <w:p w14:paraId="3FE5C1B8" w14:textId="77777777" w:rsidR="00635DB3" w:rsidRPr="009E3637" w:rsidRDefault="00635DB3" w:rsidP="006A0E08">
            <w:pPr>
              <w:pStyle w:val="affff3"/>
              <w:numPr>
                <w:ilvl w:val="0"/>
                <w:numId w:val="47"/>
              </w:numPr>
              <w:spacing w:after="0" w:line="240" w:lineRule="auto"/>
              <w:jc w:val="both"/>
            </w:pPr>
            <w:r w:rsidRPr="009E3637">
              <w:t xml:space="preserve">Need to scale up ACSM activities to be oriented on both, the general population and key populations through bi-directional TB and COVID-19 awareness raising efforts. </w:t>
            </w:r>
          </w:p>
          <w:p w14:paraId="6C457F57" w14:textId="77777777" w:rsidR="00635DB3" w:rsidRPr="009E3637" w:rsidRDefault="00635DB3" w:rsidP="00B670E3">
            <w:pPr>
              <w:spacing w:after="0" w:line="240" w:lineRule="auto"/>
              <w:jc w:val="both"/>
              <w:rPr>
                <w:rFonts w:cs="Arial"/>
              </w:rPr>
            </w:pPr>
          </w:p>
          <w:p w14:paraId="11D2AFC4" w14:textId="5EB16ACE" w:rsidR="00B30FFA" w:rsidRDefault="00B30FFA" w:rsidP="00B73361">
            <w:pPr>
              <w:spacing w:after="0" w:line="240" w:lineRule="auto"/>
              <w:jc w:val="both"/>
              <w:rPr>
                <w:rFonts w:asciiTheme="majorHAnsi" w:hAnsiTheme="majorHAnsi" w:cstheme="majorHAnsi"/>
              </w:rPr>
            </w:pPr>
            <w:r>
              <w:rPr>
                <w:rFonts w:asciiTheme="majorHAnsi" w:hAnsiTheme="majorHAnsi" w:cstheme="majorHAnsi"/>
              </w:rPr>
              <w:t>M</w:t>
            </w:r>
            <w:r w:rsidRPr="00B30FFA">
              <w:rPr>
                <w:rFonts w:asciiTheme="majorHAnsi" w:hAnsiTheme="majorHAnsi" w:cstheme="majorHAnsi"/>
              </w:rPr>
              <w:t>ost of the COVID-19 mitigation efforts of the NTP are addressed through the current p</w:t>
            </w:r>
            <w:r>
              <w:rPr>
                <w:rFonts w:asciiTheme="majorHAnsi" w:hAnsiTheme="majorHAnsi" w:cstheme="majorHAnsi"/>
              </w:rPr>
              <w:t>rograms, financed from budgetary</w:t>
            </w:r>
            <w:r w:rsidRPr="00B30FFA">
              <w:rPr>
                <w:rFonts w:asciiTheme="majorHAnsi" w:hAnsiTheme="majorHAnsi" w:cstheme="majorHAnsi"/>
              </w:rPr>
              <w:t xml:space="preserve"> funds and external sources such as on-going TB GF grant, on-going C19RM 2020 and 2021 awards, and USAID/ET</w:t>
            </w:r>
            <w:r>
              <w:rPr>
                <w:rFonts w:asciiTheme="majorHAnsi" w:hAnsiTheme="majorHAnsi" w:cstheme="majorHAnsi"/>
              </w:rPr>
              <w:t xml:space="preserve">ICA project.  </w:t>
            </w:r>
          </w:p>
          <w:p w14:paraId="2ED97F57" w14:textId="03CFE1EC" w:rsidR="00B30FFA" w:rsidRPr="00B30FFA" w:rsidRDefault="003A4BF7" w:rsidP="00B73361">
            <w:pPr>
              <w:spacing w:before="240" w:line="240" w:lineRule="auto"/>
              <w:jc w:val="both"/>
              <w:rPr>
                <w:rFonts w:asciiTheme="majorHAnsi" w:hAnsiTheme="majorHAnsi" w:cstheme="majorHAnsi"/>
                <w:b/>
              </w:rPr>
            </w:pPr>
            <w:r>
              <w:rPr>
                <w:rFonts w:asciiTheme="majorHAnsi" w:hAnsiTheme="majorHAnsi" w:cstheme="majorHAnsi"/>
                <w:b/>
              </w:rPr>
              <w:t xml:space="preserve">Priory actions to accelerated </w:t>
            </w:r>
            <w:r w:rsidR="00B30FFA" w:rsidRPr="00B30FFA">
              <w:rPr>
                <w:rFonts w:asciiTheme="majorHAnsi" w:hAnsiTheme="majorHAnsi" w:cstheme="majorHAnsi"/>
                <w:b/>
              </w:rPr>
              <w:t>TB Respon</w:t>
            </w:r>
            <w:r>
              <w:rPr>
                <w:rFonts w:asciiTheme="majorHAnsi" w:hAnsiTheme="majorHAnsi" w:cstheme="majorHAnsi"/>
                <w:b/>
              </w:rPr>
              <w:t xml:space="preserve">se </w:t>
            </w:r>
          </w:p>
          <w:p w14:paraId="542AFA71" w14:textId="027AD1E2" w:rsidR="00B30FFA" w:rsidRPr="00305FA9" w:rsidRDefault="00B73361" w:rsidP="00305FA9">
            <w:pPr>
              <w:jc w:val="both"/>
              <w:rPr>
                <w:rFonts w:asciiTheme="majorHAnsi" w:hAnsiTheme="majorHAnsi" w:cstheme="majorHAnsi"/>
              </w:rPr>
            </w:pPr>
            <w:r>
              <w:rPr>
                <w:rFonts w:asciiTheme="majorHAnsi" w:hAnsiTheme="majorHAnsi" w:cstheme="majorHAnsi"/>
              </w:rPr>
              <w:t>Based on above analysis, t</w:t>
            </w:r>
            <w:r w:rsidR="00305FA9">
              <w:rPr>
                <w:rFonts w:asciiTheme="majorHAnsi" w:hAnsiTheme="majorHAnsi" w:cstheme="majorHAnsi"/>
              </w:rPr>
              <w:t xml:space="preserve">he flowing </w:t>
            </w:r>
            <w:r w:rsidR="00B30FFA" w:rsidRPr="00B30FFA">
              <w:rPr>
                <w:rFonts w:asciiTheme="majorHAnsi" w:hAnsiTheme="majorHAnsi" w:cstheme="majorHAnsi"/>
              </w:rPr>
              <w:t xml:space="preserve">priorities </w:t>
            </w:r>
            <w:r w:rsidR="00305FA9">
              <w:rPr>
                <w:rFonts w:asciiTheme="majorHAnsi" w:hAnsiTheme="majorHAnsi" w:cstheme="majorHAnsi"/>
              </w:rPr>
              <w:t>of n</w:t>
            </w:r>
            <w:r w:rsidR="00B30FFA">
              <w:rPr>
                <w:rFonts w:asciiTheme="majorHAnsi" w:hAnsiTheme="majorHAnsi" w:cstheme="majorHAnsi"/>
              </w:rPr>
              <w:t>ational</w:t>
            </w:r>
            <w:r w:rsidR="00305FA9">
              <w:rPr>
                <w:rFonts w:asciiTheme="majorHAnsi" w:hAnsiTheme="majorHAnsi" w:cstheme="majorHAnsi"/>
              </w:rPr>
              <w:t xml:space="preserve"> TB response are identified for 2023-2025:</w:t>
            </w:r>
          </w:p>
          <w:p w14:paraId="71812B5D" w14:textId="0A13FFD5" w:rsidR="0084406F" w:rsidRPr="00974FD7" w:rsidRDefault="00033455" w:rsidP="006A0E08">
            <w:pPr>
              <w:pStyle w:val="affff3"/>
              <w:numPr>
                <w:ilvl w:val="0"/>
                <w:numId w:val="47"/>
              </w:numPr>
              <w:jc w:val="both"/>
              <w:rPr>
                <w:rFonts w:cs="Arial"/>
              </w:rPr>
            </w:pPr>
            <w:r w:rsidRPr="00974FD7">
              <w:rPr>
                <w:rFonts w:cs="Arial"/>
              </w:rPr>
              <w:t>Enhancing</w:t>
            </w:r>
            <w:r w:rsidR="003A4BF7" w:rsidRPr="00974FD7">
              <w:rPr>
                <w:rFonts w:cs="Arial"/>
              </w:rPr>
              <w:t xml:space="preserve"> population screening for TB, with the focus on contacts, high-risk groups, and</w:t>
            </w:r>
            <w:r w:rsidR="002A4D55" w:rsidRPr="00974FD7">
              <w:rPr>
                <w:rFonts w:cs="Arial"/>
              </w:rPr>
              <w:t xml:space="preserve"> hard-to-reach populations, to catch up on missed diagnoses, in limiting long-term setback to TB care efforts, resulted from COVID-19 response.</w:t>
            </w:r>
          </w:p>
          <w:p w14:paraId="7586B92D" w14:textId="2AC47996" w:rsidR="0084406F" w:rsidRPr="00974FD7" w:rsidRDefault="0084406F" w:rsidP="006A0E08">
            <w:pPr>
              <w:pStyle w:val="affff3"/>
              <w:numPr>
                <w:ilvl w:val="0"/>
                <w:numId w:val="47"/>
              </w:numPr>
              <w:jc w:val="both"/>
              <w:rPr>
                <w:rFonts w:cs="Arial"/>
              </w:rPr>
            </w:pPr>
            <w:r w:rsidRPr="00974FD7">
              <w:rPr>
                <w:rFonts w:cs="Arial"/>
              </w:rPr>
              <w:t xml:space="preserve">Intensification of efforts directed towards the implementation of the latest WHO and technical partners' recommendations regarding the use of molecular genetic methods for the rapid diagnosis of pre-and XDR-TB cases and DST to new and repurposed anti-TB drugs, as well as the expansion of the use of fully oral modified short-treatment regimens for </w:t>
            </w:r>
            <w:r w:rsidR="00D663BA" w:rsidRPr="00974FD7">
              <w:rPr>
                <w:rFonts w:cs="Arial"/>
              </w:rPr>
              <w:t>RR/MDR</w:t>
            </w:r>
            <w:r w:rsidRPr="00974FD7">
              <w:rPr>
                <w:rFonts w:cs="Arial"/>
              </w:rPr>
              <w:t>-TB and the introduction of a BPaL treatment regimen for XDR-TB patients.</w:t>
            </w:r>
          </w:p>
          <w:p w14:paraId="5C6270DC" w14:textId="21147640" w:rsidR="00635DB3" w:rsidRPr="00974FD7" w:rsidRDefault="0084406F" w:rsidP="006A0E08">
            <w:pPr>
              <w:pStyle w:val="affff3"/>
              <w:numPr>
                <w:ilvl w:val="0"/>
                <w:numId w:val="47"/>
              </w:numPr>
              <w:jc w:val="both"/>
              <w:rPr>
                <w:rFonts w:cs="Arial"/>
              </w:rPr>
            </w:pPr>
            <w:r w:rsidRPr="00974FD7">
              <w:rPr>
                <w:rFonts w:cs="Arial"/>
              </w:rPr>
              <w:t>Develop</w:t>
            </w:r>
            <w:r w:rsidR="00033455" w:rsidRPr="00974FD7">
              <w:rPr>
                <w:rFonts w:cs="Arial"/>
              </w:rPr>
              <w:t>ing</w:t>
            </w:r>
            <w:r w:rsidRPr="00974FD7">
              <w:rPr>
                <w:rFonts w:cs="Arial"/>
              </w:rPr>
              <w:t xml:space="preserve"> and implement</w:t>
            </w:r>
            <w:r w:rsidR="00033455" w:rsidRPr="00974FD7">
              <w:rPr>
                <w:rFonts w:cs="Arial"/>
              </w:rPr>
              <w:t>ing</w:t>
            </w:r>
            <w:r w:rsidRPr="00974FD7">
              <w:rPr>
                <w:rFonts w:cs="Arial"/>
              </w:rPr>
              <w:t xml:space="preserve"> national recommendations for diagnosis and treatment of </w:t>
            </w:r>
            <w:r w:rsidR="00F56047" w:rsidRPr="00974FD7">
              <w:rPr>
                <w:rFonts w:cs="Arial"/>
              </w:rPr>
              <w:t>latent tuberculosis infection</w:t>
            </w:r>
            <w:r w:rsidRPr="00974FD7">
              <w:rPr>
                <w:rFonts w:cs="Arial"/>
              </w:rPr>
              <w:t xml:space="preserve"> following the latest WHO recommendations, aiming to expand the coverage and conduct a preventive treatment using alternative treatment regimens that differ in composition and duration.</w:t>
            </w:r>
          </w:p>
          <w:p w14:paraId="0FA6524E" w14:textId="24B3BAD4" w:rsidR="00635DB3" w:rsidRPr="00974FD7" w:rsidRDefault="00033455" w:rsidP="006A0E08">
            <w:pPr>
              <w:pStyle w:val="affff3"/>
              <w:numPr>
                <w:ilvl w:val="0"/>
                <w:numId w:val="47"/>
              </w:numPr>
              <w:jc w:val="both"/>
              <w:rPr>
                <w:rFonts w:cs="Arial"/>
              </w:rPr>
            </w:pPr>
            <w:r w:rsidRPr="00974FD7">
              <w:rPr>
                <w:rFonts w:cs="Arial"/>
              </w:rPr>
              <w:t>Further strengthening the role of CSOs in patient-centered TB programs at the community level, with the focus on high-risk and hard-to-reach population groups. Introduction of new payment approach for financing the NGO-led interventions, ensuring their financial stability, and enhancing the NGOs capacity.</w:t>
            </w:r>
          </w:p>
          <w:p w14:paraId="302CADCE" w14:textId="5609F413" w:rsidR="00B73361" w:rsidRPr="00974FD7" w:rsidRDefault="00073F96" w:rsidP="006A0E08">
            <w:pPr>
              <w:pStyle w:val="affff3"/>
              <w:numPr>
                <w:ilvl w:val="0"/>
                <w:numId w:val="47"/>
              </w:numPr>
              <w:jc w:val="both"/>
              <w:rPr>
                <w:rFonts w:cs="Arial"/>
              </w:rPr>
            </w:pPr>
            <w:r w:rsidRPr="00974FD7">
              <w:rPr>
                <w:rFonts w:cs="Arial"/>
              </w:rPr>
              <w:t xml:space="preserve">Ensuring ongoing technical support to </w:t>
            </w:r>
            <w:r w:rsidR="00B73361" w:rsidRPr="00974FD7">
              <w:rPr>
                <w:rFonts w:cs="Arial"/>
              </w:rPr>
              <w:t xml:space="preserve">the </w:t>
            </w:r>
            <w:r w:rsidRPr="00974FD7">
              <w:rPr>
                <w:rFonts w:cs="Arial"/>
              </w:rPr>
              <w:t>NTP for smooth functioning and updating the National TB Registry to new recommendations of the WHO and</w:t>
            </w:r>
            <w:r w:rsidR="008D0720" w:rsidRPr="00974FD7">
              <w:rPr>
                <w:rFonts w:cs="Arial"/>
              </w:rPr>
              <w:t xml:space="preserve"> technical partners</w:t>
            </w:r>
            <w:r w:rsidR="00B73361" w:rsidRPr="00974FD7">
              <w:rPr>
                <w:rFonts w:cs="Arial"/>
              </w:rPr>
              <w:t>.</w:t>
            </w:r>
          </w:p>
          <w:p w14:paraId="18F7C51E" w14:textId="5BCD6128" w:rsidR="00007BFF" w:rsidRPr="00B73361" w:rsidRDefault="00007BFF" w:rsidP="00B73361">
            <w:pPr>
              <w:spacing w:before="360" w:after="240" w:line="240" w:lineRule="auto"/>
              <w:rPr>
                <w:rFonts w:cs="Arial"/>
                <w:b/>
                <w:bCs/>
                <w:smallCaps/>
              </w:rPr>
            </w:pPr>
            <w:r w:rsidRPr="00B73361">
              <w:rPr>
                <w:rFonts w:cs="Arial"/>
                <w:b/>
                <w:bCs/>
                <w:smallCaps/>
              </w:rPr>
              <w:t xml:space="preserve">Human rights, gender and age-related barriers and inequities in access to services </w:t>
            </w:r>
          </w:p>
          <w:p w14:paraId="4F183E39" w14:textId="7065D332" w:rsidR="00A2340F" w:rsidRPr="00A2340F" w:rsidRDefault="00373AE0" w:rsidP="00A644BC">
            <w:pPr>
              <w:jc w:val="both"/>
              <w:rPr>
                <w:rFonts w:asciiTheme="majorHAnsi" w:hAnsiTheme="majorHAnsi" w:cstheme="majorHAnsi"/>
              </w:rPr>
            </w:pPr>
            <w:r w:rsidRPr="00373AE0">
              <w:rPr>
                <w:rFonts w:asciiTheme="majorHAnsi" w:hAnsiTheme="majorHAnsi" w:cstheme="majorHAnsi"/>
              </w:rPr>
              <w:t xml:space="preserve">Kazakhstan is reforming TB care and moving towards a more coordinated people-centered care model tailored to the needs of the most vulnerable and hard-to-reach populations through services integration, enabling financing mechanisms, and using community-based organizations' support. </w:t>
            </w:r>
            <w:r w:rsidR="009D76E1">
              <w:rPr>
                <w:rFonts w:asciiTheme="majorHAnsi" w:hAnsiTheme="majorHAnsi" w:cstheme="majorHAnsi"/>
              </w:rPr>
              <w:t>C</w:t>
            </w:r>
            <w:r w:rsidRPr="00373AE0">
              <w:rPr>
                <w:rFonts w:asciiTheme="majorHAnsi" w:hAnsiTheme="majorHAnsi" w:cstheme="majorHAnsi"/>
              </w:rPr>
              <w:t xml:space="preserve">omprehensive human rights, gender, and legal assessment were not carried out </w:t>
            </w:r>
            <w:r w:rsidR="009D76E1">
              <w:rPr>
                <w:rFonts w:asciiTheme="majorHAnsi" w:hAnsiTheme="majorHAnsi" w:cstheme="majorHAnsi"/>
              </w:rPr>
              <w:t>in the country that targeted</w:t>
            </w:r>
            <w:r w:rsidRPr="00373AE0">
              <w:rPr>
                <w:rFonts w:asciiTheme="majorHAnsi" w:hAnsiTheme="majorHAnsi" w:cstheme="majorHAnsi"/>
              </w:rPr>
              <w:t xml:space="preserve"> all key population groups; however, several assessments were already </w:t>
            </w:r>
            <w:proofErr w:type="gramStart"/>
            <w:r w:rsidRPr="00373AE0">
              <w:rPr>
                <w:rFonts w:asciiTheme="majorHAnsi" w:hAnsiTheme="majorHAnsi" w:cstheme="majorHAnsi"/>
              </w:rPr>
              <w:t>completed</w:t>
            </w:r>
            <w:proofErr w:type="gramEnd"/>
            <w:r w:rsidRPr="00373AE0">
              <w:rPr>
                <w:rFonts w:asciiTheme="majorHAnsi" w:hAnsiTheme="majorHAnsi" w:cstheme="majorHAnsi"/>
              </w:rPr>
              <w:t xml:space="preserve"> and </w:t>
            </w:r>
            <w:r w:rsidR="002041A8">
              <w:rPr>
                <w:rFonts w:asciiTheme="majorHAnsi" w:hAnsiTheme="majorHAnsi" w:cstheme="majorHAnsi"/>
              </w:rPr>
              <w:t xml:space="preserve">some </w:t>
            </w:r>
            <w:r w:rsidRPr="00373AE0">
              <w:rPr>
                <w:rFonts w:asciiTheme="majorHAnsi" w:hAnsiTheme="majorHAnsi" w:cstheme="majorHAnsi"/>
              </w:rPr>
              <w:t xml:space="preserve">projects implemented addressing inequalities in access to services, </w:t>
            </w:r>
            <w:r w:rsidR="009D76E1">
              <w:rPr>
                <w:rFonts w:asciiTheme="majorHAnsi" w:hAnsiTheme="majorHAnsi" w:cstheme="majorHAnsi"/>
              </w:rPr>
              <w:t xml:space="preserve">which are </w:t>
            </w:r>
            <w:r w:rsidRPr="00373AE0">
              <w:rPr>
                <w:rFonts w:asciiTheme="majorHAnsi" w:hAnsiTheme="majorHAnsi" w:cstheme="majorHAnsi"/>
              </w:rPr>
              <w:t xml:space="preserve">summarized below. </w:t>
            </w:r>
          </w:p>
          <w:p w14:paraId="7FB27ED5" w14:textId="2B91038F" w:rsidR="00A415E1" w:rsidRDefault="002C4DB2" w:rsidP="00A644BC">
            <w:pPr>
              <w:jc w:val="both"/>
              <w:rPr>
                <w:rFonts w:asciiTheme="majorHAnsi" w:hAnsiTheme="majorHAnsi" w:cstheme="majorHAnsi"/>
              </w:rPr>
            </w:pPr>
            <w:r w:rsidRPr="002C4DB2">
              <w:rPr>
                <w:rFonts w:asciiTheme="minorHAnsi" w:hAnsiTheme="minorHAnsi"/>
              </w:rPr>
              <w:t xml:space="preserve">The </w:t>
            </w:r>
            <w:r w:rsidR="005251D5">
              <w:rPr>
                <w:rFonts w:asciiTheme="minorHAnsi" w:hAnsiTheme="minorHAnsi"/>
              </w:rPr>
              <w:t xml:space="preserve">recent </w:t>
            </w:r>
            <w:r w:rsidR="00C34260" w:rsidRPr="002C4DB2">
              <w:rPr>
                <w:rFonts w:asciiTheme="minorHAnsi" w:hAnsiTheme="minorHAnsi"/>
              </w:rPr>
              <w:t>study</w:t>
            </w:r>
            <w:r w:rsidR="00C34260" w:rsidRPr="002C4DB2">
              <w:rPr>
                <w:rStyle w:val="af"/>
                <w:rFonts w:asciiTheme="minorHAnsi" w:hAnsiTheme="minorHAnsi" w:cs="Arial"/>
                <w:b/>
              </w:rPr>
              <w:footnoteReference w:id="64"/>
            </w:r>
            <w:r w:rsidR="00C34260" w:rsidRPr="002C4DB2">
              <w:rPr>
                <w:rFonts w:asciiTheme="minorHAnsi" w:hAnsiTheme="minorHAnsi"/>
              </w:rPr>
              <w:t xml:space="preserve"> analyzed the country</w:t>
            </w:r>
            <w:r w:rsidR="00665798">
              <w:rPr>
                <w:rFonts w:asciiTheme="minorHAnsi" w:hAnsiTheme="minorHAnsi"/>
              </w:rPr>
              <w:t>’s</w:t>
            </w:r>
            <w:r w:rsidR="00C34260" w:rsidRPr="002C4DB2">
              <w:rPr>
                <w:rFonts w:asciiTheme="minorHAnsi" w:hAnsiTheme="minorHAnsi"/>
              </w:rPr>
              <w:t xml:space="preserve"> situation </w:t>
            </w:r>
            <w:proofErr w:type="gramStart"/>
            <w:r w:rsidR="00C34260" w:rsidRPr="002C4DB2">
              <w:rPr>
                <w:rFonts w:asciiTheme="minorHAnsi" w:hAnsiTheme="minorHAnsi"/>
              </w:rPr>
              <w:t>with regard to</w:t>
            </w:r>
            <w:proofErr w:type="gramEnd"/>
            <w:r w:rsidR="00C34260" w:rsidRPr="002C4DB2">
              <w:rPr>
                <w:rFonts w:asciiTheme="minorHAnsi" w:hAnsiTheme="minorHAnsi"/>
              </w:rPr>
              <w:t xml:space="preserve"> access to TB prevention and treatment services in the context of </w:t>
            </w:r>
            <w:r w:rsidR="00665798">
              <w:rPr>
                <w:rFonts w:asciiTheme="minorHAnsi" w:hAnsiTheme="minorHAnsi"/>
              </w:rPr>
              <w:t xml:space="preserve">the legal environment, gender, </w:t>
            </w:r>
            <w:r w:rsidR="00C34260" w:rsidRPr="002C4DB2">
              <w:rPr>
                <w:rFonts w:asciiTheme="minorHAnsi" w:hAnsiTheme="minorHAnsi"/>
              </w:rPr>
              <w:t>and communities</w:t>
            </w:r>
            <w:r w:rsidR="00E0762D" w:rsidRPr="002C4DB2">
              <w:rPr>
                <w:rFonts w:asciiTheme="minorHAnsi" w:hAnsiTheme="minorHAnsi"/>
              </w:rPr>
              <w:t>.</w:t>
            </w:r>
            <w:r w:rsidR="00C34260" w:rsidRPr="002C4DB2">
              <w:rPr>
                <w:rFonts w:asciiTheme="minorHAnsi" w:hAnsiTheme="minorHAnsi"/>
              </w:rPr>
              <w:t xml:space="preserve"> </w:t>
            </w:r>
            <w:r w:rsidR="00E0762D" w:rsidRPr="002C4DB2">
              <w:rPr>
                <w:rFonts w:asciiTheme="minorHAnsi" w:hAnsiTheme="minorHAnsi"/>
              </w:rPr>
              <w:t>The implement</w:t>
            </w:r>
            <w:r w:rsidR="00EC3503" w:rsidRPr="002C4DB2">
              <w:rPr>
                <w:rFonts w:asciiTheme="minorHAnsi" w:hAnsiTheme="minorHAnsi"/>
              </w:rPr>
              <w:t>i</w:t>
            </w:r>
            <w:r w:rsidR="00853686" w:rsidRPr="002C4DB2">
              <w:rPr>
                <w:rFonts w:asciiTheme="minorHAnsi" w:hAnsiTheme="minorHAnsi"/>
              </w:rPr>
              <w:t xml:space="preserve">ng CSO engaged </w:t>
            </w:r>
            <w:r w:rsidRPr="002C4DB2">
              <w:rPr>
                <w:rFonts w:asciiTheme="minorHAnsi" w:hAnsiTheme="minorHAnsi"/>
              </w:rPr>
              <w:t>internal migrants and PLHIV</w:t>
            </w:r>
            <w:r w:rsidR="00EC3503" w:rsidRPr="002C4DB2">
              <w:rPr>
                <w:rFonts w:asciiTheme="minorHAnsi" w:hAnsiTheme="minorHAnsi"/>
              </w:rPr>
              <w:t xml:space="preserve"> </w:t>
            </w:r>
            <w:r w:rsidR="00E0762D" w:rsidRPr="002C4DB2">
              <w:rPr>
                <w:rFonts w:asciiTheme="minorHAnsi" w:hAnsiTheme="minorHAnsi"/>
              </w:rPr>
              <w:t xml:space="preserve">in qualitative </w:t>
            </w:r>
            <w:r w:rsidR="00E0762D" w:rsidRPr="00656CB0">
              <w:rPr>
                <w:rFonts w:asciiTheme="minorHAnsi" w:hAnsiTheme="minorHAnsi" w:cstheme="minorHAnsi"/>
              </w:rPr>
              <w:t xml:space="preserve">information collection </w:t>
            </w:r>
            <w:r w:rsidR="00EC3503" w:rsidRPr="00656CB0">
              <w:rPr>
                <w:rFonts w:asciiTheme="minorHAnsi" w:hAnsiTheme="minorHAnsi" w:cstheme="minorHAnsi"/>
              </w:rPr>
              <w:t xml:space="preserve">relevant </w:t>
            </w:r>
            <w:r w:rsidR="00853686" w:rsidRPr="00656CB0">
              <w:rPr>
                <w:rFonts w:asciiTheme="minorHAnsi" w:hAnsiTheme="minorHAnsi" w:cstheme="minorHAnsi"/>
              </w:rPr>
              <w:t>to their settings and revealed several barriers these key population groups</w:t>
            </w:r>
            <w:r w:rsidR="00665798">
              <w:rPr>
                <w:rFonts w:asciiTheme="minorHAnsi" w:hAnsiTheme="minorHAnsi" w:cstheme="minorHAnsi"/>
              </w:rPr>
              <w:t xml:space="preserve"> face</w:t>
            </w:r>
            <w:r w:rsidR="00853686" w:rsidRPr="00656CB0">
              <w:rPr>
                <w:rFonts w:asciiTheme="minorHAnsi" w:hAnsiTheme="minorHAnsi" w:cstheme="minorHAnsi"/>
              </w:rPr>
              <w:t xml:space="preserve">. </w:t>
            </w:r>
            <w:r w:rsidR="002618E7" w:rsidRPr="002618E7">
              <w:rPr>
                <w:rFonts w:asciiTheme="minorHAnsi" w:hAnsiTheme="minorHAnsi" w:cstheme="minorHAnsi"/>
              </w:rPr>
              <w:t xml:space="preserve">The results showed that, despite the existence of regulations that do not allow discrimination in any form, discrimination </w:t>
            </w:r>
            <w:r w:rsidR="00A218A8">
              <w:rPr>
                <w:rFonts w:asciiTheme="minorHAnsi" w:hAnsiTheme="minorHAnsi" w:cstheme="minorHAnsi"/>
              </w:rPr>
              <w:t>yet might happen</w:t>
            </w:r>
            <w:r w:rsidR="002618E7" w:rsidRPr="002618E7">
              <w:rPr>
                <w:rFonts w:asciiTheme="minorHAnsi" w:hAnsiTheme="minorHAnsi" w:cstheme="minorHAnsi"/>
              </w:rPr>
              <w:t>.</w:t>
            </w:r>
            <w:r w:rsidR="002618E7">
              <w:rPr>
                <w:rFonts w:asciiTheme="minorHAnsi" w:hAnsiTheme="minorHAnsi" w:cstheme="minorHAnsi"/>
              </w:rPr>
              <w:t xml:space="preserve"> </w:t>
            </w:r>
            <w:r w:rsidRPr="00656CB0">
              <w:rPr>
                <w:rFonts w:asciiTheme="minorHAnsi" w:eastAsia="Times New Roman" w:hAnsiTheme="minorHAnsi" w:cstheme="minorHAnsi"/>
                <w:color w:val="000000"/>
                <w:shd w:val="clear" w:color="auto" w:fill="FFFFFF"/>
              </w:rPr>
              <w:t>Migrant participants shared their accounts of how their TB diagnosis and treatment</w:t>
            </w:r>
            <w:r w:rsidR="00F51467">
              <w:rPr>
                <w:rFonts w:asciiTheme="minorHAnsi" w:eastAsia="Times New Roman" w:hAnsiTheme="minorHAnsi" w:cstheme="minorHAnsi"/>
                <w:color w:val="000000"/>
                <w:shd w:val="clear" w:color="auto" w:fill="FFFFFF"/>
              </w:rPr>
              <w:t>s resulted</w:t>
            </w:r>
            <w:r w:rsidR="00F617F4">
              <w:rPr>
                <w:rFonts w:asciiTheme="minorHAnsi" w:eastAsia="Times New Roman" w:hAnsiTheme="minorHAnsi" w:cstheme="minorHAnsi"/>
                <w:color w:val="000000"/>
                <w:shd w:val="clear" w:color="auto" w:fill="FFFFFF"/>
              </w:rPr>
              <w:t xml:space="preserve"> in safeguarding their </w:t>
            </w:r>
            <w:r w:rsidRPr="00656CB0">
              <w:rPr>
                <w:rFonts w:asciiTheme="minorHAnsi" w:eastAsia="Times New Roman" w:hAnsiTheme="minorHAnsi" w:cstheme="minorHAnsi"/>
                <w:color w:val="000000"/>
                <w:shd w:val="clear" w:color="auto" w:fill="FFFFFF"/>
              </w:rPr>
              <w:t>jobs and housing</w:t>
            </w:r>
            <w:r w:rsidRPr="00656CB0">
              <w:rPr>
                <w:rFonts w:asciiTheme="minorHAnsi" w:hAnsiTheme="minorHAnsi" w:cstheme="minorHAnsi"/>
              </w:rPr>
              <w:t>. L</w:t>
            </w:r>
            <w:r w:rsidR="006C7BE5" w:rsidRPr="00656CB0">
              <w:rPr>
                <w:rFonts w:asciiTheme="minorHAnsi" w:hAnsiTheme="minorHAnsi" w:cstheme="minorHAnsi"/>
              </w:rPr>
              <w:t xml:space="preserve">ack </w:t>
            </w:r>
            <w:r w:rsidRPr="00656CB0">
              <w:rPr>
                <w:rFonts w:asciiTheme="minorHAnsi" w:hAnsiTheme="minorHAnsi" w:cstheme="minorHAnsi"/>
              </w:rPr>
              <w:t xml:space="preserve">of job security led to </w:t>
            </w:r>
            <w:r w:rsidR="00665798">
              <w:rPr>
                <w:rFonts w:asciiTheme="minorHAnsi" w:hAnsiTheme="minorHAnsi" w:cstheme="minorHAnsi"/>
              </w:rPr>
              <w:t xml:space="preserve">a </w:t>
            </w:r>
            <w:r w:rsidRPr="00656CB0">
              <w:rPr>
                <w:rFonts w:asciiTheme="minorHAnsi" w:hAnsiTheme="minorHAnsi" w:cstheme="minorHAnsi"/>
              </w:rPr>
              <w:t xml:space="preserve">delay with </w:t>
            </w:r>
            <w:r w:rsidR="006C7BE5" w:rsidRPr="00656CB0">
              <w:rPr>
                <w:rFonts w:asciiTheme="minorHAnsi" w:hAnsiTheme="minorHAnsi" w:cstheme="minorHAnsi"/>
              </w:rPr>
              <w:t>diagnosis</w:t>
            </w:r>
            <w:r w:rsidR="00656CB0">
              <w:rPr>
                <w:rFonts w:asciiTheme="minorHAnsi" w:hAnsiTheme="minorHAnsi" w:cstheme="minorHAnsi"/>
              </w:rPr>
              <w:t>. D</w:t>
            </w:r>
            <w:r w:rsidR="006C7BE5" w:rsidRPr="00656CB0">
              <w:rPr>
                <w:rFonts w:asciiTheme="minorHAnsi" w:hAnsiTheme="minorHAnsi" w:cstheme="minorHAnsi"/>
              </w:rPr>
              <w:t>iagnostic procedures at the PHC</w:t>
            </w:r>
            <w:r w:rsidRPr="00656CB0">
              <w:rPr>
                <w:rFonts w:asciiTheme="minorHAnsi" w:hAnsiTheme="minorHAnsi" w:cstheme="minorHAnsi"/>
              </w:rPr>
              <w:t xml:space="preserve"> centers required </w:t>
            </w:r>
            <w:r w:rsidR="00F51467">
              <w:rPr>
                <w:rFonts w:asciiTheme="minorHAnsi" w:hAnsiTheme="minorHAnsi" w:cstheme="minorHAnsi"/>
              </w:rPr>
              <w:t>spending</w:t>
            </w:r>
            <w:r w:rsidR="00F617F4">
              <w:rPr>
                <w:rFonts w:asciiTheme="minorHAnsi" w:hAnsiTheme="minorHAnsi" w:cstheme="minorHAnsi"/>
              </w:rPr>
              <w:t xml:space="preserve"> </w:t>
            </w:r>
            <w:r w:rsidR="006C7BE5" w:rsidRPr="00656CB0">
              <w:rPr>
                <w:rFonts w:asciiTheme="minorHAnsi" w:hAnsiTheme="minorHAnsi" w:cstheme="minorHAnsi"/>
              </w:rPr>
              <w:t>a disproportionately long time</w:t>
            </w:r>
            <w:r w:rsidR="00656CB0">
              <w:rPr>
                <w:rFonts w:asciiTheme="minorHAnsi" w:hAnsiTheme="minorHAnsi" w:cstheme="minorHAnsi"/>
              </w:rPr>
              <w:t>.</w:t>
            </w:r>
            <w:r w:rsidR="003A5BC6" w:rsidRPr="00656CB0">
              <w:rPr>
                <w:rFonts w:asciiTheme="minorHAnsi" w:hAnsiTheme="minorHAnsi" w:cstheme="minorHAnsi"/>
              </w:rPr>
              <w:t xml:space="preserve"> </w:t>
            </w:r>
            <w:r w:rsidR="00665798">
              <w:rPr>
                <w:rFonts w:asciiTheme="minorHAnsi" w:hAnsiTheme="minorHAnsi" w:cstheme="minorHAnsi"/>
              </w:rPr>
              <w:t>The c</w:t>
            </w:r>
            <w:r w:rsidR="006C7BE5" w:rsidRPr="00656CB0">
              <w:rPr>
                <w:rFonts w:asciiTheme="minorHAnsi" w:hAnsiTheme="minorHAnsi" w:cstheme="minorHAnsi"/>
              </w:rPr>
              <w:t xml:space="preserve">hances of </w:t>
            </w:r>
            <w:r w:rsidR="003A5BC6" w:rsidRPr="00656CB0">
              <w:rPr>
                <w:rFonts w:asciiTheme="minorHAnsi" w:hAnsiTheme="minorHAnsi" w:cstheme="minorHAnsi"/>
              </w:rPr>
              <w:t>finding work after</w:t>
            </w:r>
            <w:r w:rsidR="006C7BE5" w:rsidRPr="00656CB0">
              <w:rPr>
                <w:rFonts w:asciiTheme="minorHAnsi" w:hAnsiTheme="minorHAnsi" w:cstheme="minorHAnsi"/>
              </w:rPr>
              <w:t xml:space="preserve"> treatment </w:t>
            </w:r>
            <w:r w:rsidR="003A5BC6" w:rsidRPr="00656CB0">
              <w:rPr>
                <w:rFonts w:asciiTheme="minorHAnsi" w:hAnsiTheme="minorHAnsi" w:cstheme="minorHAnsi"/>
              </w:rPr>
              <w:t>of tuberculosis were quite</w:t>
            </w:r>
            <w:r w:rsidR="00656CB0">
              <w:rPr>
                <w:rFonts w:asciiTheme="minorHAnsi" w:hAnsiTheme="minorHAnsi" w:cstheme="minorHAnsi"/>
              </w:rPr>
              <w:t xml:space="preserve"> limited. </w:t>
            </w:r>
            <w:r w:rsidR="00656CB0" w:rsidRPr="00656CB0">
              <w:rPr>
                <w:rFonts w:asciiTheme="minorHAnsi" w:hAnsiTheme="minorHAnsi" w:cstheme="minorHAnsi"/>
              </w:rPr>
              <w:t xml:space="preserve">They expressed worries about how TB stigma might lead to their isolation and hesitated to disclose their TB status. </w:t>
            </w:r>
            <w:r w:rsidR="00F51467">
              <w:rPr>
                <w:rFonts w:asciiTheme="minorHAnsi" w:hAnsiTheme="minorHAnsi" w:cstheme="minorHAnsi"/>
              </w:rPr>
              <w:t xml:space="preserve">As to PLHIV, the delays with </w:t>
            </w:r>
            <w:r w:rsidR="0082466E">
              <w:rPr>
                <w:rFonts w:asciiTheme="minorHAnsi" w:hAnsiTheme="minorHAnsi" w:cstheme="minorHAnsi"/>
              </w:rPr>
              <w:t xml:space="preserve">the </w:t>
            </w:r>
            <w:r w:rsidR="00F51467">
              <w:rPr>
                <w:rFonts w:asciiTheme="minorHAnsi" w:hAnsiTheme="minorHAnsi" w:cstheme="minorHAnsi"/>
              </w:rPr>
              <w:t xml:space="preserve">accurate diagnosis was linked with </w:t>
            </w:r>
            <w:r w:rsidR="00F51467" w:rsidRPr="00F51467">
              <w:rPr>
                <w:rFonts w:asciiTheme="majorHAnsi" w:hAnsiTheme="majorHAnsi" w:cstheme="majorHAnsi"/>
              </w:rPr>
              <w:t xml:space="preserve">the </w:t>
            </w:r>
            <w:r w:rsidR="006C7BE5" w:rsidRPr="00F51467">
              <w:rPr>
                <w:rFonts w:asciiTheme="majorHAnsi" w:hAnsiTheme="majorHAnsi" w:cstheme="majorHAnsi"/>
              </w:rPr>
              <w:t>lack of awareness among PHC</w:t>
            </w:r>
            <w:r w:rsidR="00F51467" w:rsidRPr="00F51467">
              <w:rPr>
                <w:rFonts w:asciiTheme="majorHAnsi" w:hAnsiTheme="majorHAnsi" w:cstheme="majorHAnsi"/>
              </w:rPr>
              <w:t xml:space="preserve"> staff</w:t>
            </w:r>
            <w:r w:rsidR="006C7BE5" w:rsidRPr="00F51467">
              <w:rPr>
                <w:rFonts w:asciiTheme="majorHAnsi" w:hAnsiTheme="majorHAnsi" w:cstheme="majorHAnsi"/>
              </w:rPr>
              <w:t xml:space="preserve"> about HIV/TB</w:t>
            </w:r>
            <w:r w:rsidR="002041A8">
              <w:rPr>
                <w:rFonts w:asciiTheme="majorHAnsi" w:hAnsiTheme="majorHAnsi" w:cstheme="majorHAnsi"/>
              </w:rPr>
              <w:t xml:space="preserve"> co-infection management</w:t>
            </w:r>
            <w:r w:rsidR="006C7BE5" w:rsidRPr="00F51467">
              <w:rPr>
                <w:rFonts w:asciiTheme="majorHAnsi" w:hAnsiTheme="majorHAnsi" w:cstheme="majorHAnsi"/>
              </w:rPr>
              <w:t xml:space="preserve">. People living with HIV experienced the most barriers </w:t>
            </w:r>
            <w:r w:rsidR="00F51467" w:rsidRPr="00F51467">
              <w:rPr>
                <w:rFonts w:asciiTheme="majorHAnsi" w:hAnsiTheme="majorHAnsi" w:cstheme="majorHAnsi"/>
              </w:rPr>
              <w:t xml:space="preserve">linked </w:t>
            </w:r>
            <w:r w:rsidR="006C7BE5" w:rsidRPr="00F51467">
              <w:rPr>
                <w:rFonts w:asciiTheme="majorHAnsi" w:hAnsiTheme="majorHAnsi" w:cstheme="majorHAnsi"/>
              </w:rPr>
              <w:t>to treat</w:t>
            </w:r>
            <w:r w:rsidR="00F51467" w:rsidRPr="00F51467">
              <w:rPr>
                <w:rFonts w:asciiTheme="majorHAnsi" w:hAnsiTheme="majorHAnsi" w:cstheme="majorHAnsi"/>
              </w:rPr>
              <w:t xml:space="preserve">ment adherence and continuation, including </w:t>
            </w:r>
            <w:r w:rsidR="006C7BE5" w:rsidRPr="00F51467">
              <w:rPr>
                <w:rFonts w:asciiTheme="majorHAnsi" w:hAnsiTheme="majorHAnsi" w:cstheme="majorHAnsi"/>
              </w:rPr>
              <w:t>lack of social support servi</w:t>
            </w:r>
            <w:r w:rsidR="00F51467" w:rsidRPr="00F51467">
              <w:rPr>
                <w:rFonts w:asciiTheme="majorHAnsi" w:hAnsiTheme="majorHAnsi" w:cstheme="majorHAnsi"/>
              </w:rPr>
              <w:t>ces and the treatment of side eff</w:t>
            </w:r>
            <w:r w:rsidR="006C7BE5" w:rsidRPr="00F51467">
              <w:rPr>
                <w:rFonts w:asciiTheme="majorHAnsi" w:hAnsiTheme="majorHAnsi" w:cstheme="majorHAnsi"/>
              </w:rPr>
              <w:t xml:space="preserve">ects. Both key populations </w:t>
            </w:r>
            <w:r w:rsidR="00F51467" w:rsidRPr="00F51467">
              <w:rPr>
                <w:rFonts w:asciiTheme="majorHAnsi" w:hAnsiTheme="majorHAnsi" w:cstheme="majorHAnsi"/>
              </w:rPr>
              <w:t xml:space="preserve">cited a lack of </w:t>
            </w:r>
            <w:r w:rsidR="0082466E">
              <w:rPr>
                <w:rFonts w:asciiTheme="majorHAnsi" w:hAnsiTheme="majorHAnsi" w:cstheme="majorHAnsi"/>
              </w:rPr>
              <w:t xml:space="preserve">a </w:t>
            </w:r>
            <w:r w:rsidR="00F51467" w:rsidRPr="00F51467">
              <w:rPr>
                <w:rFonts w:asciiTheme="majorHAnsi" w:hAnsiTheme="majorHAnsi" w:cstheme="majorHAnsi"/>
              </w:rPr>
              <w:t>people-</w:t>
            </w:r>
            <w:r w:rsidR="006C7BE5" w:rsidRPr="00F51467">
              <w:rPr>
                <w:rFonts w:asciiTheme="majorHAnsi" w:hAnsiTheme="majorHAnsi" w:cstheme="majorHAnsi"/>
              </w:rPr>
              <w:t>ce</w:t>
            </w:r>
            <w:r w:rsidR="00F51467" w:rsidRPr="00F51467">
              <w:rPr>
                <w:rFonts w:asciiTheme="majorHAnsi" w:hAnsiTheme="majorHAnsi" w:cstheme="majorHAnsi"/>
              </w:rPr>
              <w:t>ntered approach, which could offe</w:t>
            </w:r>
            <w:r w:rsidR="00F51467">
              <w:rPr>
                <w:rFonts w:asciiTheme="majorHAnsi" w:hAnsiTheme="majorHAnsi" w:cstheme="majorHAnsi"/>
              </w:rPr>
              <w:t xml:space="preserve">r more convenient </w:t>
            </w:r>
            <w:r w:rsidR="002041A8">
              <w:rPr>
                <w:rFonts w:asciiTheme="majorHAnsi" w:hAnsiTheme="majorHAnsi" w:cstheme="majorHAnsi"/>
              </w:rPr>
              <w:t xml:space="preserve">models of </w:t>
            </w:r>
            <w:r w:rsidR="006C7BE5" w:rsidRPr="00F51467">
              <w:rPr>
                <w:rFonts w:asciiTheme="majorHAnsi" w:hAnsiTheme="majorHAnsi" w:cstheme="majorHAnsi"/>
              </w:rPr>
              <w:t>DOT d</w:t>
            </w:r>
            <w:r w:rsidR="006C7BE5" w:rsidRPr="00ED620E">
              <w:rPr>
                <w:rFonts w:asciiTheme="majorHAnsi" w:hAnsiTheme="majorHAnsi" w:cstheme="majorHAnsi"/>
              </w:rPr>
              <w:t>elivery</w:t>
            </w:r>
            <w:r w:rsidR="00F51467" w:rsidRPr="00ED620E">
              <w:rPr>
                <w:rFonts w:asciiTheme="majorHAnsi" w:hAnsiTheme="majorHAnsi" w:cstheme="majorHAnsi"/>
              </w:rPr>
              <w:t xml:space="preserve">. </w:t>
            </w:r>
          </w:p>
          <w:p w14:paraId="12128C0C" w14:textId="10AF3E95" w:rsidR="002041A8" w:rsidRDefault="00ED620E" w:rsidP="00A644BC">
            <w:pPr>
              <w:jc w:val="both"/>
              <w:rPr>
                <w:rFonts w:asciiTheme="majorHAnsi" w:hAnsiTheme="majorHAnsi" w:cstheme="majorHAnsi"/>
              </w:rPr>
            </w:pPr>
            <w:r w:rsidRPr="00ED620E">
              <w:rPr>
                <w:rFonts w:asciiTheme="majorHAnsi" w:hAnsiTheme="majorHAnsi" w:cstheme="majorHAnsi"/>
              </w:rPr>
              <w:t xml:space="preserve">According to the same study </w:t>
            </w:r>
            <w:r w:rsidR="006C7BE5" w:rsidRPr="00ED620E">
              <w:rPr>
                <w:rFonts w:asciiTheme="majorHAnsi" w:hAnsiTheme="majorHAnsi" w:cstheme="majorHAnsi"/>
              </w:rPr>
              <w:t xml:space="preserve">women, </w:t>
            </w:r>
            <w:r w:rsidRPr="00ED620E">
              <w:rPr>
                <w:rFonts w:asciiTheme="majorHAnsi" w:hAnsiTheme="majorHAnsi" w:cstheme="majorHAnsi"/>
              </w:rPr>
              <w:t>those from key populations were more oft</w:t>
            </w:r>
            <w:r w:rsidR="006C7BE5" w:rsidRPr="00ED620E">
              <w:rPr>
                <w:rFonts w:asciiTheme="majorHAnsi" w:hAnsiTheme="majorHAnsi" w:cstheme="majorHAnsi"/>
              </w:rPr>
              <w:t>en stigmatized and discriminated.</w:t>
            </w:r>
            <w:r w:rsidR="006C7BE5" w:rsidRPr="006C7BE5">
              <w:rPr>
                <w:rFonts w:ascii="PFDasGroteskPro" w:hAnsi="PFDasGroteskPro" w:cs="Times New Roman"/>
                <w:sz w:val="20"/>
                <w:szCs w:val="20"/>
              </w:rPr>
              <w:t xml:space="preserve"> </w:t>
            </w:r>
            <w:r w:rsidRPr="00ED620E">
              <w:rPr>
                <w:rFonts w:asciiTheme="majorHAnsi" w:hAnsiTheme="majorHAnsi" w:cstheme="majorHAnsi"/>
              </w:rPr>
              <w:t xml:space="preserve">They may delay diagnosis </w:t>
            </w:r>
            <w:r w:rsidR="006C7BE5" w:rsidRPr="00ED620E">
              <w:rPr>
                <w:rFonts w:asciiTheme="majorHAnsi" w:hAnsiTheme="majorHAnsi" w:cstheme="majorHAnsi"/>
              </w:rPr>
              <w:t>b</w:t>
            </w:r>
            <w:r w:rsidRPr="00ED620E">
              <w:rPr>
                <w:rFonts w:asciiTheme="majorHAnsi" w:hAnsiTheme="majorHAnsi" w:cstheme="majorHAnsi"/>
              </w:rPr>
              <w:t>ecause of a lack of childcare or quit the</w:t>
            </w:r>
            <w:r w:rsidR="006C7BE5" w:rsidRPr="00ED620E">
              <w:rPr>
                <w:rFonts w:asciiTheme="majorHAnsi" w:hAnsiTheme="majorHAnsi" w:cstheme="majorHAnsi"/>
              </w:rPr>
              <w:t xml:space="preserve"> treatment due to pres</w:t>
            </w:r>
            <w:r w:rsidRPr="00ED620E">
              <w:rPr>
                <w:rFonts w:asciiTheme="majorHAnsi" w:hAnsiTheme="majorHAnsi" w:cstheme="majorHAnsi"/>
              </w:rPr>
              <w:t xml:space="preserve">sure from their husbands, </w:t>
            </w:r>
            <w:r w:rsidR="006C7BE5" w:rsidRPr="00ED620E">
              <w:rPr>
                <w:rFonts w:asciiTheme="majorHAnsi" w:hAnsiTheme="majorHAnsi" w:cstheme="majorHAnsi"/>
              </w:rPr>
              <w:t>partners</w:t>
            </w:r>
            <w:r w:rsidR="0082466E">
              <w:rPr>
                <w:rFonts w:asciiTheme="majorHAnsi" w:hAnsiTheme="majorHAnsi" w:cstheme="majorHAnsi"/>
              </w:rPr>
              <w:t>,</w:t>
            </w:r>
            <w:r w:rsidR="006C7BE5" w:rsidRPr="00ED620E">
              <w:rPr>
                <w:rFonts w:asciiTheme="majorHAnsi" w:hAnsiTheme="majorHAnsi" w:cstheme="majorHAnsi"/>
              </w:rPr>
              <w:t xml:space="preserve"> </w:t>
            </w:r>
            <w:r w:rsidRPr="00A77FA8">
              <w:rPr>
                <w:rFonts w:asciiTheme="majorHAnsi" w:hAnsiTheme="majorHAnsi" w:cstheme="majorHAnsi"/>
              </w:rPr>
              <w:t>and family</w:t>
            </w:r>
            <w:r w:rsidR="006C7BE5" w:rsidRPr="00A77FA8">
              <w:rPr>
                <w:rFonts w:asciiTheme="majorHAnsi" w:hAnsiTheme="majorHAnsi" w:cstheme="majorHAnsi"/>
              </w:rPr>
              <w:t>.</w:t>
            </w:r>
            <w:r w:rsidR="006C7BE5" w:rsidRPr="00A77FA8">
              <w:rPr>
                <w:rFonts w:ascii="PFDasGroteskPro" w:hAnsi="PFDasGroteskPro" w:cs="Times New Roman"/>
              </w:rPr>
              <w:t xml:space="preserve"> </w:t>
            </w:r>
            <w:r w:rsidR="00A77FA8" w:rsidRPr="00A77FA8">
              <w:rPr>
                <w:rFonts w:asciiTheme="majorHAnsi" w:hAnsiTheme="majorHAnsi" w:cstheme="majorHAnsi"/>
              </w:rPr>
              <w:t>M</w:t>
            </w:r>
            <w:r w:rsidR="006C7BE5" w:rsidRPr="00A77FA8">
              <w:rPr>
                <w:rFonts w:asciiTheme="majorHAnsi" w:hAnsiTheme="majorHAnsi" w:cstheme="majorHAnsi"/>
              </w:rPr>
              <w:t>en</w:t>
            </w:r>
            <w:r w:rsidR="0082466E">
              <w:rPr>
                <w:rFonts w:asciiTheme="majorHAnsi" w:hAnsiTheme="majorHAnsi" w:cstheme="majorHAnsi"/>
              </w:rPr>
              <w:t>,</w:t>
            </w:r>
            <w:r w:rsidR="006C7BE5" w:rsidRPr="00A77FA8">
              <w:rPr>
                <w:rFonts w:asciiTheme="majorHAnsi" w:hAnsiTheme="majorHAnsi" w:cstheme="majorHAnsi"/>
              </w:rPr>
              <w:t xml:space="preserve"> in general</w:t>
            </w:r>
            <w:r w:rsidR="0082466E">
              <w:rPr>
                <w:rFonts w:asciiTheme="majorHAnsi" w:hAnsiTheme="majorHAnsi" w:cstheme="majorHAnsi"/>
              </w:rPr>
              <w:t>,</w:t>
            </w:r>
            <w:r w:rsidR="006C7BE5" w:rsidRPr="00A77FA8">
              <w:rPr>
                <w:rFonts w:asciiTheme="majorHAnsi" w:hAnsiTheme="majorHAnsi" w:cstheme="majorHAnsi"/>
              </w:rPr>
              <w:t xml:space="preserve"> tend to delay </w:t>
            </w:r>
            <w:r w:rsidR="00A77FA8" w:rsidRPr="00A77FA8">
              <w:rPr>
                <w:rFonts w:asciiTheme="majorHAnsi" w:hAnsiTheme="majorHAnsi" w:cstheme="majorHAnsi"/>
              </w:rPr>
              <w:t xml:space="preserve">with </w:t>
            </w:r>
            <w:r w:rsidR="006C7BE5" w:rsidRPr="00A77FA8">
              <w:rPr>
                <w:rFonts w:asciiTheme="majorHAnsi" w:hAnsiTheme="majorHAnsi" w:cstheme="majorHAnsi"/>
              </w:rPr>
              <w:t>TB</w:t>
            </w:r>
            <w:r w:rsidR="00A77FA8" w:rsidRPr="00A77FA8">
              <w:rPr>
                <w:rFonts w:asciiTheme="majorHAnsi" w:hAnsiTheme="majorHAnsi" w:cstheme="majorHAnsi"/>
              </w:rPr>
              <w:t xml:space="preserve"> diagnosis or try to self-medicate due</w:t>
            </w:r>
            <w:r w:rsidR="006C7BE5" w:rsidRPr="00A77FA8">
              <w:rPr>
                <w:rFonts w:asciiTheme="majorHAnsi" w:hAnsiTheme="majorHAnsi" w:cstheme="majorHAnsi"/>
              </w:rPr>
              <w:t xml:space="preserve"> </w:t>
            </w:r>
            <w:r w:rsidR="0082466E">
              <w:rPr>
                <w:rFonts w:asciiTheme="majorHAnsi" w:hAnsiTheme="majorHAnsi" w:cstheme="majorHAnsi"/>
              </w:rPr>
              <w:t xml:space="preserve">to </w:t>
            </w:r>
            <w:r w:rsidR="006C7BE5" w:rsidRPr="00A77FA8">
              <w:rPr>
                <w:rFonts w:asciiTheme="majorHAnsi" w:hAnsiTheme="majorHAnsi" w:cstheme="majorHAnsi"/>
              </w:rPr>
              <w:t>a lack of job security</w:t>
            </w:r>
            <w:r w:rsidR="00A77FA8" w:rsidRPr="00A77FA8">
              <w:rPr>
                <w:rFonts w:asciiTheme="majorHAnsi" w:hAnsiTheme="majorHAnsi" w:cstheme="majorHAnsi"/>
              </w:rPr>
              <w:t>. Moreover, which is more often among men, alcohol or drug dependencies may lead to</w:t>
            </w:r>
            <w:r w:rsidR="006C7BE5" w:rsidRPr="00A77FA8">
              <w:rPr>
                <w:rFonts w:asciiTheme="majorHAnsi" w:hAnsiTheme="majorHAnsi" w:cstheme="majorHAnsi"/>
              </w:rPr>
              <w:t xml:space="preserve"> TB treatment adherence challenges. </w:t>
            </w:r>
          </w:p>
          <w:p w14:paraId="6B452542" w14:textId="7B622517" w:rsidR="004A6E97" w:rsidRDefault="005251D5" w:rsidP="00A644BC">
            <w:pPr>
              <w:jc w:val="both"/>
              <w:rPr>
                <w:rFonts w:asciiTheme="majorHAnsi" w:hAnsiTheme="majorHAnsi" w:cs="Arial"/>
              </w:rPr>
            </w:pPr>
            <w:r>
              <w:rPr>
                <w:rFonts w:asciiTheme="majorHAnsi" w:hAnsiTheme="majorHAnsi"/>
              </w:rPr>
              <w:t>The assessment fin</w:t>
            </w:r>
            <w:r w:rsidR="0082466E">
              <w:rPr>
                <w:rFonts w:asciiTheme="majorHAnsi" w:hAnsiTheme="majorHAnsi"/>
              </w:rPr>
              <w:t xml:space="preserve">dings also highlighted issues </w:t>
            </w:r>
            <w:r>
              <w:rPr>
                <w:rFonts w:asciiTheme="majorHAnsi" w:hAnsiTheme="majorHAnsi"/>
              </w:rPr>
              <w:t>related to</w:t>
            </w:r>
            <w:r w:rsidR="000B5DDB">
              <w:rPr>
                <w:rFonts w:asciiTheme="majorHAnsi" w:hAnsiTheme="majorHAnsi"/>
              </w:rPr>
              <w:t xml:space="preserve"> </w:t>
            </w:r>
            <w:r>
              <w:rPr>
                <w:rFonts w:asciiTheme="majorHAnsi" w:hAnsiTheme="majorHAnsi"/>
              </w:rPr>
              <w:t xml:space="preserve">enrollment in a PHC </w:t>
            </w:r>
            <w:r w:rsidR="00706A12">
              <w:rPr>
                <w:rFonts w:asciiTheme="majorHAnsi" w:hAnsiTheme="majorHAnsi"/>
              </w:rPr>
              <w:t>facility. T</w:t>
            </w:r>
            <w:r w:rsidR="00D455CA">
              <w:rPr>
                <w:rFonts w:asciiTheme="majorHAnsi" w:hAnsiTheme="majorHAnsi"/>
              </w:rPr>
              <w:t xml:space="preserve">here are officially approved procedures </w:t>
            </w:r>
            <w:r w:rsidR="00706A12">
              <w:rPr>
                <w:rFonts w:asciiTheme="majorHAnsi" w:hAnsiTheme="majorHAnsi"/>
              </w:rPr>
              <w:t xml:space="preserve">in the country </w:t>
            </w:r>
            <w:r w:rsidR="0082466E">
              <w:rPr>
                <w:rFonts w:asciiTheme="majorHAnsi" w:hAnsiTheme="majorHAnsi"/>
              </w:rPr>
              <w:t xml:space="preserve">for population’s </w:t>
            </w:r>
            <w:r w:rsidR="00D455CA">
              <w:rPr>
                <w:rFonts w:asciiTheme="majorHAnsi" w:hAnsiTheme="majorHAnsi"/>
              </w:rPr>
              <w:t>attachment</w:t>
            </w:r>
            <w:r w:rsidR="00717890">
              <w:rPr>
                <w:rFonts w:asciiTheme="majorHAnsi" w:hAnsiTheme="majorHAnsi"/>
              </w:rPr>
              <w:t xml:space="preserve"> to the PHC center</w:t>
            </w:r>
            <w:r w:rsidR="00D455CA">
              <w:rPr>
                <w:rFonts w:asciiTheme="majorHAnsi" w:hAnsiTheme="majorHAnsi"/>
              </w:rPr>
              <w:t xml:space="preserve"> based on </w:t>
            </w:r>
            <w:r w:rsidR="00D47D12">
              <w:rPr>
                <w:rFonts w:asciiTheme="majorHAnsi" w:hAnsiTheme="majorHAnsi"/>
              </w:rPr>
              <w:t xml:space="preserve">the </w:t>
            </w:r>
            <w:r w:rsidR="00D455CA">
              <w:rPr>
                <w:rFonts w:asciiTheme="majorHAnsi" w:hAnsiTheme="majorHAnsi"/>
              </w:rPr>
              <w:t>identity document</w:t>
            </w:r>
            <w:r w:rsidR="00717890">
              <w:rPr>
                <w:rFonts w:asciiTheme="majorHAnsi" w:hAnsiTheme="majorHAnsi"/>
              </w:rPr>
              <w:t>, entitling them to</w:t>
            </w:r>
            <w:r w:rsidR="00714A10">
              <w:rPr>
                <w:rFonts w:asciiTheme="majorHAnsi" w:hAnsiTheme="majorHAnsi"/>
              </w:rPr>
              <w:t xml:space="preserve"> </w:t>
            </w:r>
            <w:r w:rsidR="00D47D12">
              <w:rPr>
                <w:rFonts w:asciiTheme="majorHAnsi" w:hAnsiTheme="majorHAnsi"/>
              </w:rPr>
              <w:t xml:space="preserve">the </w:t>
            </w:r>
            <w:r w:rsidR="00714A10">
              <w:rPr>
                <w:rFonts w:asciiTheme="majorHAnsi" w:hAnsiTheme="majorHAnsi"/>
              </w:rPr>
              <w:t xml:space="preserve">state-guaranteed volume of </w:t>
            </w:r>
            <w:r w:rsidR="00717890">
              <w:rPr>
                <w:rFonts w:asciiTheme="majorHAnsi" w:hAnsiTheme="majorHAnsi"/>
              </w:rPr>
              <w:t>free medical care.</w:t>
            </w:r>
            <w:r w:rsidR="00714A10">
              <w:rPr>
                <w:rFonts w:asciiTheme="majorHAnsi" w:hAnsiTheme="majorHAnsi"/>
              </w:rPr>
              <w:t xml:space="preserve"> </w:t>
            </w:r>
            <w:r w:rsidR="00717890">
              <w:rPr>
                <w:rFonts w:asciiTheme="majorHAnsi" w:hAnsiTheme="majorHAnsi" w:cs="Arial"/>
              </w:rPr>
              <w:t>T</w:t>
            </w:r>
            <w:r w:rsidR="000B5DDB">
              <w:rPr>
                <w:rFonts w:asciiTheme="majorHAnsi" w:hAnsiTheme="majorHAnsi" w:cs="Arial"/>
              </w:rPr>
              <w:t>he regional health d</w:t>
            </w:r>
            <w:r w:rsidR="00D47D12">
              <w:rPr>
                <w:rFonts w:asciiTheme="majorHAnsi" w:hAnsiTheme="majorHAnsi" w:cs="Arial"/>
              </w:rPr>
              <w:t>epartments support refugees</w:t>
            </w:r>
            <w:r w:rsidR="00D455CA" w:rsidRPr="00E27FCC">
              <w:rPr>
                <w:rFonts w:asciiTheme="majorHAnsi" w:hAnsiTheme="majorHAnsi" w:cs="Arial"/>
              </w:rPr>
              <w:t xml:space="preserve"> by defining the healthcare </w:t>
            </w:r>
            <w:proofErr w:type="gramStart"/>
            <w:r w:rsidR="00D455CA" w:rsidRPr="00E27FCC">
              <w:rPr>
                <w:rFonts w:asciiTheme="majorHAnsi" w:hAnsiTheme="majorHAnsi" w:cs="Arial"/>
              </w:rPr>
              <w:t>provider, and</w:t>
            </w:r>
            <w:proofErr w:type="gramEnd"/>
            <w:r w:rsidR="00D455CA" w:rsidRPr="00E27FCC">
              <w:rPr>
                <w:rFonts w:asciiTheme="majorHAnsi" w:hAnsiTheme="majorHAnsi" w:cs="Arial"/>
              </w:rPr>
              <w:t xml:space="preserve"> ensuring that refugees and asylum seekers are registered and have access to services.</w:t>
            </w:r>
            <w:r w:rsidR="00717890">
              <w:rPr>
                <w:rFonts w:asciiTheme="majorHAnsi" w:hAnsiTheme="majorHAnsi" w:cs="Arial"/>
              </w:rPr>
              <w:t xml:space="preserve"> P</w:t>
            </w:r>
            <w:r w:rsidR="00D455CA">
              <w:rPr>
                <w:rFonts w:asciiTheme="majorHAnsi" w:hAnsiTheme="majorHAnsi" w:cs="Arial"/>
              </w:rPr>
              <w:t xml:space="preserve">er bilateral agreements signed with CIS countries, legal migrants have access to the </w:t>
            </w:r>
            <w:r w:rsidR="000B5DDB">
              <w:rPr>
                <w:rFonts w:asciiTheme="majorHAnsi" w:hAnsiTheme="majorHAnsi" w:cs="Arial"/>
              </w:rPr>
              <w:t xml:space="preserve">full spectrum of </w:t>
            </w:r>
            <w:r w:rsidR="00717890">
              <w:rPr>
                <w:rFonts w:asciiTheme="majorHAnsi" w:hAnsiTheme="majorHAnsi" w:cs="Arial"/>
              </w:rPr>
              <w:t>emergency and primary</w:t>
            </w:r>
            <w:r w:rsidR="00D455CA">
              <w:rPr>
                <w:rFonts w:asciiTheme="majorHAnsi" w:hAnsiTheme="majorHAnsi" w:cs="Arial"/>
              </w:rPr>
              <w:t xml:space="preserve"> care. The situation of undocumented migrants and their </w:t>
            </w:r>
            <w:r w:rsidR="00C07935">
              <w:rPr>
                <w:rFonts w:asciiTheme="majorHAnsi" w:hAnsiTheme="majorHAnsi" w:cs="Arial"/>
              </w:rPr>
              <w:t>family members</w:t>
            </w:r>
            <w:r w:rsidR="00D455CA">
              <w:rPr>
                <w:rFonts w:asciiTheme="majorHAnsi" w:hAnsiTheme="majorHAnsi" w:cs="Arial"/>
              </w:rPr>
              <w:t xml:space="preserve"> requiring healthcare services at the ambulatory-policlinic level</w:t>
            </w:r>
            <w:r w:rsidR="002041A8">
              <w:rPr>
                <w:rFonts w:asciiTheme="majorHAnsi" w:hAnsiTheme="majorHAnsi" w:cs="Arial"/>
              </w:rPr>
              <w:t xml:space="preserve"> is being</w:t>
            </w:r>
            <w:r w:rsidR="00D455CA">
              <w:rPr>
                <w:rFonts w:asciiTheme="majorHAnsi" w:hAnsiTheme="majorHAnsi" w:cs="Arial"/>
              </w:rPr>
              <w:t xml:space="preserve"> addressed</w:t>
            </w:r>
            <w:r w:rsidR="00D47D12">
              <w:rPr>
                <w:rFonts w:asciiTheme="majorHAnsi" w:hAnsiTheme="majorHAnsi" w:cs="Arial"/>
              </w:rPr>
              <w:t xml:space="preserve"> at the community level; </w:t>
            </w:r>
            <w:proofErr w:type="gramStart"/>
            <w:r w:rsidR="00D47D12">
              <w:rPr>
                <w:rFonts w:asciiTheme="majorHAnsi" w:hAnsiTheme="majorHAnsi" w:cs="Arial"/>
              </w:rPr>
              <w:t>however</w:t>
            </w:r>
            <w:proofErr w:type="gramEnd"/>
            <w:r w:rsidR="002041A8">
              <w:rPr>
                <w:rFonts w:asciiTheme="majorHAnsi" w:hAnsiTheme="majorHAnsi" w:cs="Arial"/>
              </w:rPr>
              <w:t xml:space="preserve"> challenges remain. </w:t>
            </w:r>
          </w:p>
          <w:p w14:paraId="62DCAAF7" w14:textId="10EF4559" w:rsidR="00665798" w:rsidRDefault="00D47D12" w:rsidP="00A644BC">
            <w:pPr>
              <w:jc w:val="both"/>
              <w:rPr>
                <w:rFonts w:asciiTheme="majorHAnsi" w:hAnsiTheme="majorHAnsi" w:cstheme="majorHAnsi"/>
              </w:rPr>
            </w:pPr>
            <w:r>
              <w:rPr>
                <w:rFonts w:asciiTheme="majorHAnsi" w:hAnsiTheme="majorHAnsi" w:cs="Arial"/>
              </w:rPr>
              <w:t>There was a</w:t>
            </w:r>
            <w:r w:rsidR="006C7BE5" w:rsidRPr="00714A10">
              <w:rPr>
                <w:rFonts w:asciiTheme="majorHAnsi" w:hAnsiTheme="majorHAnsi" w:cs="Arial"/>
              </w:rPr>
              <w:t xml:space="preserve"> limited awareness about </w:t>
            </w:r>
            <w:r>
              <w:rPr>
                <w:rFonts w:asciiTheme="majorHAnsi" w:hAnsiTheme="majorHAnsi" w:cs="Arial"/>
              </w:rPr>
              <w:t xml:space="preserve">the </w:t>
            </w:r>
            <w:r w:rsidR="006C7BE5" w:rsidRPr="00714A10">
              <w:rPr>
                <w:rFonts w:asciiTheme="majorHAnsi" w:hAnsiTheme="majorHAnsi" w:cs="Arial"/>
              </w:rPr>
              <w:t>availability of social support</w:t>
            </w:r>
            <w:r w:rsidR="004A6E97">
              <w:rPr>
                <w:rFonts w:asciiTheme="majorHAnsi" w:hAnsiTheme="majorHAnsi" w:cs="Arial"/>
              </w:rPr>
              <w:t xml:space="preserve"> </w:t>
            </w:r>
            <w:r w:rsidR="009F4815">
              <w:rPr>
                <w:rFonts w:asciiTheme="majorHAnsi" w:hAnsiTheme="majorHAnsi" w:cs="Arial"/>
              </w:rPr>
              <w:t xml:space="preserve">schemes </w:t>
            </w:r>
            <w:r w:rsidR="004A6E97">
              <w:rPr>
                <w:rFonts w:asciiTheme="majorHAnsi" w:hAnsiTheme="majorHAnsi" w:cs="Arial"/>
              </w:rPr>
              <w:t>among respondents</w:t>
            </w:r>
            <w:r w:rsidR="004A6E97" w:rsidRPr="00714A10">
              <w:rPr>
                <w:rFonts w:asciiTheme="majorHAnsi" w:hAnsiTheme="majorHAnsi" w:cs="Arial"/>
              </w:rPr>
              <w:t xml:space="preserve"> </w:t>
            </w:r>
            <w:r w:rsidR="006C7BE5" w:rsidRPr="00714A10">
              <w:rPr>
                <w:rFonts w:asciiTheme="majorHAnsi" w:hAnsiTheme="majorHAnsi" w:cs="Arial"/>
              </w:rPr>
              <w:t xml:space="preserve">and </w:t>
            </w:r>
            <w:r w:rsidR="009F4815">
              <w:rPr>
                <w:rFonts w:asciiTheme="majorHAnsi" w:hAnsiTheme="majorHAnsi" w:cs="Arial"/>
              </w:rPr>
              <w:t xml:space="preserve">the PHC </w:t>
            </w:r>
            <w:r w:rsidR="009F4815" w:rsidRPr="00714A10">
              <w:rPr>
                <w:rFonts w:asciiTheme="majorHAnsi" w:hAnsiTheme="majorHAnsi" w:cs="Arial"/>
              </w:rPr>
              <w:t>sta</w:t>
            </w:r>
            <w:r w:rsidR="009F4815">
              <w:rPr>
                <w:rFonts w:asciiTheme="majorHAnsi" w:hAnsiTheme="majorHAnsi" w:cs="Arial"/>
              </w:rPr>
              <w:t>ff</w:t>
            </w:r>
            <w:r w:rsidR="009F4815" w:rsidRPr="00714A10">
              <w:rPr>
                <w:rFonts w:asciiTheme="majorHAnsi" w:hAnsiTheme="majorHAnsi" w:cs="Arial"/>
              </w:rPr>
              <w:t xml:space="preserve"> usually does</w:t>
            </w:r>
            <w:r w:rsidR="006C7BE5" w:rsidRPr="00714A10">
              <w:rPr>
                <w:rFonts w:asciiTheme="majorHAnsi" w:hAnsiTheme="majorHAnsi" w:cs="Arial"/>
              </w:rPr>
              <w:t xml:space="preserve"> not provide patients with such information. Those </w:t>
            </w:r>
            <w:r w:rsidR="009F4815" w:rsidRPr="00714A10">
              <w:rPr>
                <w:rFonts w:asciiTheme="majorHAnsi" w:hAnsiTheme="majorHAnsi" w:cs="Arial"/>
              </w:rPr>
              <w:t>patients,</w:t>
            </w:r>
            <w:r w:rsidR="006C7BE5" w:rsidRPr="00714A10">
              <w:rPr>
                <w:rFonts w:asciiTheme="majorHAnsi" w:hAnsiTheme="majorHAnsi" w:cs="Arial"/>
              </w:rPr>
              <w:t xml:space="preserve"> who attempted accessing social support, found the process very bureaucratic. The absence of one of the many required documents </w:t>
            </w:r>
            <w:r w:rsidR="009F4815">
              <w:rPr>
                <w:rFonts w:asciiTheme="majorHAnsi" w:hAnsiTheme="majorHAnsi" w:cs="Arial"/>
              </w:rPr>
              <w:t>might be ground</w:t>
            </w:r>
            <w:r w:rsidR="006C7BE5" w:rsidRPr="00714A10">
              <w:rPr>
                <w:rFonts w:asciiTheme="majorHAnsi" w:hAnsiTheme="majorHAnsi" w:cs="Arial"/>
              </w:rPr>
              <w:t xml:space="preserve"> for </w:t>
            </w:r>
            <w:r w:rsidR="009F4815">
              <w:rPr>
                <w:rFonts w:asciiTheme="majorHAnsi" w:hAnsiTheme="majorHAnsi" w:cs="Arial"/>
              </w:rPr>
              <w:t xml:space="preserve">support </w:t>
            </w:r>
            <w:r w:rsidR="006C7BE5" w:rsidRPr="00714A10">
              <w:rPr>
                <w:rFonts w:asciiTheme="majorHAnsi" w:hAnsiTheme="majorHAnsi" w:cs="Arial"/>
              </w:rPr>
              <w:t xml:space="preserve">refusal. According to the </w:t>
            </w:r>
            <w:r w:rsidR="005F4F02">
              <w:rPr>
                <w:rFonts w:asciiTheme="majorHAnsi" w:hAnsiTheme="majorHAnsi" w:cs="Arial"/>
              </w:rPr>
              <w:t>same study,</w:t>
            </w:r>
            <w:r w:rsidR="006C7BE5" w:rsidRPr="00714A10">
              <w:rPr>
                <w:rFonts w:asciiTheme="majorHAnsi" w:hAnsiTheme="majorHAnsi" w:cs="Arial"/>
              </w:rPr>
              <w:t xml:space="preserve"> feelings of shame, fear and guilt caused </w:t>
            </w:r>
            <w:r w:rsidR="006C7BE5" w:rsidRPr="00B73441">
              <w:rPr>
                <w:rFonts w:asciiTheme="majorHAnsi" w:hAnsiTheme="majorHAnsi" w:cstheme="majorHAnsi"/>
              </w:rPr>
              <w:t>by self-stigma a</w:t>
            </w:r>
            <w:r>
              <w:rPr>
                <w:rFonts w:asciiTheme="majorHAnsi" w:hAnsiTheme="majorHAnsi" w:cstheme="majorHAnsi"/>
              </w:rPr>
              <w:t>re key barriers to seeking care</w:t>
            </w:r>
            <w:r w:rsidR="006C7BE5" w:rsidRPr="00B73441">
              <w:rPr>
                <w:rFonts w:asciiTheme="majorHAnsi" w:hAnsiTheme="majorHAnsi" w:cstheme="majorHAnsi"/>
              </w:rPr>
              <w:t xml:space="preserve"> and lead to their delayed diagnosis. Due to the time and travel for facility-based DOT, patients reported running risks of losing their jobs, being expelled from a university, or having family problems. </w:t>
            </w:r>
          </w:p>
          <w:p w14:paraId="5B2C0787" w14:textId="5DD8E1ED" w:rsidR="0018510B" w:rsidRDefault="006C7BE5" w:rsidP="00A644BC">
            <w:pPr>
              <w:jc w:val="both"/>
              <w:rPr>
                <w:rFonts w:asciiTheme="majorHAnsi" w:hAnsiTheme="majorHAnsi" w:cstheme="majorHAnsi"/>
              </w:rPr>
            </w:pPr>
            <w:r w:rsidRPr="00B73441">
              <w:rPr>
                <w:rFonts w:asciiTheme="majorHAnsi" w:hAnsiTheme="majorHAnsi" w:cstheme="majorHAnsi"/>
              </w:rPr>
              <w:t>Although</w:t>
            </w:r>
            <w:r w:rsidR="00840B6F">
              <w:rPr>
                <w:rFonts w:asciiTheme="majorHAnsi" w:hAnsiTheme="majorHAnsi" w:cstheme="majorHAnsi"/>
              </w:rPr>
              <w:t xml:space="preserve"> the rollout of VS</w:t>
            </w:r>
            <w:r w:rsidRPr="00B73441">
              <w:rPr>
                <w:rFonts w:asciiTheme="majorHAnsi" w:hAnsiTheme="majorHAnsi" w:cstheme="majorHAnsi"/>
              </w:rPr>
              <w:t>T in Kazakhstan was in</w:t>
            </w:r>
            <w:r w:rsidR="00B73441" w:rsidRPr="00B73441">
              <w:rPr>
                <w:rFonts w:asciiTheme="majorHAnsi" w:hAnsiTheme="majorHAnsi" w:cstheme="majorHAnsi"/>
              </w:rPr>
              <w:t>itiated</w:t>
            </w:r>
            <w:r w:rsidRPr="00B73441">
              <w:rPr>
                <w:rFonts w:asciiTheme="majorHAnsi" w:hAnsiTheme="majorHAnsi" w:cstheme="majorHAnsi"/>
              </w:rPr>
              <w:t xml:space="preserve"> early </w:t>
            </w:r>
            <w:r w:rsidR="003B7F22">
              <w:rPr>
                <w:rFonts w:asciiTheme="majorHAnsi" w:hAnsiTheme="majorHAnsi" w:cstheme="majorHAnsi"/>
              </w:rPr>
              <w:t xml:space="preserve">in </w:t>
            </w:r>
            <w:r w:rsidRPr="00B73441">
              <w:rPr>
                <w:rFonts w:asciiTheme="majorHAnsi" w:hAnsiTheme="majorHAnsi" w:cstheme="majorHAnsi"/>
              </w:rPr>
              <w:t>June 2020</w:t>
            </w:r>
            <w:r w:rsidR="00B73441" w:rsidRPr="00B73441">
              <w:rPr>
                <w:rFonts w:asciiTheme="majorHAnsi" w:hAnsiTheme="majorHAnsi" w:cstheme="majorHAnsi"/>
              </w:rPr>
              <w:t xml:space="preserve"> </w:t>
            </w:r>
            <w:r w:rsidR="003B7F22">
              <w:rPr>
                <w:rFonts w:asciiTheme="majorHAnsi" w:hAnsiTheme="majorHAnsi" w:cstheme="majorHAnsi"/>
              </w:rPr>
              <w:t>to reflect</w:t>
            </w:r>
            <w:r w:rsidR="00B73441" w:rsidRPr="00B73441">
              <w:rPr>
                <w:rFonts w:asciiTheme="majorHAnsi" w:hAnsiTheme="majorHAnsi" w:cstheme="majorHAnsi"/>
              </w:rPr>
              <w:t xml:space="preserve"> on the situation with COVID-19</w:t>
            </w:r>
            <w:r w:rsidRPr="00B73441">
              <w:rPr>
                <w:rFonts w:asciiTheme="majorHAnsi" w:hAnsiTheme="majorHAnsi" w:cstheme="majorHAnsi"/>
              </w:rPr>
              <w:t xml:space="preserve">, </w:t>
            </w:r>
            <w:r w:rsidR="00B73441">
              <w:rPr>
                <w:rFonts w:asciiTheme="majorHAnsi" w:hAnsiTheme="majorHAnsi" w:cstheme="majorHAnsi"/>
              </w:rPr>
              <w:t>the video-support treatment</w:t>
            </w:r>
            <w:r w:rsidRPr="00B73441">
              <w:rPr>
                <w:rFonts w:asciiTheme="majorHAnsi" w:hAnsiTheme="majorHAnsi" w:cstheme="majorHAnsi"/>
              </w:rPr>
              <w:t xml:space="preserve"> options </w:t>
            </w:r>
            <w:r w:rsidR="003B7F22">
              <w:rPr>
                <w:rFonts w:asciiTheme="majorHAnsi" w:hAnsiTheme="majorHAnsi" w:cstheme="majorHAnsi"/>
              </w:rPr>
              <w:t xml:space="preserve">already </w:t>
            </w:r>
            <w:r w:rsidRPr="00B73441">
              <w:rPr>
                <w:rFonts w:asciiTheme="majorHAnsi" w:hAnsiTheme="majorHAnsi" w:cstheme="majorHAnsi"/>
              </w:rPr>
              <w:t>were available before.</w:t>
            </w:r>
            <w:r w:rsidRPr="006C7BE5">
              <w:rPr>
                <w:rFonts w:ascii="PFDasGroteskPro" w:hAnsi="PFDasGroteskPro" w:cs="Times New Roman"/>
                <w:sz w:val="20"/>
                <w:szCs w:val="20"/>
              </w:rPr>
              <w:t xml:space="preserve"> </w:t>
            </w:r>
            <w:r w:rsidR="00B73441" w:rsidRPr="000359A1">
              <w:rPr>
                <w:rFonts w:asciiTheme="majorHAnsi" w:hAnsiTheme="majorHAnsi" w:cstheme="majorHAnsi"/>
              </w:rPr>
              <w:t>Transport closure and limited people’s ability to healthcare services accelerated the use of</w:t>
            </w:r>
            <w:r w:rsidR="00B73441">
              <w:rPr>
                <w:rFonts w:asciiTheme="majorHAnsi" w:hAnsiTheme="majorHAnsi" w:cstheme="majorHAnsi"/>
              </w:rPr>
              <w:t xml:space="preserve"> digital treatment technologies</w:t>
            </w:r>
            <w:r w:rsidR="00D427E5">
              <w:rPr>
                <w:rFonts w:asciiTheme="majorHAnsi" w:hAnsiTheme="majorHAnsi" w:cstheme="majorHAnsi"/>
              </w:rPr>
              <w:t>.</w:t>
            </w:r>
            <w:r w:rsidR="00B73441" w:rsidRPr="000359A1">
              <w:rPr>
                <w:rFonts w:asciiTheme="majorHAnsi" w:hAnsiTheme="majorHAnsi" w:cstheme="majorHAnsi"/>
              </w:rPr>
              <w:t xml:space="preserve"> </w:t>
            </w:r>
            <w:r w:rsidR="00B73441">
              <w:rPr>
                <w:rFonts w:asciiTheme="majorHAnsi" w:hAnsiTheme="majorHAnsi" w:cstheme="majorHAnsi"/>
              </w:rPr>
              <w:t xml:space="preserve">The VOT </w:t>
            </w:r>
            <w:r w:rsidR="00B73441" w:rsidRPr="00C40566">
              <w:rPr>
                <w:rFonts w:asciiTheme="majorHAnsi" w:hAnsiTheme="majorHAnsi" w:cstheme="majorHAnsi"/>
              </w:rPr>
              <w:t xml:space="preserve">was offered to approximately 43% of </w:t>
            </w:r>
            <w:r w:rsidR="00B73441">
              <w:rPr>
                <w:rFonts w:asciiTheme="majorHAnsi" w:hAnsiTheme="majorHAnsi" w:cstheme="majorHAnsi"/>
              </w:rPr>
              <w:t xml:space="preserve">TB </w:t>
            </w:r>
            <w:r w:rsidR="00B73441" w:rsidRPr="00C40566">
              <w:rPr>
                <w:rFonts w:asciiTheme="majorHAnsi" w:hAnsiTheme="majorHAnsi" w:cstheme="majorHAnsi"/>
              </w:rPr>
              <w:t xml:space="preserve">patients receiving care at the PHC in 2020. About 10% of </w:t>
            </w:r>
            <w:r w:rsidR="00B73441" w:rsidRPr="00454A78">
              <w:rPr>
                <w:rFonts w:asciiTheme="majorHAnsi" w:hAnsiTheme="majorHAnsi" w:cstheme="majorHAnsi"/>
              </w:rPr>
              <w:t>TB patients received home-based treatment through “hospital at home” or “mobile teams” models. Proper communication with TB patients was ensured using virtual means of communication. Smartphones and WhatsApp applications were applied to monitor patients’ health an</w:t>
            </w:r>
            <w:r w:rsidR="00454A78" w:rsidRPr="00454A78">
              <w:rPr>
                <w:rFonts w:asciiTheme="majorHAnsi" w:hAnsiTheme="majorHAnsi" w:cstheme="majorHAnsi"/>
              </w:rPr>
              <w:t>d control treatment; Skype, zoom</w:t>
            </w:r>
            <w:r w:rsidR="00B73441" w:rsidRPr="00454A78">
              <w:rPr>
                <w:rFonts w:asciiTheme="majorHAnsi" w:hAnsiTheme="majorHAnsi" w:cstheme="majorHAnsi"/>
              </w:rPr>
              <w:t xml:space="preserve">, telemedicine devices at the MoH/NSCP were used to consult patients and define treatment approaches. </w:t>
            </w:r>
          </w:p>
          <w:p w14:paraId="2993863B" w14:textId="2E57A916" w:rsidR="0052537B" w:rsidRDefault="0018510B" w:rsidP="00A644BC">
            <w:pPr>
              <w:jc w:val="both"/>
              <w:rPr>
                <w:rFonts w:asciiTheme="majorHAnsi" w:hAnsiTheme="majorHAnsi" w:cstheme="majorHAnsi"/>
              </w:rPr>
            </w:pPr>
            <w:r>
              <w:rPr>
                <w:rFonts w:asciiTheme="majorHAnsi" w:hAnsiTheme="majorHAnsi" w:cstheme="majorHAnsi"/>
              </w:rPr>
              <w:t>In the same</w:t>
            </w:r>
            <w:r w:rsidR="00454A78" w:rsidRPr="00454A78">
              <w:rPr>
                <w:rFonts w:asciiTheme="majorHAnsi" w:hAnsiTheme="majorHAnsi" w:cstheme="majorHAnsi"/>
              </w:rPr>
              <w:t xml:space="preserve"> study, based on </w:t>
            </w:r>
            <w:r w:rsidR="006C7BE5" w:rsidRPr="00454A78">
              <w:rPr>
                <w:rFonts w:asciiTheme="majorHAnsi" w:hAnsiTheme="majorHAnsi" w:cstheme="majorHAnsi"/>
              </w:rPr>
              <w:t xml:space="preserve">TB </w:t>
            </w:r>
            <w:r w:rsidR="00454A78" w:rsidRPr="00454A78">
              <w:rPr>
                <w:rFonts w:asciiTheme="majorHAnsi" w:hAnsiTheme="majorHAnsi" w:cstheme="majorHAnsi"/>
              </w:rPr>
              <w:t>affe</w:t>
            </w:r>
            <w:r>
              <w:rPr>
                <w:rFonts w:asciiTheme="majorHAnsi" w:hAnsiTheme="majorHAnsi" w:cstheme="majorHAnsi"/>
              </w:rPr>
              <w:t>cted population’ perception,</w:t>
            </w:r>
            <w:r w:rsidR="006C7BE5" w:rsidRPr="00454A78">
              <w:rPr>
                <w:rFonts w:asciiTheme="majorHAnsi" w:hAnsiTheme="majorHAnsi" w:cstheme="majorHAnsi"/>
              </w:rPr>
              <w:t xml:space="preserve"> family </w:t>
            </w:r>
            <w:r w:rsidR="00454A78" w:rsidRPr="00454A78">
              <w:rPr>
                <w:rFonts w:asciiTheme="majorHAnsi" w:hAnsiTheme="majorHAnsi" w:cstheme="majorHAnsi"/>
              </w:rPr>
              <w:t>physicians</w:t>
            </w:r>
            <w:r w:rsidR="006C7BE5" w:rsidRPr="00454A78">
              <w:rPr>
                <w:rFonts w:asciiTheme="majorHAnsi" w:hAnsiTheme="majorHAnsi" w:cstheme="majorHAnsi"/>
              </w:rPr>
              <w:t xml:space="preserve"> </w:t>
            </w:r>
            <w:r>
              <w:rPr>
                <w:rFonts w:asciiTheme="majorHAnsi" w:hAnsiTheme="majorHAnsi" w:cstheme="majorHAnsi"/>
              </w:rPr>
              <w:t>in most cases were not adequately</w:t>
            </w:r>
            <w:r w:rsidR="00454A78" w:rsidRPr="00454A78">
              <w:rPr>
                <w:rFonts w:asciiTheme="majorHAnsi" w:hAnsiTheme="majorHAnsi" w:cstheme="majorHAnsi"/>
              </w:rPr>
              <w:t xml:space="preserve"> </w:t>
            </w:r>
            <w:r w:rsidR="006C7BE5" w:rsidRPr="00454A78">
              <w:rPr>
                <w:rFonts w:asciiTheme="majorHAnsi" w:hAnsiTheme="majorHAnsi" w:cstheme="majorHAnsi"/>
              </w:rPr>
              <w:t xml:space="preserve">trained to </w:t>
            </w:r>
            <w:r w:rsidR="00454A78" w:rsidRPr="00454A78">
              <w:rPr>
                <w:rFonts w:asciiTheme="majorHAnsi" w:hAnsiTheme="majorHAnsi" w:cstheme="majorHAnsi"/>
              </w:rPr>
              <w:t xml:space="preserve">manage patients with </w:t>
            </w:r>
            <w:r w:rsidR="006C7BE5" w:rsidRPr="00454A78">
              <w:rPr>
                <w:rFonts w:asciiTheme="majorHAnsi" w:hAnsiTheme="majorHAnsi" w:cstheme="majorHAnsi"/>
              </w:rPr>
              <w:t>suspect</w:t>
            </w:r>
            <w:r w:rsidR="00454A78" w:rsidRPr="00454A78">
              <w:rPr>
                <w:rFonts w:asciiTheme="majorHAnsi" w:hAnsiTheme="majorHAnsi" w:cstheme="majorHAnsi"/>
              </w:rPr>
              <w:t>ed</w:t>
            </w:r>
            <w:r w:rsidR="006C7BE5" w:rsidRPr="00454A78">
              <w:rPr>
                <w:rFonts w:asciiTheme="majorHAnsi" w:hAnsiTheme="majorHAnsi" w:cstheme="majorHAnsi"/>
              </w:rPr>
              <w:t xml:space="preserve"> TB</w:t>
            </w:r>
            <w:r w:rsidR="00665798">
              <w:rPr>
                <w:rFonts w:asciiTheme="majorHAnsi" w:hAnsiTheme="majorHAnsi" w:cstheme="majorHAnsi"/>
              </w:rPr>
              <w:t xml:space="preserve"> as the respondents</w:t>
            </w:r>
            <w:r w:rsidR="00454A78" w:rsidRPr="00454A78">
              <w:rPr>
                <w:rFonts w:asciiTheme="majorHAnsi" w:hAnsiTheme="majorHAnsi" w:cstheme="majorHAnsi"/>
              </w:rPr>
              <w:t xml:space="preserve"> </w:t>
            </w:r>
            <w:r w:rsidR="00433FE4">
              <w:rPr>
                <w:rFonts w:asciiTheme="majorHAnsi" w:hAnsiTheme="majorHAnsi" w:cstheme="majorHAnsi"/>
              </w:rPr>
              <w:t xml:space="preserve">reported that they </w:t>
            </w:r>
            <w:r w:rsidR="00454A78" w:rsidRPr="00454A78">
              <w:rPr>
                <w:rFonts w:asciiTheme="majorHAnsi" w:hAnsiTheme="majorHAnsi" w:cstheme="majorHAnsi"/>
              </w:rPr>
              <w:t xml:space="preserve">have to make significant efforts to </w:t>
            </w:r>
            <w:r w:rsidR="00433FE4">
              <w:rPr>
                <w:rFonts w:asciiTheme="majorHAnsi" w:hAnsiTheme="majorHAnsi" w:cstheme="majorHAnsi"/>
              </w:rPr>
              <w:t>be</w:t>
            </w:r>
            <w:r>
              <w:rPr>
                <w:rFonts w:asciiTheme="majorHAnsi" w:hAnsiTheme="majorHAnsi" w:cstheme="majorHAnsi"/>
              </w:rPr>
              <w:t xml:space="preserve"> diagnosed</w:t>
            </w:r>
            <w:r w:rsidR="006C7BE5" w:rsidRPr="00454A78">
              <w:rPr>
                <w:rFonts w:asciiTheme="majorHAnsi" w:hAnsiTheme="majorHAnsi" w:cstheme="majorHAnsi"/>
              </w:rPr>
              <w:t xml:space="preserve">. Also, TB patients </w:t>
            </w:r>
            <w:r w:rsidR="0088185D">
              <w:rPr>
                <w:rFonts w:asciiTheme="majorHAnsi" w:hAnsiTheme="majorHAnsi" w:cstheme="majorHAnsi"/>
              </w:rPr>
              <w:t>mentioned</w:t>
            </w:r>
            <w:r w:rsidR="00B73441" w:rsidRPr="00454A78">
              <w:rPr>
                <w:rFonts w:asciiTheme="majorHAnsi" w:hAnsiTheme="majorHAnsi" w:cstheme="majorHAnsi"/>
              </w:rPr>
              <w:t xml:space="preserve"> </w:t>
            </w:r>
            <w:r w:rsidR="00433FE4">
              <w:rPr>
                <w:rFonts w:asciiTheme="majorHAnsi" w:hAnsiTheme="majorHAnsi" w:cstheme="majorHAnsi"/>
              </w:rPr>
              <w:t xml:space="preserve">a </w:t>
            </w:r>
            <w:r w:rsidR="00B73441" w:rsidRPr="00454A78">
              <w:rPr>
                <w:rFonts w:asciiTheme="majorHAnsi" w:hAnsiTheme="majorHAnsi" w:cstheme="majorHAnsi"/>
              </w:rPr>
              <w:t>lack of</w:t>
            </w:r>
            <w:r w:rsidR="00A644BC">
              <w:rPr>
                <w:rFonts w:asciiTheme="majorHAnsi" w:hAnsiTheme="majorHAnsi" w:cstheme="majorHAnsi"/>
              </w:rPr>
              <w:t xml:space="preserve"> management of</w:t>
            </w:r>
            <w:r w:rsidR="00B73441" w:rsidRPr="00454A78">
              <w:rPr>
                <w:rFonts w:asciiTheme="majorHAnsi" w:hAnsiTheme="majorHAnsi" w:cstheme="majorHAnsi"/>
              </w:rPr>
              <w:t xml:space="preserve"> </w:t>
            </w:r>
            <w:r w:rsidR="00F36057">
              <w:rPr>
                <w:rFonts w:asciiTheme="majorHAnsi" w:hAnsiTheme="majorHAnsi" w:cstheme="majorHAnsi"/>
              </w:rPr>
              <w:t>adverse events of TB</w:t>
            </w:r>
            <w:r w:rsidR="00A644BC" w:rsidRPr="00A644BC">
              <w:rPr>
                <w:rFonts w:asciiTheme="majorHAnsi" w:hAnsiTheme="majorHAnsi" w:cstheme="majorHAnsi"/>
              </w:rPr>
              <w:t xml:space="preserve"> therapy</w:t>
            </w:r>
            <w:r w:rsidR="00F36057">
              <w:rPr>
                <w:rFonts w:asciiTheme="majorHAnsi" w:hAnsiTheme="majorHAnsi" w:cstheme="majorHAnsi"/>
              </w:rPr>
              <w:t xml:space="preserve"> at the primary care level</w:t>
            </w:r>
            <w:r w:rsidR="00A644BC" w:rsidRPr="00A644BC">
              <w:rPr>
                <w:rFonts w:asciiTheme="majorHAnsi" w:hAnsiTheme="majorHAnsi" w:cstheme="majorHAnsi"/>
              </w:rPr>
              <w:t xml:space="preserve">. </w:t>
            </w:r>
          </w:p>
          <w:p w14:paraId="62AC4505" w14:textId="37FE0542" w:rsidR="00935020" w:rsidRPr="0030572C" w:rsidRDefault="00AD4AE7" w:rsidP="005A75C8">
            <w:pPr>
              <w:jc w:val="both"/>
              <w:rPr>
                <w:rFonts w:asciiTheme="majorHAnsi" w:hAnsiTheme="majorHAnsi" w:cs="Arial"/>
              </w:rPr>
            </w:pPr>
            <w:r>
              <w:rPr>
                <w:rFonts w:asciiTheme="majorHAnsi" w:hAnsiTheme="majorHAnsi" w:cstheme="majorHAnsi"/>
              </w:rPr>
              <w:t xml:space="preserve">The results of </w:t>
            </w:r>
            <w:r w:rsidR="0052537B">
              <w:rPr>
                <w:rFonts w:asciiTheme="majorHAnsi" w:hAnsiTheme="majorHAnsi" w:cstheme="majorHAnsi"/>
              </w:rPr>
              <w:t>another research</w:t>
            </w:r>
            <w:r>
              <w:rPr>
                <w:rStyle w:val="af"/>
                <w:rFonts w:asciiTheme="majorHAnsi" w:hAnsiTheme="majorHAnsi" w:cstheme="majorHAnsi"/>
              </w:rPr>
              <w:footnoteReference w:id="65"/>
            </w:r>
            <w:r>
              <w:rPr>
                <w:rFonts w:asciiTheme="majorHAnsi" w:hAnsiTheme="majorHAnsi" w:cstheme="majorHAnsi"/>
              </w:rPr>
              <w:t xml:space="preserve">, conducted in Almaty </w:t>
            </w:r>
            <w:r w:rsidR="0052537B">
              <w:rPr>
                <w:rFonts w:asciiTheme="majorHAnsi" w:hAnsiTheme="majorHAnsi" w:cstheme="majorHAnsi"/>
              </w:rPr>
              <w:t>in 2021</w:t>
            </w:r>
            <w:r w:rsidR="008E59D3">
              <w:rPr>
                <w:rFonts w:asciiTheme="majorHAnsi" w:hAnsiTheme="majorHAnsi" w:cstheme="majorHAnsi"/>
              </w:rPr>
              <w:t>,</w:t>
            </w:r>
            <w:r w:rsidR="0052537B">
              <w:rPr>
                <w:rFonts w:asciiTheme="majorHAnsi" w:hAnsiTheme="majorHAnsi" w:cstheme="majorHAnsi"/>
              </w:rPr>
              <w:t xml:space="preserve"> complements</w:t>
            </w:r>
            <w:r>
              <w:rPr>
                <w:rFonts w:asciiTheme="majorHAnsi" w:hAnsiTheme="majorHAnsi" w:cstheme="majorHAnsi"/>
              </w:rPr>
              <w:t xml:space="preserve"> previous </w:t>
            </w:r>
            <w:r w:rsidR="0052537B">
              <w:rPr>
                <w:rFonts w:asciiTheme="majorHAnsi" w:hAnsiTheme="majorHAnsi" w:cstheme="majorHAnsi"/>
              </w:rPr>
              <w:t xml:space="preserve">assessment study findings. It quantified </w:t>
            </w:r>
            <w:r w:rsidR="002911CC">
              <w:rPr>
                <w:rFonts w:asciiTheme="majorHAnsi" w:hAnsiTheme="majorHAnsi" w:cs="Arial"/>
              </w:rPr>
              <w:t xml:space="preserve">the level of stigma </w:t>
            </w:r>
            <w:r w:rsidR="002911CC" w:rsidRPr="002911CC">
              <w:rPr>
                <w:rFonts w:asciiTheme="majorHAnsi" w:hAnsiTheme="majorHAnsi" w:cs="Arial"/>
              </w:rPr>
              <w:t xml:space="preserve">for key </w:t>
            </w:r>
            <w:r w:rsidR="002911CC">
              <w:rPr>
                <w:rFonts w:asciiTheme="majorHAnsi" w:hAnsiTheme="majorHAnsi" w:cs="Arial"/>
              </w:rPr>
              <w:t xml:space="preserve">population </w:t>
            </w:r>
            <w:r w:rsidR="002911CC" w:rsidRPr="002911CC">
              <w:rPr>
                <w:rFonts w:asciiTheme="majorHAnsi" w:hAnsiTheme="majorHAnsi" w:cs="Arial"/>
              </w:rPr>
              <w:t>groups</w:t>
            </w:r>
            <w:r w:rsidR="00BE41BE">
              <w:rPr>
                <w:rFonts w:asciiTheme="majorHAnsi" w:hAnsiTheme="majorHAnsi" w:cs="Arial"/>
              </w:rPr>
              <w:t xml:space="preserve"> and </w:t>
            </w:r>
            <w:r w:rsidR="0052537B">
              <w:rPr>
                <w:rFonts w:asciiTheme="majorHAnsi" w:hAnsiTheme="majorHAnsi" w:cs="Arial"/>
              </w:rPr>
              <w:t xml:space="preserve">was combined </w:t>
            </w:r>
            <w:r w:rsidR="0052537B" w:rsidRPr="0052537B">
              <w:rPr>
                <w:rFonts w:asciiTheme="majorHAnsi" w:hAnsiTheme="majorHAnsi" w:cs="Arial"/>
              </w:rPr>
              <w:t xml:space="preserve">with </w:t>
            </w:r>
            <w:r w:rsidR="008E59D3">
              <w:rPr>
                <w:rFonts w:asciiTheme="majorHAnsi" w:hAnsiTheme="majorHAnsi" w:cs="Arial"/>
              </w:rPr>
              <w:t xml:space="preserve">a </w:t>
            </w:r>
            <w:r w:rsidR="0052537B" w:rsidRPr="0052537B">
              <w:rPr>
                <w:rFonts w:asciiTheme="majorHAnsi" w:hAnsiTheme="majorHAnsi" w:cstheme="majorHAnsi"/>
              </w:rPr>
              <w:t>d</w:t>
            </w:r>
            <w:r w:rsidR="0076637B" w:rsidRPr="0052537B">
              <w:rPr>
                <w:rFonts w:asciiTheme="majorHAnsi" w:hAnsiTheme="majorHAnsi" w:cstheme="majorHAnsi"/>
              </w:rPr>
              <w:t>esk review</w:t>
            </w:r>
            <w:r w:rsidR="0052537B" w:rsidRPr="0052537B">
              <w:rPr>
                <w:rFonts w:asciiTheme="majorHAnsi" w:hAnsiTheme="majorHAnsi" w:cstheme="majorHAnsi"/>
              </w:rPr>
              <w:t xml:space="preserve">, </w:t>
            </w:r>
            <w:r w:rsidR="0076637B" w:rsidRPr="0052537B">
              <w:rPr>
                <w:rFonts w:asciiTheme="majorHAnsi" w:hAnsiTheme="majorHAnsi" w:cstheme="majorHAnsi"/>
              </w:rPr>
              <w:t>qualitative and quantitative assessments</w:t>
            </w:r>
            <w:r w:rsidR="0052537B" w:rsidRPr="0030572C">
              <w:rPr>
                <w:rFonts w:asciiTheme="majorHAnsi" w:hAnsiTheme="majorHAnsi" w:cs="Arial"/>
              </w:rPr>
              <w:t xml:space="preserve">. </w:t>
            </w:r>
            <w:r w:rsidR="005A75C8" w:rsidRPr="0030572C">
              <w:rPr>
                <w:rFonts w:asciiTheme="majorHAnsi" w:hAnsiTheme="majorHAnsi" w:cs="Arial"/>
              </w:rPr>
              <w:t xml:space="preserve">Based on quantitative data, women are less likely than men to </w:t>
            </w:r>
            <w:r w:rsidR="00BE41BE" w:rsidRPr="0030572C">
              <w:rPr>
                <w:rFonts w:asciiTheme="majorHAnsi" w:hAnsiTheme="majorHAnsi" w:cs="Arial"/>
              </w:rPr>
              <w:t xml:space="preserve">report any typical TB symptoms. They </w:t>
            </w:r>
            <w:r w:rsidR="005A75C8" w:rsidRPr="0030572C">
              <w:rPr>
                <w:rFonts w:asciiTheme="majorHAnsi" w:hAnsiTheme="majorHAnsi" w:cs="Arial"/>
              </w:rPr>
              <w:t>more often</w:t>
            </w:r>
            <w:r w:rsidR="00BE41BE" w:rsidRPr="0030572C">
              <w:rPr>
                <w:rFonts w:asciiTheme="majorHAnsi" w:hAnsiTheme="majorHAnsi" w:cs="Arial"/>
              </w:rPr>
              <w:t xml:space="preserve"> did not suspect that they might be </w:t>
            </w:r>
            <w:r w:rsidR="005A75C8" w:rsidRPr="0030572C">
              <w:rPr>
                <w:rFonts w:asciiTheme="majorHAnsi" w:hAnsiTheme="majorHAnsi" w:cs="Arial"/>
              </w:rPr>
              <w:t xml:space="preserve">sick with tuberculosis and were </w:t>
            </w:r>
            <w:r w:rsidR="00BE41BE" w:rsidRPr="0030572C">
              <w:rPr>
                <w:rFonts w:asciiTheme="majorHAnsi" w:hAnsiTheme="majorHAnsi" w:cs="Arial"/>
              </w:rPr>
              <w:t>occasionally diagnosed</w:t>
            </w:r>
            <w:r w:rsidR="005A75C8" w:rsidRPr="0030572C">
              <w:rPr>
                <w:rFonts w:asciiTheme="majorHAnsi" w:hAnsiTheme="majorHAnsi" w:cs="Arial"/>
              </w:rPr>
              <w:t>.</w:t>
            </w:r>
            <w:r w:rsidR="00BE41BE" w:rsidRPr="0030572C">
              <w:rPr>
                <w:rFonts w:asciiTheme="majorHAnsi" w:hAnsiTheme="majorHAnsi" w:cs="Arial"/>
              </w:rPr>
              <w:t xml:space="preserve"> </w:t>
            </w:r>
            <w:r w:rsidR="005A75C8" w:rsidRPr="0030572C">
              <w:rPr>
                <w:rFonts w:asciiTheme="majorHAnsi" w:hAnsiTheme="majorHAnsi" w:cs="Arial"/>
              </w:rPr>
              <w:t>Women are more vulnerable to TB during pregnancy</w:t>
            </w:r>
            <w:r w:rsidR="0030572C">
              <w:rPr>
                <w:rFonts w:asciiTheme="majorHAnsi" w:hAnsiTheme="majorHAnsi" w:cs="Arial"/>
              </w:rPr>
              <w:t xml:space="preserve"> and after childbirth. For those</w:t>
            </w:r>
            <w:r w:rsidR="005A75C8" w:rsidRPr="0030572C">
              <w:rPr>
                <w:rFonts w:asciiTheme="majorHAnsi" w:hAnsiTheme="majorHAnsi" w:cs="Arial"/>
              </w:rPr>
              <w:t xml:space="preserve"> living with HIV and </w:t>
            </w:r>
            <w:r w:rsidR="00433FE4">
              <w:rPr>
                <w:rFonts w:asciiTheme="majorHAnsi" w:hAnsiTheme="majorHAnsi" w:cs="Arial"/>
              </w:rPr>
              <w:t>represent</w:t>
            </w:r>
            <w:r w:rsidR="008E59D3">
              <w:rPr>
                <w:rFonts w:asciiTheme="majorHAnsi" w:hAnsiTheme="majorHAnsi" w:cs="Arial"/>
              </w:rPr>
              <w:t>ing</w:t>
            </w:r>
            <w:r w:rsidR="005A75C8" w:rsidRPr="0030572C">
              <w:rPr>
                <w:rFonts w:asciiTheme="majorHAnsi" w:hAnsiTheme="majorHAnsi" w:cs="Arial"/>
              </w:rPr>
              <w:t xml:space="preserve"> key populations, this risk is even higher due to the </w:t>
            </w:r>
            <w:r w:rsidR="00BA5047">
              <w:rPr>
                <w:rFonts w:asciiTheme="majorHAnsi" w:hAnsiTheme="majorHAnsi" w:cs="Arial"/>
              </w:rPr>
              <w:t>increased</w:t>
            </w:r>
            <w:r w:rsidR="005A75C8" w:rsidRPr="0030572C">
              <w:rPr>
                <w:rFonts w:asciiTheme="majorHAnsi" w:hAnsiTheme="majorHAnsi" w:cs="Arial"/>
              </w:rPr>
              <w:t xml:space="preserve"> level of stigma</w:t>
            </w:r>
            <w:r w:rsidR="00BA5047">
              <w:rPr>
                <w:rFonts w:asciiTheme="majorHAnsi" w:hAnsiTheme="majorHAnsi" w:cs="Arial"/>
              </w:rPr>
              <w:t xml:space="preserve"> and discrimination. </w:t>
            </w:r>
            <w:r w:rsidR="00923C51">
              <w:rPr>
                <w:rFonts w:asciiTheme="majorHAnsi" w:hAnsiTheme="majorHAnsi" w:cs="Arial"/>
              </w:rPr>
              <w:t>It can</w:t>
            </w:r>
            <w:r w:rsidR="00923C51" w:rsidRPr="00923C51">
              <w:rPr>
                <w:rFonts w:asciiTheme="majorHAnsi" w:hAnsiTheme="majorHAnsi" w:cs="Arial"/>
              </w:rPr>
              <w:t xml:space="preserve"> be more difficult fo</w:t>
            </w:r>
            <w:r w:rsidR="00923C51">
              <w:rPr>
                <w:rFonts w:asciiTheme="majorHAnsi" w:hAnsiTheme="majorHAnsi" w:cs="Arial"/>
              </w:rPr>
              <w:t>r women to access TB</w:t>
            </w:r>
            <w:r w:rsidR="00923C51" w:rsidRPr="00923C51">
              <w:rPr>
                <w:rFonts w:asciiTheme="majorHAnsi" w:hAnsiTheme="majorHAnsi" w:cs="Arial"/>
              </w:rPr>
              <w:t xml:space="preserve"> services in f</w:t>
            </w:r>
            <w:r w:rsidR="00923C51">
              <w:rPr>
                <w:rFonts w:asciiTheme="majorHAnsi" w:hAnsiTheme="majorHAnsi" w:cs="Arial"/>
              </w:rPr>
              <w:t>amilies with gender stereotypes</w:t>
            </w:r>
            <w:r w:rsidR="00923C51" w:rsidRPr="00923C51">
              <w:rPr>
                <w:rFonts w:asciiTheme="majorHAnsi" w:hAnsiTheme="majorHAnsi" w:cs="Arial"/>
              </w:rPr>
              <w:t>.</w:t>
            </w:r>
            <w:r w:rsidR="00923C51">
              <w:rPr>
                <w:rFonts w:asciiTheme="majorHAnsi" w:hAnsiTheme="majorHAnsi" w:cs="Arial"/>
              </w:rPr>
              <w:t xml:space="preserve"> </w:t>
            </w:r>
            <w:r w:rsidR="008E59D3">
              <w:rPr>
                <w:rFonts w:asciiTheme="majorHAnsi" w:hAnsiTheme="majorHAnsi" w:cs="Arial"/>
              </w:rPr>
              <w:t>G</w:t>
            </w:r>
            <w:r w:rsidR="003E7707" w:rsidRPr="0030572C">
              <w:rPr>
                <w:rFonts w:asciiTheme="majorHAnsi" w:hAnsiTheme="majorHAnsi" w:cs="Arial"/>
              </w:rPr>
              <w:t xml:space="preserve">ender analysis </w:t>
            </w:r>
            <w:r w:rsidR="0030572C">
              <w:rPr>
                <w:rFonts w:asciiTheme="majorHAnsi" w:hAnsiTheme="majorHAnsi" w:cs="Arial"/>
              </w:rPr>
              <w:t xml:space="preserve">also </w:t>
            </w:r>
            <w:r w:rsidR="003E7707" w:rsidRPr="0030572C">
              <w:rPr>
                <w:rFonts w:asciiTheme="majorHAnsi" w:hAnsiTheme="majorHAnsi" w:cs="Arial"/>
              </w:rPr>
              <w:t xml:space="preserve">showed that the provision of TB services predominantly </w:t>
            </w:r>
            <w:r w:rsidR="00433FE4">
              <w:rPr>
                <w:rFonts w:asciiTheme="majorHAnsi" w:hAnsiTheme="majorHAnsi" w:cs="Arial"/>
              </w:rPr>
              <w:t>uses a gender-neutral approach; h</w:t>
            </w:r>
            <w:r w:rsidR="0030572C">
              <w:rPr>
                <w:rFonts w:asciiTheme="majorHAnsi" w:hAnsiTheme="majorHAnsi" w:cs="Arial"/>
              </w:rPr>
              <w:t xml:space="preserve">owever, </w:t>
            </w:r>
            <w:r w:rsidR="003E7707" w:rsidRPr="0030572C">
              <w:rPr>
                <w:rFonts w:asciiTheme="majorHAnsi" w:hAnsiTheme="majorHAnsi" w:cs="Arial"/>
              </w:rPr>
              <w:t xml:space="preserve">based on in-depth interviews with service providers, </w:t>
            </w:r>
            <w:r w:rsidR="0030572C">
              <w:rPr>
                <w:rFonts w:asciiTheme="majorHAnsi" w:hAnsiTheme="majorHAnsi" w:cs="Arial"/>
              </w:rPr>
              <w:t>the</w:t>
            </w:r>
            <w:r w:rsidR="003E7707" w:rsidRPr="0030572C">
              <w:rPr>
                <w:rFonts w:asciiTheme="majorHAnsi" w:hAnsiTheme="majorHAnsi" w:cs="Arial"/>
              </w:rPr>
              <w:t xml:space="preserve"> diff</w:t>
            </w:r>
            <w:r w:rsidR="00433FE4">
              <w:rPr>
                <w:rFonts w:asciiTheme="majorHAnsi" w:hAnsiTheme="majorHAnsi" w:cs="Arial"/>
              </w:rPr>
              <w:t xml:space="preserve">erent needs of women and men in healthcare services </w:t>
            </w:r>
            <w:r w:rsidR="0030572C">
              <w:rPr>
                <w:rFonts w:asciiTheme="majorHAnsi" w:hAnsiTheme="majorHAnsi" w:cs="Arial"/>
              </w:rPr>
              <w:t xml:space="preserve">might need further attention. </w:t>
            </w:r>
          </w:p>
          <w:p w14:paraId="2B534898" w14:textId="4B697A78" w:rsidR="00007BFF" w:rsidRDefault="00F932FD" w:rsidP="00E671D9">
            <w:pPr>
              <w:jc w:val="both"/>
              <w:rPr>
                <w:rFonts w:asciiTheme="majorHAnsi" w:hAnsiTheme="majorHAnsi" w:cstheme="majorHAnsi"/>
              </w:rPr>
            </w:pPr>
            <w:r w:rsidRPr="00F932FD">
              <w:rPr>
                <w:rFonts w:asciiTheme="majorHAnsi" w:hAnsiTheme="majorHAnsi" w:cstheme="majorHAnsi"/>
              </w:rPr>
              <w:t>A</w:t>
            </w:r>
            <w:r w:rsidR="00935020" w:rsidRPr="00F932FD">
              <w:rPr>
                <w:rFonts w:asciiTheme="majorHAnsi" w:hAnsiTheme="majorHAnsi" w:cstheme="majorHAnsi"/>
              </w:rPr>
              <w:t xml:space="preserve"> comprehensive sociological study</w:t>
            </w:r>
            <w:r w:rsidR="000A5488" w:rsidRPr="00F932FD">
              <w:rPr>
                <w:rStyle w:val="af"/>
                <w:rFonts w:asciiTheme="majorHAnsi" w:hAnsiTheme="majorHAnsi" w:cstheme="majorHAnsi"/>
              </w:rPr>
              <w:footnoteReference w:id="66"/>
            </w:r>
            <w:r w:rsidR="00935020" w:rsidRPr="00F932FD">
              <w:rPr>
                <w:rFonts w:asciiTheme="majorHAnsi" w:hAnsiTheme="majorHAnsi" w:cstheme="majorHAnsi"/>
              </w:rPr>
              <w:t xml:space="preserve"> conducted by the Center for the Study of Public Opinion and the K</w:t>
            </w:r>
            <w:r w:rsidR="000A5488" w:rsidRPr="00F932FD">
              <w:rPr>
                <w:rFonts w:asciiTheme="majorHAnsi" w:hAnsiTheme="majorHAnsi" w:cstheme="majorHAnsi"/>
              </w:rPr>
              <w:t>azakh Medical University’ (KM</w:t>
            </w:r>
            <w:r w:rsidR="008E59D3">
              <w:rPr>
                <w:rFonts w:asciiTheme="majorHAnsi" w:hAnsiTheme="majorHAnsi" w:cstheme="majorHAnsi"/>
              </w:rPr>
              <w:t>U) High School of Public Health</w:t>
            </w:r>
            <w:r w:rsidR="00935020" w:rsidRPr="00F932FD">
              <w:rPr>
                <w:rFonts w:asciiTheme="majorHAnsi" w:hAnsiTheme="majorHAnsi" w:cstheme="majorHAnsi"/>
              </w:rPr>
              <w:t xml:space="preserve"> </w:t>
            </w:r>
            <w:r w:rsidRPr="00F932FD">
              <w:rPr>
                <w:rFonts w:asciiTheme="majorHAnsi" w:hAnsiTheme="majorHAnsi" w:cstheme="majorHAnsi"/>
              </w:rPr>
              <w:t xml:space="preserve">reaffirms findings from previous studies underlining the effect of self-stigma in accessing the services. </w:t>
            </w:r>
            <w:r w:rsidR="00930D72" w:rsidRPr="00930D72">
              <w:rPr>
                <w:rFonts w:asciiTheme="majorHAnsi" w:hAnsiTheme="majorHAnsi" w:cstheme="majorHAnsi"/>
              </w:rPr>
              <w:t>The</w:t>
            </w:r>
            <w:r w:rsidRPr="00930D72">
              <w:rPr>
                <w:rFonts w:asciiTheme="majorHAnsi" w:hAnsiTheme="majorHAnsi" w:cstheme="majorHAnsi"/>
              </w:rPr>
              <w:t xml:space="preserve"> </w:t>
            </w:r>
            <w:r w:rsidR="00930D72" w:rsidRPr="00930D72">
              <w:rPr>
                <w:rFonts w:asciiTheme="majorHAnsi" w:hAnsiTheme="majorHAnsi" w:cstheme="majorHAnsi"/>
              </w:rPr>
              <w:t>o</w:t>
            </w:r>
            <w:r w:rsidRPr="00930D72">
              <w:rPr>
                <w:rFonts w:asciiTheme="majorHAnsi" w:hAnsiTheme="majorHAnsi" w:cstheme="majorHAnsi"/>
              </w:rPr>
              <w:t>perational research</w:t>
            </w:r>
            <w:r w:rsidR="00930D72" w:rsidRPr="00930D72">
              <w:rPr>
                <w:rStyle w:val="af"/>
                <w:rFonts w:asciiTheme="majorHAnsi" w:hAnsiTheme="majorHAnsi" w:cstheme="majorHAnsi"/>
              </w:rPr>
              <w:footnoteReference w:id="67"/>
            </w:r>
            <w:r w:rsidRPr="00930D72">
              <w:rPr>
                <w:rFonts w:asciiTheme="majorHAnsi" w:hAnsiTheme="majorHAnsi" w:cstheme="majorHAnsi"/>
              </w:rPr>
              <w:t xml:space="preserve"> </w:t>
            </w:r>
            <w:r w:rsidR="00930D72" w:rsidRPr="00930D72">
              <w:rPr>
                <w:rFonts w:asciiTheme="majorHAnsi" w:hAnsiTheme="majorHAnsi" w:cstheme="majorHAnsi"/>
              </w:rPr>
              <w:t xml:space="preserve">by </w:t>
            </w:r>
            <w:r w:rsidR="008E59D3">
              <w:rPr>
                <w:rFonts w:asciiTheme="majorHAnsi" w:hAnsiTheme="majorHAnsi" w:cstheme="majorHAnsi"/>
              </w:rPr>
              <w:t xml:space="preserve">MAD Consulting </w:t>
            </w:r>
            <w:r w:rsidRPr="00930D72">
              <w:rPr>
                <w:rFonts w:asciiTheme="majorHAnsi" w:hAnsiTheme="majorHAnsi" w:cstheme="majorHAnsi"/>
              </w:rPr>
              <w:t>stud</w:t>
            </w:r>
            <w:r w:rsidR="00930D72" w:rsidRPr="00930D72">
              <w:rPr>
                <w:rFonts w:asciiTheme="majorHAnsi" w:hAnsiTheme="majorHAnsi" w:cstheme="majorHAnsi"/>
              </w:rPr>
              <w:t xml:space="preserve">ied </w:t>
            </w:r>
            <w:r w:rsidRPr="00930D72">
              <w:rPr>
                <w:rFonts w:asciiTheme="majorHAnsi" w:hAnsiTheme="majorHAnsi" w:cstheme="majorHAnsi"/>
              </w:rPr>
              <w:t>the reasons for late diag</w:t>
            </w:r>
            <w:r w:rsidR="00930D72" w:rsidRPr="00930D72">
              <w:rPr>
                <w:rFonts w:asciiTheme="majorHAnsi" w:hAnsiTheme="majorHAnsi" w:cstheme="majorHAnsi"/>
              </w:rPr>
              <w:t>nosis and</w:t>
            </w:r>
            <w:r w:rsidRPr="00930D72">
              <w:rPr>
                <w:rFonts w:asciiTheme="majorHAnsi" w:hAnsiTheme="majorHAnsi" w:cstheme="majorHAnsi"/>
              </w:rPr>
              <w:t xml:space="preserve"> treatment</w:t>
            </w:r>
            <w:r w:rsidR="00F96295">
              <w:rPr>
                <w:rFonts w:asciiTheme="majorHAnsi" w:hAnsiTheme="majorHAnsi" w:cstheme="majorHAnsi"/>
              </w:rPr>
              <w:t xml:space="preserve"> </w:t>
            </w:r>
            <w:proofErr w:type="gramStart"/>
            <w:r w:rsidR="00F96295">
              <w:rPr>
                <w:rFonts w:asciiTheme="majorHAnsi" w:hAnsiTheme="majorHAnsi" w:cstheme="majorHAnsi"/>
              </w:rPr>
              <w:t>initiation, and</w:t>
            </w:r>
            <w:proofErr w:type="gramEnd"/>
            <w:r w:rsidR="00F56047">
              <w:rPr>
                <w:rFonts w:asciiTheme="majorHAnsi" w:hAnsiTheme="majorHAnsi" w:cstheme="majorHAnsi"/>
              </w:rPr>
              <w:t xml:space="preserve"> highlighted the</w:t>
            </w:r>
            <w:r w:rsidR="008E59D3">
              <w:rPr>
                <w:rFonts w:asciiTheme="majorHAnsi" w:hAnsiTheme="majorHAnsi" w:cstheme="majorHAnsi"/>
              </w:rPr>
              <w:t xml:space="preserve"> </w:t>
            </w:r>
            <w:r w:rsidR="00F96295">
              <w:rPr>
                <w:rFonts w:asciiTheme="majorHAnsi" w:hAnsiTheme="majorHAnsi" w:cstheme="majorHAnsi"/>
              </w:rPr>
              <w:t>main findings</w:t>
            </w:r>
            <w:r w:rsidR="008E59D3">
              <w:rPr>
                <w:rFonts w:asciiTheme="majorHAnsi" w:hAnsiTheme="majorHAnsi" w:cstheme="majorHAnsi"/>
              </w:rPr>
              <w:t xml:space="preserve"> including s</w:t>
            </w:r>
            <w:r w:rsidR="000E6A8D" w:rsidRPr="009B5B41">
              <w:rPr>
                <w:rFonts w:asciiTheme="majorHAnsi" w:hAnsiTheme="majorHAnsi" w:cs="Arial"/>
              </w:rPr>
              <w:t>tigmatization of patients by society and medical personnel at the PHC</w:t>
            </w:r>
            <w:r w:rsidR="00586D1B" w:rsidRPr="009B5B41">
              <w:rPr>
                <w:rFonts w:asciiTheme="majorHAnsi" w:hAnsiTheme="majorHAnsi" w:cs="Arial"/>
              </w:rPr>
              <w:t xml:space="preserve"> centers, low priority on their</w:t>
            </w:r>
            <w:r w:rsidR="000E6A8D" w:rsidRPr="009B5B41">
              <w:rPr>
                <w:rFonts w:asciiTheme="majorHAnsi" w:hAnsiTheme="majorHAnsi" w:cs="Arial"/>
              </w:rPr>
              <w:t xml:space="preserve"> own health, </w:t>
            </w:r>
            <w:r w:rsidRPr="009B5B41">
              <w:rPr>
                <w:rFonts w:asciiTheme="majorHAnsi" w:hAnsiTheme="majorHAnsi" w:cs="Arial"/>
              </w:rPr>
              <w:t xml:space="preserve">the </w:t>
            </w:r>
            <w:r w:rsidR="00586D1B" w:rsidRPr="009B5B41">
              <w:rPr>
                <w:rFonts w:asciiTheme="majorHAnsi" w:hAnsiTheme="majorHAnsi" w:cs="Arial"/>
              </w:rPr>
              <w:t xml:space="preserve">diagnostic </w:t>
            </w:r>
            <w:r w:rsidR="003A09BD" w:rsidRPr="009B5B41">
              <w:rPr>
                <w:rFonts w:asciiTheme="majorHAnsi" w:hAnsiTheme="majorHAnsi" w:cs="Arial"/>
              </w:rPr>
              <w:t xml:space="preserve">complexity, </w:t>
            </w:r>
            <w:r w:rsidR="009B5B41" w:rsidRPr="009B5B41">
              <w:rPr>
                <w:rFonts w:asciiTheme="majorHAnsi" w:hAnsiTheme="majorHAnsi" w:cs="Arial"/>
              </w:rPr>
              <w:t>fear or worries related to the possibility of job loss</w:t>
            </w:r>
            <w:r w:rsidR="009B5B41">
              <w:rPr>
                <w:rFonts w:asciiTheme="majorHAnsi" w:hAnsiTheme="majorHAnsi" w:cs="Arial"/>
              </w:rPr>
              <w:t xml:space="preserve"> </w:t>
            </w:r>
            <w:r w:rsidR="00E2029C">
              <w:rPr>
                <w:rFonts w:asciiTheme="majorHAnsi" w:hAnsiTheme="majorHAnsi" w:cstheme="majorHAnsi"/>
              </w:rPr>
              <w:t>and</w:t>
            </w:r>
            <w:r w:rsidR="00586D1B" w:rsidRPr="00586D1B">
              <w:rPr>
                <w:rFonts w:asciiTheme="majorHAnsi" w:hAnsiTheme="majorHAnsi" w:cstheme="majorHAnsi"/>
              </w:rPr>
              <w:t xml:space="preserve"> livelihood due to illness</w:t>
            </w:r>
            <w:r w:rsidR="008E59D3">
              <w:rPr>
                <w:rFonts w:asciiTheme="majorHAnsi" w:hAnsiTheme="majorHAnsi" w:cstheme="majorHAnsi"/>
              </w:rPr>
              <w:t>.</w:t>
            </w:r>
          </w:p>
          <w:p w14:paraId="2CA93A84" w14:textId="19A2F917" w:rsidR="00E37807" w:rsidRDefault="00F96295" w:rsidP="00E37807">
            <w:pPr>
              <w:jc w:val="both"/>
              <w:rPr>
                <w:rFonts w:asciiTheme="majorHAnsi" w:eastAsia="Times New Roman" w:hAnsiTheme="majorHAnsi" w:cstheme="majorHAnsi"/>
                <w:color w:val="201F1E"/>
                <w:shd w:val="clear" w:color="auto" w:fill="FFFFFF"/>
              </w:rPr>
            </w:pPr>
            <w:r>
              <w:rPr>
                <w:rFonts w:asciiTheme="minorHAnsi" w:hAnsiTheme="minorHAnsi" w:cstheme="minorHAnsi"/>
              </w:rPr>
              <w:t>It is worth mentioning</w:t>
            </w:r>
            <w:r w:rsidR="009D1617">
              <w:rPr>
                <w:rFonts w:asciiTheme="minorHAnsi" w:hAnsiTheme="minorHAnsi" w:cstheme="minorHAnsi"/>
              </w:rPr>
              <w:t xml:space="preserve"> t</w:t>
            </w:r>
            <w:r w:rsidR="004139A8">
              <w:rPr>
                <w:rFonts w:asciiTheme="minorHAnsi" w:hAnsiTheme="minorHAnsi" w:cstheme="minorHAnsi"/>
              </w:rPr>
              <w:t>he pilot study</w:t>
            </w:r>
            <w:r w:rsidR="004139A8">
              <w:rPr>
                <w:rStyle w:val="af"/>
                <w:rFonts w:asciiTheme="minorHAnsi" w:hAnsiTheme="minorHAnsi" w:cstheme="minorHAnsi"/>
              </w:rPr>
              <w:footnoteReference w:id="68"/>
            </w:r>
            <w:r w:rsidR="004139A8">
              <w:rPr>
                <w:rFonts w:asciiTheme="minorHAnsi" w:hAnsiTheme="minorHAnsi" w:cstheme="minorHAnsi"/>
              </w:rPr>
              <w:t xml:space="preserve"> </w:t>
            </w:r>
            <w:r w:rsidR="004139A8" w:rsidRPr="0012790F">
              <w:rPr>
                <w:rFonts w:asciiTheme="minorHAnsi" w:hAnsiTheme="minorHAnsi" w:cstheme="minorHAnsi"/>
              </w:rPr>
              <w:t xml:space="preserve">in </w:t>
            </w:r>
            <w:r w:rsidR="004139A8" w:rsidRPr="00E37807">
              <w:rPr>
                <w:rFonts w:asciiTheme="majorHAnsi" w:hAnsiTheme="majorHAnsi" w:cstheme="majorHAnsi"/>
              </w:rPr>
              <w:t xml:space="preserve">selected </w:t>
            </w:r>
            <w:r w:rsidRPr="00E37807">
              <w:rPr>
                <w:rFonts w:asciiTheme="majorHAnsi" w:hAnsiTheme="majorHAnsi" w:cstheme="majorHAnsi"/>
              </w:rPr>
              <w:t xml:space="preserve">healthcare organizations in Almaty </w:t>
            </w:r>
            <w:r w:rsidR="009D1617" w:rsidRPr="00E37807">
              <w:rPr>
                <w:rFonts w:asciiTheme="majorHAnsi" w:hAnsiTheme="majorHAnsi" w:cstheme="majorHAnsi"/>
              </w:rPr>
              <w:t xml:space="preserve">that </w:t>
            </w:r>
            <w:r w:rsidR="004139A8" w:rsidRPr="00E37807">
              <w:rPr>
                <w:rFonts w:asciiTheme="majorHAnsi" w:hAnsiTheme="majorHAnsi" w:cstheme="majorHAnsi"/>
              </w:rPr>
              <w:t>assessed stigma at the providers and patient levels, adopt</w:t>
            </w:r>
            <w:r w:rsidRPr="00E37807">
              <w:rPr>
                <w:rFonts w:asciiTheme="majorHAnsi" w:hAnsiTheme="majorHAnsi" w:cstheme="majorHAnsi"/>
              </w:rPr>
              <w:t>ed</w:t>
            </w:r>
            <w:r w:rsidR="004139A8" w:rsidRPr="00E37807">
              <w:rPr>
                <w:rFonts w:asciiTheme="majorHAnsi" w:hAnsiTheme="majorHAnsi" w:cstheme="majorHAnsi"/>
              </w:rPr>
              <w:t xml:space="preserve"> and implement</w:t>
            </w:r>
            <w:r w:rsidRPr="00E37807">
              <w:rPr>
                <w:rFonts w:asciiTheme="majorHAnsi" w:hAnsiTheme="majorHAnsi" w:cstheme="majorHAnsi"/>
              </w:rPr>
              <w:t>ed the package of</w:t>
            </w:r>
            <w:r w:rsidR="004139A8" w:rsidRPr="00E37807">
              <w:rPr>
                <w:rFonts w:asciiTheme="majorHAnsi" w:hAnsiTheme="majorHAnsi" w:cstheme="majorHAnsi"/>
              </w:rPr>
              <w:t xml:space="preserve"> so-called blended learning and policy change interventions to improve the knowledge, attitudes and working conditions of healthcare staff, </w:t>
            </w:r>
            <w:r w:rsidR="009D1617" w:rsidRPr="00E37807">
              <w:rPr>
                <w:rFonts w:asciiTheme="majorHAnsi" w:hAnsiTheme="majorHAnsi" w:cstheme="majorHAnsi"/>
              </w:rPr>
              <w:t>to</w:t>
            </w:r>
            <w:r w:rsidR="004139A8" w:rsidRPr="00E37807">
              <w:rPr>
                <w:rFonts w:asciiTheme="majorHAnsi" w:hAnsiTheme="majorHAnsi" w:cstheme="majorHAnsi"/>
              </w:rPr>
              <w:t xml:space="preserve"> foster empathy</w:t>
            </w:r>
            <w:r w:rsidRPr="00E37807">
              <w:rPr>
                <w:rFonts w:asciiTheme="majorHAnsi" w:hAnsiTheme="majorHAnsi" w:cstheme="majorHAnsi"/>
              </w:rPr>
              <w:t xml:space="preserve"> and</w:t>
            </w:r>
            <w:r w:rsidR="004139A8" w:rsidRPr="00E37807">
              <w:rPr>
                <w:rFonts w:asciiTheme="majorHAnsi" w:hAnsiTheme="majorHAnsi" w:cstheme="majorHAnsi"/>
              </w:rPr>
              <w:t xml:space="preserve"> patient-centered TB care- “the Allies Approach to TB stigma reduction”</w:t>
            </w:r>
            <w:r w:rsidR="009D1617" w:rsidRPr="00E37807">
              <w:rPr>
                <w:rFonts w:asciiTheme="majorHAnsi" w:hAnsiTheme="majorHAnsi" w:cstheme="majorHAnsi"/>
              </w:rPr>
              <w:t xml:space="preserve"> developed by KNC</w:t>
            </w:r>
            <w:r w:rsidR="00B15812">
              <w:rPr>
                <w:rFonts w:asciiTheme="majorHAnsi" w:hAnsiTheme="majorHAnsi" w:cstheme="majorHAnsi"/>
              </w:rPr>
              <w:t>F</w:t>
            </w:r>
            <w:r w:rsidR="009D1617" w:rsidRPr="00E37807">
              <w:rPr>
                <w:rFonts w:asciiTheme="majorHAnsi" w:hAnsiTheme="majorHAnsi" w:cstheme="majorHAnsi"/>
              </w:rPr>
              <w:t xml:space="preserve"> Tuberculosis </w:t>
            </w:r>
            <w:r w:rsidR="004139A8" w:rsidRPr="00E37807">
              <w:rPr>
                <w:rFonts w:asciiTheme="majorHAnsi" w:hAnsiTheme="majorHAnsi" w:cstheme="majorHAnsi"/>
              </w:rPr>
              <w:t>Foundation</w:t>
            </w:r>
            <w:r w:rsidR="006146D3" w:rsidRPr="00E37807">
              <w:rPr>
                <w:rFonts w:asciiTheme="majorHAnsi" w:hAnsiTheme="majorHAnsi" w:cstheme="majorHAnsi"/>
              </w:rPr>
              <w:t xml:space="preserve">. </w:t>
            </w:r>
            <w:r w:rsidR="004139A8" w:rsidRPr="00E37807">
              <w:rPr>
                <w:rFonts w:asciiTheme="majorHAnsi" w:hAnsiTheme="majorHAnsi" w:cstheme="majorHAnsi"/>
              </w:rPr>
              <w:t>The results show a significant decrease in the average score for fear-ba</w:t>
            </w:r>
            <w:r w:rsidR="009D1617" w:rsidRPr="00E37807">
              <w:rPr>
                <w:rFonts w:asciiTheme="majorHAnsi" w:hAnsiTheme="majorHAnsi" w:cstheme="majorHAnsi"/>
              </w:rPr>
              <w:t>sed stigma at providers’ level and more compassion to patients</w:t>
            </w:r>
            <w:r w:rsidR="00AC5858" w:rsidRPr="00E37807">
              <w:rPr>
                <w:rFonts w:asciiTheme="majorHAnsi" w:hAnsiTheme="majorHAnsi" w:cstheme="majorHAnsi"/>
              </w:rPr>
              <w:t xml:space="preserve">, </w:t>
            </w:r>
            <w:r w:rsidR="00E37807">
              <w:rPr>
                <w:rFonts w:asciiTheme="majorHAnsi" w:eastAsia="Times New Roman" w:hAnsiTheme="majorHAnsi" w:cstheme="majorHAnsi"/>
                <w:color w:val="201F1E"/>
                <w:shd w:val="clear" w:color="auto" w:fill="FFFFFF"/>
              </w:rPr>
              <w:t>arousing</w:t>
            </w:r>
            <w:r w:rsidR="00E37807" w:rsidRPr="00E37807">
              <w:rPr>
                <w:rFonts w:asciiTheme="majorHAnsi" w:eastAsia="Times New Roman" w:hAnsiTheme="majorHAnsi" w:cstheme="majorHAnsi"/>
                <w:color w:val="201F1E"/>
                <w:shd w:val="clear" w:color="auto" w:fill="FFFFFF"/>
              </w:rPr>
              <w:t xml:space="preserve"> great interest among healthcare authorities</w:t>
            </w:r>
            <w:r w:rsidR="00A2340F">
              <w:rPr>
                <w:rFonts w:asciiTheme="majorHAnsi" w:eastAsia="Times New Roman" w:hAnsiTheme="majorHAnsi" w:cstheme="majorHAnsi"/>
                <w:color w:val="201F1E"/>
                <w:shd w:val="clear" w:color="auto" w:fill="FFFFFF"/>
              </w:rPr>
              <w:t xml:space="preserve"> for </w:t>
            </w:r>
            <w:r w:rsidR="009D7DD5">
              <w:rPr>
                <w:rFonts w:asciiTheme="majorHAnsi" w:eastAsia="Times New Roman" w:hAnsiTheme="majorHAnsi" w:cstheme="majorHAnsi"/>
                <w:color w:val="201F1E"/>
                <w:shd w:val="clear" w:color="auto" w:fill="FFFFFF"/>
              </w:rPr>
              <w:t>possible scale up.</w:t>
            </w:r>
          </w:p>
          <w:p w14:paraId="443E8C7A" w14:textId="1CB5667E" w:rsidR="007D5889" w:rsidRPr="002376D2" w:rsidRDefault="002376D2" w:rsidP="004C2307">
            <w:pPr>
              <w:jc w:val="both"/>
              <w:rPr>
                <w:rFonts w:asciiTheme="majorHAnsi" w:hAnsiTheme="majorHAnsi" w:cstheme="majorHAnsi"/>
              </w:rPr>
            </w:pPr>
            <w:proofErr w:type="gramStart"/>
            <w:r>
              <w:rPr>
                <w:rFonts w:asciiTheme="majorHAnsi" w:hAnsiTheme="majorHAnsi" w:cs="Arial"/>
              </w:rPr>
              <w:t>A</w:t>
            </w:r>
            <w:r w:rsidRPr="002911CC">
              <w:rPr>
                <w:rFonts w:asciiTheme="majorHAnsi" w:hAnsiTheme="majorHAnsi" w:cs="Arial"/>
              </w:rPr>
              <w:t xml:space="preserve"> number of</w:t>
            </w:r>
            <w:proofErr w:type="gramEnd"/>
            <w:r w:rsidRPr="002911CC">
              <w:rPr>
                <w:rFonts w:asciiTheme="majorHAnsi" w:hAnsiTheme="majorHAnsi" w:cs="Arial"/>
              </w:rPr>
              <w:t xml:space="preserve"> measures have been taken</w:t>
            </w:r>
            <w:r>
              <w:rPr>
                <w:rFonts w:asciiTheme="majorHAnsi" w:hAnsiTheme="majorHAnsi" w:cs="Arial"/>
              </w:rPr>
              <w:t xml:space="preserve"> by the NTP</w:t>
            </w:r>
            <w:r w:rsidRPr="002911CC">
              <w:rPr>
                <w:rFonts w:asciiTheme="majorHAnsi" w:hAnsiTheme="majorHAnsi" w:cs="Arial"/>
              </w:rPr>
              <w:t xml:space="preserve"> to reduce barriers to access to </w:t>
            </w:r>
            <w:r>
              <w:rPr>
                <w:rFonts w:asciiTheme="majorHAnsi" w:hAnsiTheme="majorHAnsi" w:cs="Arial"/>
              </w:rPr>
              <w:t xml:space="preserve">diagnosis and </w:t>
            </w:r>
            <w:r w:rsidRPr="002911CC">
              <w:rPr>
                <w:rFonts w:asciiTheme="majorHAnsi" w:hAnsiTheme="majorHAnsi" w:cs="Arial"/>
              </w:rPr>
              <w:t xml:space="preserve">treatment for </w:t>
            </w:r>
            <w:r>
              <w:rPr>
                <w:rFonts w:asciiTheme="majorHAnsi" w:hAnsiTheme="majorHAnsi" w:cs="Arial"/>
              </w:rPr>
              <w:t>presumptive and active TB patients and reduce stigma, including barriers to medication adherence. I</w:t>
            </w:r>
            <w:r>
              <w:rPr>
                <w:rFonts w:asciiTheme="majorHAnsi" w:hAnsiTheme="majorHAnsi" w:cstheme="majorHAnsi"/>
              </w:rPr>
              <w:t>mprovements were made in the legal and regulatory framework: e.g., t</w:t>
            </w:r>
            <w:r w:rsidRPr="0052537B">
              <w:rPr>
                <w:rFonts w:asciiTheme="majorHAnsi" w:hAnsiTheme="majorHAnsi" w:cstheme="majorHAnsi"/>
              </w:rPr>
              <w:t xml:space="preserve">he </w:t>
            </w:r>
            <w:r>
              <w:rPr>
                <w:rFonts w:asciiTheme="majorHAnsi" w:hAnsiTheme="majorHAnsi" w:cstheme="majorHAnsi"/>
              </w:rPr>
              <w:t xml:space="preserve">new </w:t>
            </w:r>
            <w:r w:rsidRPr="0052537B">
              <w:rPr>
                <w:rFonts w:asciiTheme="majorHAnsi" w:hAnsiTheme="majorHAnsi" w:cstheme="majorHAnsi"/>
              </w:rPr>
              <w:t xml:space="preserve">Code of </w:t>
            </w:r>
            <w:r w:rsidR="004C2307">
              <w:rPr>
                <w:rFonts w:asciiTheme="majorHAnsi" w:hAnsiTheme="majorHAnsi" w:cstheme="majorHAnsi"/>
              </w:rPr>
              <w:t>o</w:t>
            </w:r>
            <w:r w:rsidRPr="0052537B">
              <w:rPr>
                <w:rFonts w:asciiTheme="majorHAnsi" w:hAnsiTheme="majorHAnsi" w:cstheme="majorHAnsi"/>
              </w:rPr>
              <w:t>n people's health a</w:t>
            </w:r>
            <w:r>
              <w:rPr>
                <w:rFonts w:asciiTheme="majorHAnsi" w:hAnsiTheme="majorHAnsi" w:cstheme="majorHAnsi"/>
              </w:rPr>
              <w:t>nd the health care syst</w:t>
            </w:r>
            <w:r w:rsidR="004C2307">
              <w:rPr>
                <w:rFonts w:asciiTheme="majorHAnsi" w:hAnsiTheme="majorHAnsi" w:cstheme="majorHAnsi"/>
              </w:rPr>
              <w:t>em</w:t>
            </w:r>
            <w:r>
              <w:rPr>
                <w:rFonts w:asciiTheme="majorHAnsi" w:hAnsiTheme="majorHAnsi" w:cstheme="majorHAnsi"/>
              </w:rPr>
              <w:t xml:space="preserve"> adopted in July</w:t>
            </w:r>
            <w:r w:rsidRPr="0052537B">
              <w:rPr>
                <w:rFonts w:asciiTheme="majorHAnsi" w:hAnsiTheme="majorHAnsi" w:cstheme="majorHAnsi"/>
              </w:rPr>
              <w:t xml:space="preserve"> 2020, made local executive bodies responsible for organizing social support for </w:t>
            </w:r>
            <w:r>
              <w:rPr>
                <w:rFonts w:asciiTheme="majorHAnsi" w:hAnsiTheme="majorHAnsi" w:cstheme="majorHAnsi"/>
              </w:rPr>
              <w:t xml:space="preserve">TB patients. </w:t>
            </w:r>
            <w:r w:rsidRPr="0052537B">
              <w:rPr>
                <w:rFonts w:asciiTheme="majorHAnsi" w:hAnsiTheme="majorHAnsi" w:cstheme="majorHAnsi"/>
              </w:rPr>
              <w:t xml:space="preserve">Most patients who receive outpatient treatment on a regular basis receive cash benefits, food packages, and travel passes. </w:t>
            </w:r>
            <w:r>
              <w:rPr>
                <w:rFonts w:asciiTheme="majorHAnsi" w:hAnsiTheme="majorHAnsi" w:cstheme="majorHAnsi"/>
              </w:rPr>
              <w:t xml:space="preserve">In addition, integrated social, legal, medical community-based interventions are designed for people in difficult life situations. </w:t>
            </w:r>
            <w:r>
              <w:rPr>
                <w:rFonts w:asciiTheme="majorHAnsi" w:hAnsiTheme="majorHAnsi" w:cs="Arial"/>
              </w:rPr>
              <w:t xml:space="preserve">Moreover, </w:t>
            </w:r>
            <w:r>
              <w:rPr>
                <w:rFonts w:asciiTheme="majorHAnsi" w:hAnsiTheme="majorHAnsi" w:cstheme="majorHAnsi"/>
              </w:rPr>
              <w:t xml:space="preserve">the incentive structures of PHC payment systems, performance measures, and the required volume of financing for ancillary medications used to minimize side effects of anti-tuberculosis medication, and facility-level procedures are in the process of review and refining by the Finance Team established at the NTP. Furthermore, stigma is addressed through training programs for PHC staff, during monitoring visits of M&amp;E groups, and </w:t>
            </w:r>
            <w:r w:rsidR="00481132">
              <w:rPr>
                <w:rFonts w:asciiTheme="majorHAnsi" w:hAnsiTheme="majorHAnsi" w:cstheme="majorHAnsi"/>
              </w:rPr>
              <w:t>NGO-led services</w:t>
            </w:r>
            <w:r w:rsidR="00481132" w:rsidRPr="00481132">
              <w:rPr>
                <w:rFonts w:asciiTheme="majorHAnsi" w:hAnsiTheme="majorHAnsi" w:cstheme="majorHAnsi"/>
              </w:rPr>
              <w:t xml:space="preserve"> targeting vulnerable and hard-to-reach population groups and as</w:t>
            </w:r>
            <w:r w:rsidR="00481132">
              <w:rPr>
                <w:rFonts w:asciiTheme="majorHAnsi" w:hAnsiTheme="majorHAnsi" w:cstheme="majorHAnsi"/>
              </w:rPr>
              <w:t xml:space="preserve">serting their rights to health; </w:t>
            </w:r>
            <w:r>
              <w:rPr>
                <w:rFonts w:asciiTheme="majorHAnsi" w:hAnsiTheme="majorHAnsi" w:cstheme="majorHAnsi"/>
              </w:rPr>
              <w:t xml:space="preserve">through challenges remain. </w:t>
            </w:r>
          </w:p>
        </w:tc>
      </w:tr>
    </w:tbl>
    <w:p w14:paraId="413D59C4" w14:textId="05FAEFFC" w:rsidR="00007BFF" w:rsidRPr="00B271DB" w:rsidRDefault="00007BFF" w:rsidP="001F7F10">
      <w:pPr>
        <w:spacing w:after="0"/>
        <w:rPr>
          <w:rFonts w:cs="Arial"/>
          <w:bCs/>
        </w:rPr>
      </w:pPr>
    </w:p>
    <w:p w14:paraId="1E9618A8" w14:textId="66E2D3F2" w:rsidR="00007BFF" w:rsidRPr="00BF4BEE" w:rsidRDefault="00007BFF" w:rsidP="001F7F10">
      <w:pPr>
        <w:spacing w:after="0"/>
        <w:jc w:val="both"/>
        <w:rPr>
          <w:rFonts w:cs="Arial"/>
        </w:rPr>
      </w:pPr>
      <w:r w:rsidRPr="00BF4BEE">
        <w:rPr>
          <w:rFonts w:cs="Arial"/>
        </w:rPr>
        <w:t xml:space="preserve">Given the country context, size of </w:t>
      </w:r>
      <w:r>
        <w:rPr>
          <w:rFonts w:cs="Arial"/>
        </w:rPr>
        <w:t xml:space="preserve">the </w:t>
      </w:r>
      <w:r w:rsidRPr="00BF4BEE">
        <w:rPr>
          <w:rFonts w:cs="Arial"/>
        </w:rPr>
        <w:t>Global Fund’s allocation, latest available data</w:t>
      </w:r>
      <w:r>
        <w:rPr>
          <w:rFonts w:cs="Arial"/>
        </w:rPr>
        <w:t>, and guidance in the allocation letter</w:t>
      </w:r>
      <w:r w:rsidRPr="00BF4BEE">
        <w:rPr>
          <w:rFonts w:cs="Arial"/>
        </w:rPr>
        <w:t>:</w:t>
      </w:r>
    </w:p>
    <w:p w14:paraId="5796F9C0" w14:textId="55F80D05" w:rsidR="00007BFF" w:rsidRPr="00BF4BEE" w:rsidRDefault="00007BFF" w:rsidP="00BE0F0C">
      <w:pPr>
        <w:spacing w:after="0"/>
        <w:rPr>
          <w:rFonts w:cs="Arial"/>
        </w:rPr>
      </w:pPr>
    </w:p>
    <w:p w14:paraId="22D17666" w14:textId="0B4DD218" w:rsidR="00007BFF" w:rsidRDefault="00007BFF" w:rsidP="00561767">
      <w:pPr>
        <w:spacing w:after="0"/>
        <w:ind w:left="270" w:hanging="270"/>
        <w:jc w:val="both"/>
      </w:pPr>
      <w:r w:rsidRPr="00BF4BEE">
        <w:rPr>
          <w:rFonts w:cs="Arial"/>
          <w:bCs/>
          <w:iCs/>
        </w:rPr>
        <w:t xml:space="preserve">b) </w:t>
      </w:r>
      <w:r>
        <w:rPr>
          <w:rFonts w:cs="Arial"/>
          <w:bCs/>
          <w:iCs/>
        </w:rPr>
        <w:t>Summarize</w:t>
      </w:r>
      <w:r w:rsidRPr="008C21CF">
        <w:rPr>
          <w:rFonts w:cs="Arial"/>
          <w:bCs/>
          <w:iCs/>
        </w:rPr>
        <w:t xml:space="preserve"> the </w:t>
      </w:r>
      <w:r w:rsidRPr="0096146C">
        <w:rPr>
          <w:rFonts w:cs="Arial"/>
          <w:b/>
          <w:bCs/>
          <w:iCs/>
        </w:rPr>
        <w:t>approach used for the prioritization</w:t>
      </w:r>
      <w:r w:rsidRPr="008C21CF">
        <w:rPr>
          <w:rFonts w:cs="Arial"/>
          <w:bCs/>
          <w:iCs/>
        </w:rPr>
        <w:t xml:space="preserve"> of </w:t>
      </w:r>
      <w:r>
        <w:rPr>
          <w:rFonts w:cs="Arial"/>
          <w:bCs/>
          <w:iCs/>
        </w:rPr>
        <w:t>modules and</w:t>
      </w:r>
      <w:r w:rsidRPr="008C21CF">
        <w:rPr>
          <w:rFonts w:cs="Arial"/>
          <w:bCs/>
          <w:iCs/>
        </w:rPr>
        <w:t xml:space="preserve"> interventions</w:t>
      </w:r>
      <w:r>
        <w:rPr>
          <w:rFonts w:cs="Arial"/>
          <w:bCs/>
          <w:iCs/>
        </w:rPr>
        <w:t xml:space="preserve"> (or in the case of Payment for Results, the</w:t>
      </w:r>
      <w:r w:rsidRPr="008C21CF">
        <w:rPr>
          <w:rFonts w:cs="Arial"/>
          <w:bCs/>
          <w:iCs/>
        </w:rPr>
        <w:t xml:space="preserve"> performance indicators and/or milestones</w:t>
      </w:r>
      <w:r>
        <w:rPr>
          <w:rFonts w:cs="Arial"/>
          <w:bCs/>
          <w:iCs/>
        </w:rPr>
        <w:t>)</w:t>
      </w:r>
      <w:r w:rsidRPr="008C21CF">
        <w:rPr>
          <w:rFonts w:cs="Arial"/>
          <w:bCs/>
          <w:iCs/>
        </w:rPr>
        <w:t>.</w:t>
      </w:r>
      <w:r w:rsidRPr="00BF4BEE">
        <w:t xml:space="preserve"> </w:t>
      </w:r>
    </w:p>
    <w:p w14:paraId="6BF04C29" w14:textId="77777777" w:rsidR="00007BFF" w:rsidRPr="004807FB" w:rsidRDefault="00007BFF" w:rsidP="00561767">
      <w:pPr>
        <w:spacing w:after="0"/>
        <w:ind w:left="270" w:hanging="270"/>
        <w:jc w:val="both"/>
        <w:rPr>
          <w:rFonts w:cs="Arial"/>
          <w:bCs/>
          <w:iCs/>
        </w:rPr>
      </w:pPr>
    </w:p>
    <w:tbl>
      <w:tblPr>
        <w:tblStyle w:val="aa"/>
        <w:tblW w:w="0" w:type="auto"/>
        <w:tblLook w:val="04A0" w:firstRow="1" w:lastRow="0" w:firstColumn="1" w:lastColumn="0" w:noHBand="0" w:noVBand="1"/>
      </w:tblPr>
      <w:tblGrid>
        <w:gridCol w:w="10682"/>
      </w:tblGrid>
      <w:tr w:rsidR="00007BFF" w:rsidRPr="00C4234A" w14:paraId="1E016E79" w14:textId="77777777" w:rsidTr="00CB63FE">
        <w:tc>
          <w:tcPr>
            <w:tcW w:w="10790" w:type="dxa"/>
            <w:tcBorders>
              <w:top w:val="single" w:sz="4" w:space="0" w:color="auto"/>
              <w:left w:val="single" w:sz="4" w:space="0" w:color="auto"/>
              <w:bottom w:val="single" w:sz="4" w:space="0" w:color="auto"/>
              <w:right w:val="single" w:sz="4" w:space="0" w:color="auto"/>
            </w:tcBorders>
          </w:tcPr>
          <w:p w14:paraId="31572DAA" w14:textId="53F12348" w:rsidR="00A00E0A" w:rsidRDefault="002D3F91" w:rsidP="005B3F5B">
            <w:pPr>
              <w:spacing w:after="0" w:line="240" w:lineRule="auto"/>
              <w:jc w:val="both"/>
              <w:rPr>
                <w:rFonts w:asciiTheme="majorHAnsi" w:hAnsiTheme="majorHAnsi" w:cstheme="majorHAnsi"/>
              </w:rPr>
            </w:pPr>
            <w:r w:rsidRPr="003500A6">
              <w:rPr>
                <w:rFonts w:asciiTheme="majorHAnsi" w:hAnsiTheme="majorHAnsi" w:cstheme="majorHAnsi"/>
              </w:rPr>
              <w:t>On 12 December</w:t>
            </w:r>
            <w:r w:rsidR="00F26D0D">
              <w:rPr>
                <w:rFonts w:asciiTheme="majorHAnsi" w:hAnsiTheme="majorHAnsi" w:cstheme="majorHAnsi"/>
              </w:rPr>
              <w:t xml:space="preserve"> 2019</w:t>
            </w:r>
            <w:r w:rsidRPr="003500A6">
              <w:rPr>
                <w:rFonts w:asciiTheme="majorHAnsi" w:hAnsiTheme="majorHAnsi" w:cstheme="majorHAnsi"/>
              </w:rPr>
              <w:t xml:space="preserve">, Kazakhstan received its Allocation Letter from the GF on amounts allotted for HIV, TB, and sustainable systems for health. At the meeting held on 31 January 2020, the Country Coordinating Mechanism (CCM) proposed to allocate USD 8,040,997 for the TB component based on a data-driven analysis of programmatic gaps and funding needs in maintaining essential programming. In the third quarter of 2021, the CCM called on the country-level stakeholders for their effective participation by bringing their views and priorities into planning, decisions on interventions, and application design. It placed the announcement in the republican newspaper "Kazakhstanskaya Pravda" and on the websites of CCM Secretariat and the NSCP on 01 October 2021, bringing the attention of health workers and the phthisiatric community NGOs and partners to proposal development initiation process. To inform funding request design, the CCM shepherded the multi-partner consultation process to introduce the guidance, gather perspectives, and get support for interventions. The process engaged individuals affected by TB to share their needs and concerns from national responses and government organizations and local and international NGOs to present proposals and ideas on the GF's recommended funding interventions. Different types of engagement were combined, including WhatsApp groups, online and offline meetings, and roundtables. </w:t>
            </w:r>
          </w:p>
          <w:p w14:paraId="7E417CB8" w14:textId="77777777" w:rsidR="005B3F5B" w:rsidRDefault="005B3F5B" w:rsidP="005B3F5B">
            <w:pPr>
              <w:spacing w:after="0" w:line="240" w:lineRule="auto"/>
              <w:jc w:val="both"/>
              <w:rPr>
                <w:rFonts w:asciiTheme="majorHAnsi" w:hAnsiTheme="majorHAnsi" w:cstheme="majorHAnsi"/>
              </w:rPr>
            </w:pPr>
          </w:p>
          <w:p w14:paraId="2395648E" w14:textId="01F63B92" w:rsidR="00F40A47" w:rsidRDefault="00664FDF" w:rsidP="002D3F91">
            <w:pPr>
              <w:spacing w:after="0" w:line="240" w:lineRule="auto"/>
              <w:jc w:val="both"/>
              <w:rPr>
                <w:rFonts w:asciiTheme="majorHAnsi" w:hAnsiTheme="majorHAnsi" w:cstheme="majorHAnsi"/>
              </w:rPr>
            </w:pPr>
            <w:r w:rsidRPr="003F639F">
              <w:rPr>
                <w:rFonts w:asciiTheme="majorHAnsi" w:hAnsiTheme="majorHAnsi" w:cstheme="majorHAnsi"/>
              </w:rPr>
              <w:t xml:space="preserve">In its turn, the National TB Program held series of consultations </w:t>
            </w:r>
            <w:r w:rsidRPr="00B77531">
              <w:rPr>
                <w:rFonts w:asciiTheme="majorHAnsi" w:hAnsiTheme="majorHAnsi" w:cstheme="majorHAnsi"/>
              </w:rPr>
              <w:t xml:space="preserve">with </w:t>
            </w:r>
            <w:r w:rsidR="00536095" w:rsidRPr="00B77531">
              <w:rPr>
                <w:rFonts w:asciiTheme="majorHAnsi" w:hAnsiTheme="majorHAnsi" w:cstheme="majorHAnsi"/>
              </w:rPr>
              <w:t>regional TB C</w:t>
            </w:r>
            <w:r w:rsidRPr="00B77531">
              <w:rPr>
                <w:rFonts w:asciiTheme="majorHAnsi" w:hAnsiTheme="majorHAnsi" w:cstheme="majorHAnsi"/>
              </w:rPr>
              <w:t xml:space="preserve">enters, </w:t>
            </w:r>
            <w:r w:rsidR="00536095" w:rsidRPr="00974FD7">
              <w:rPr>
                <w:rFonts w:cs="Arial"/>
              </w:rPr>
              <w:t>CCES,</w:t>
            </w:r>
            <w:r w:rsidR="00536095" w:rsidRPr="00536095">
              <w:rPr>
                <w:rFonts w:asciiTheme="majorHAnsi" w:hAnsiTheme="majorHAnsi" w:cstheme="majorHAnsi"/>
              </w:rPr>
              <w:t xml:space="preserve"> </w:t>
            </w:r>
            <w:r w:rsidRPr="00536095">
              <w:rPr>
                <w:rFonts w:asciiTheme="majorHAnsi" w:hAnsiTheme="majorHAnsi" w:cstheme="majorHAnsi"/>
              </w:rPr>
              <w:t xml:space="preserve">local and international partners, NGOs on </w:t>
            </w:r>
            <w:r w:rsidR="002D3F91" w:rsidRPr="00536095">
              <w:rPr>
                <w:rFonts w:asciiTheme="majorHAnsi" w:hAnsiTheme="majorHAnsi" w:cstheme="majorHAnsi"/>
              </w:rPr>
              <w:t>funding request requirements and applications development process as well as defined and reconcile the main thematic objectives and application f</w:t>
            </w:r>
            <w:r w:rsidR="002D3F91" w:rsidRPr="003500A6">
              <w:rPr>
                <w:rFonts w:asciiTheme="majorHAnsi" w:hAnsiTheme="majorHAnsi" w:cstheme="majorHAnsi"/>
              </w:rPr>
              <w:t>ocus requirements specified in the allocation letter. A set of instructions and data collection tools were prepared and shared with applicants helping to identify gaps, define priority areas and rationale for investment. For better resource leverage and to construct the funding landscape table, the international organizations operating in Kazakhstan were contacted to support with information on their contribution levels to the national TB respon</w:t>
            </w:r>
            <w:r w:rsidR="00F40A47">
              <w:rPr>
                <w:rFonts w:asciiTheme="majorHAnsi" w:hAnsiTheme="majorHAnsi" w:cstheme="majorHAnsi"/>
              </w:rPr>
              <w:t xml:space="preserve">se and </w:t>
            </w:r>
            <w:r w:rsidR="00F65F2C" w:rsidRPr="00F65F2C">
              <w:rPr>
                <w:rFonts w:asciiTheme="majorHAnsi" w:hAnsiTheme="majorHAnsi" w:cstheme="majorHAnsi"/>
              </w:rPr>
              <w:t xml:space="preserve">highlight </w:t>
            </w:r>
            <w:r w:rsidR="00F40A47">
              <w:rPr>
                <w:rFonts w:asciiTheme="majorHAnsi" w:hAnsiTheme="majorHAnsi" w:cstheme="majorHAnsi"/>
              </w:rPr>
              <w:t>areas of future support.</w:t>
            </w:r>
          </w:p>
          <w:p w14:paraId="04A8D4B6" w14:textId="77777777" w:rsidR="002D3F91" w:rsidRPr="003500A6" w:rsidRDefault="002D3F91" w:rsidP="002D3F91">
            <w:pPr>
              <w:spacing w:after="0" w:line="240" w:lineRule="auto"/>
              <w:jc w:val="both"/>
              <w:rPr>
                <w:rFonts w:asciiTheme="majorHAnsi" w:hAnsiTheme="majorHAnsi" w:cstheme="majorHAnsi"/>
              </w:rPr>
            </w:pPr>
          </w:p>
          <w:p w14:paraId="70A3C37E" w14:textId="0563285A" w:rsidR="00F40A47" w:rsidRDefault="002D3F91" w:rsidP="00F40A47">
            <w:pPr>
              <w:spacing w:after="0" w:line="240" w:lineRule="auto"/>
              <w:jc w:val="both"/>
              <w:rPr>
                <w:rFonts w:asciiTheme="majorHAnsi" w:hAnsiTheme="majorHAnsi" w:cstheme="majorHAnsi"/>
              </w:rPr>
            </w:pPr>
            <w:r w:rsidRPr="003500A6">
              <w:rPr>
                <w:rFonts w:asciiTheme="majorHAnsi" w:hAnsiTheme="majorHAnsi" w:cstheme="majorHAnsi"/>
              </w:rPr>
              <w:t xml:space="preserve">The prioritization process was transparent and consultative and based on funding criteria and </w:t>
            </w:r>
            <w:r w:rsidR="004764E6">
              <w:rPr>
                <w:rFonts w:asciiTheme="majorHAnsi" w:hAnsiTheme="majorHAnsi" w:cstheme="majorHAnsi"/>
              </w:rPr>
              <w:t xml:space="preserve">indentified </w:t>
            </w:r>
            <w:r w:rsidRPr="003500A6">
              <w:rPr>
                <w:rFonts w:asciiTheme="majorHAnsi" w:hAnsiTheme="majorHAnsi" w:cstheme="majorHAnsi"/>
              </w:rPr>
              <w:t xml:space="preserve">priorities capped by the amount </w:t>
            </w:r>
            <w:r w:rsidR="004764E6">
              <w:rPr>
                <w:rFonts w:asciiTheme="majorHAnsi" w:hAnsiTheme="majorHAnsi" w:cstheme="majorHAnsi"/>
              </w:rPr>
              <w:t xml:space="preserve">allocated to </w:t>
            </w:r>
            <w:r w:rsidRPr="003500A6">
              <w:rPr>
                <w:rFonts w:asciiTheme="majorHAnsi" w:hAnsiTheme="majorHAnsi" w:cstheme="majorHAnsi"/>
              </w:rPr>
              <w:t>the TB component</w:t>
            </w:r>
            <w:r w:rsidR="00075538">
              <w:rPr>
                <w:rFonts w:asciiTheme="majorHAnsi" w:hAnsiTheme="majorHAnsi" w:cstheme="majorHAnsi"/>
              </w:rPr>
              <w:t>, the c</w:t>
            </w:r>
            <w:r w:rsidR="00FD6B10">
              <w:rPr>
                <w:rFonts w:asciiTheme="majorHAnsi" w:hAnsiTheme="majorHAnsi" w:cstheme="majorHAnsi"/>
              </w:rPr>
              <w:t xml:space="preserve">ountry co-financing commitments, </w:t>
            </w:r>
            <w:r w:rsidR="00075538">
              <w:rPr>
                <w:rFonts w:asciiTheme="majorHAnsi" w:hAnsiTheme="majorHAnsi" w:cstheme="majorHAnsi"/>
              </w:rPr>
              <w:t>available resource capacity</w:t>
            </w:r>
            <w:r w:rsidR="00FD6B10">
              <w:rPr>
                <w:rFonts w:asciiTheme="majorHAnsi" w:hAnsiTheme="majorHAnsi" w:cstheme="majorHAnsi"/>
              </w:rPr>
              <w:t xml:space="preserve"> and timing limitations</w:t>
            </w:r>
            <w:r w:rsidRPr="003500A6">
              <w:rPr>
                <w:rFonts w:asciiTheme="majorHAnsi" w:hAnsiTheme="majorHAnsi" w:cstheme="majorHAnsi"/>
              </w:rPr>
              <w:t>. The key principles laid out in the prioritization approach were that the interventions should be based on the country's needs</w:t>
            </w:r>
            <w:r w:rsidR="003103A0">
              <w:rPr>
                <w:rFonts w:asciiTheme="majorHAnsi" w:hAnsiTheme="majorHAnsi" w:cstheme="majorHAnsi"/>
              </w:rPr>
              <w:t>,</w:t>
            </w:r>
            <w:r w:rsidRPr="003500A6">
              <w:rPr>
                <w:rFonts w:asciiTheme="majorHAnsi" w:hAnsiTheme="majorHAnsi" w:cstheme="majorHAnsi"/>
              </w:rPr>
              <w:t xml:space="preserve"> guided by the Comprehensive Plan</w:t>
            </w:r>
            <w:r w:rsidR="00D508CF">
              <w:rPr>
                <w:rFonts w:asciiTheme="majorHAnsi" w:hAnsiTheme="majorHAnsi" w:cstheme="majorHAnsi"/>
              </w:rPr>
              <w:t>,</w:t>
            </w:r>
            <w:r w:rsidRPr="003500A6">
              <w:rPr>
                <w:rFonts w:asciiTheme="majorHAnsi" w:hAnsiTheme="majorHAnsi" w:cstheme="majorHAnsi"/>
              </w:rPr>
              <w:t xml:space="preserve"> </w:t>
            </w:r>
            <w:r w:rsidR="00D508CF">
              <w:rPr>
                <w:rFonts w:asciiTheme="majorHAnsi" w:hAnsiTheme="majorHAnsi" w:cstheme="majorHAnsi"/>
              </w:rPr>
              <w:t>the</w:t>
            </w:r>
            <w:r w:rsidRPr="003500A6">
              <w:rPr>
                <w:rFonts w:asciiTheme="majorHAnsi" w:hAnsiTheme="majorHAnsi" w:cstheme="majorHAnsi"/>
              </w:rPr>
              <w:t xml:space="preserve"> program</w:t>
            </w:r>
            <w:r w:rsidR="00D508CF">
              <w:rPr>
                <w:rFonts w:asciiTheme="majorHAnsi" w:hAnsiTheme="majorHAnsi" w:cstheme="majorHAnsi"/>
              </w:rPr>
              <w:t>’</w:t>
            </w:r>
            <w:r w:rsidRPr="003500A6">
              <w:rPr>
                <w:rFonts w:asciiTheme="majorHAnsi" w:hAnsiTheme="majorHAnsi" w:cstheme="majorHAnsi"/>
              </w:rPr>
              <w:t xml:space="preserve"> </w:t>
            </w:r>
            <w:r w:rsidR="00D508CF">
              <w:rPr>
                <w:rFonts w:asciiTheme="majorHAnsi" w:hAnsiTheme="majorHAnsi" w:cstheme="majorHAnsi"/>
              </w:rPr>
              <w:t xml:space="preserve">technical </w:t>
            </w:r>
            <w:r w:rsidRPr="003500A6">
              <w:rPr>
                <w:rFonts w:asciiTheme="majorHAnsi" w:hAnsiTheme="majorHAnsi" w:cstheme="majorHAnsi"/>
              </w:rPr>
              <w:t>reviews</w:t>
            </w:r>
            <w:r w:rsidR="00D508CF">
              <w:rPr>
                <w:rFonts w:asciiTheme="majorHAnsi" w:hAnsiTheme="majorHAnsi" w:cstheme="majorHAnsi"/>
              </w:rPr>
              <w:t xml:space="preserve"> and the recent WHO recommendations</w:t>
            </w:r>
            <w:r w:rsidRPr="003500A6">
              <w:rPr>
                <w:rFonts w:asciiTheme="majorHAnsi" w:hAnsiTheme="majorHAnsi" w:cstheme="majorHAnsi"/>
              </w:rPr>
              <w:t xml:space="preserve">. Also, they should maximize the current national TB response and the interventions worth their costs. Data from partners, technical and beneficiary groups were </w:t>
            </w:r>
            <w:r w:rsidR="00F40A47">
              <w:rPr>
                <w:rFonts w:asciiTheme="majorHAnsi" w:hAnsiTheme="majorHAnsi" w:cstheme="majorHAnsi"/>
              </w:rPr>
              <w:t>collected</w:t>
            </w:r>
            <w:r w:rsidRPr="003500A6">
              <w:rPr>
                <w:rFonts w:asciiTheme="majorHAnsi" w:hAnsiTheme="majorHAnsi" w:cstheme="majorHAnsi"/>
              </w:rPr>
              <w:t xml:space="preserve"> following a form, requesting (i) description of interventions along with the rationale; (ii) the effect of this intervention/key activities on key affected populations and/or health systems; (iii) expected res</w:t>
            </w:r>
            <w:r w:rsidR="00281EEA">
              <w:rPr>
                <w:rFonts w:asciiTheme="majorHAnsi" w:hAnsiTheme="majorHAnsi" w:cstheme="majorHAnsi"/>
              </w:rPr>
              <w:t xml:space="preserve">ults and (iv) budget breakdown. </w:t>
            </w:r>
            <w:r w:rsidR="00281EEA" w:rsidRPr="00281EEA">
              <w:rPr>
                <w:rFonts w:asciiTheme="majorHAnsi" w:hAnsiTheme="majorHAnsi" w:cstheme="majorHAnsi"/>
              </w:rPr>
              <w:t>Furthermore, the discussions around strategi</w:t>
            </w:r>
            <w:r w:rsidR="00281EEA">
              <w:rPr>
                <w:rFonts w:asciiTheme="majorHAnsi" w:hAnsiTheme="majorHAnsi" w:cstheme="majorHAnsi"/>
              </w:rPr>
              <w:t>c issues of the development of Phthisiopulmonology S</w:t>
            </w:r>
            <w:r w:rsidR="00281EEA" w:rsidRPr="00281EEA">
              <w:rPr>
                <w:rFonts w:asciiTheme="majorHAnsi" w:hAnsiTheme="majorHAnsi" w:cstheme="majorHAnsi"/>
              </w:rPr>
              <w:t xml:space="preserve">ervice in </w:t>
            </w:r>
            <w:r w:rsidR="00281EEA">
              <w:rPr>
                <w:rFonts w:asciiTheme="majorHAnsi" w:hAnsiTheme="majorHAnsi" w:cstheme="majorHAnsi"/>
              </w:rPr>
              <w:t xml:space="preserve">Kazakhstan </w:t>
            </w:r>
            <w:r w:rsidR="00281EEA" w:rsidRPr="00281EEA">
              <w:rPr>
                <w:rFonts w:asciiTheme="majorHAnsi" w:hAnsiTheme="majorHAnsi" w:cstheme="majorHAnsi"/>
              </w:rPr>
              <w:t>were conducted during the plenary session</w:t>
            </w:r>
            <w:r w:rsidR="00281EEA">
              <w:rPr>
                <w:rFonts w:asciiTheme="majorHAnsi" w:hAnsiTheme="majorHAnsi" w:cstheme="majorHAnsi"/>
              </w:rPr>
              <w:t>s and group discussions of the International C</w:t>
            </w:r>
            <w:r w:rsidR="00281EEA" w:rsidRPr="00281EEA">
              <w:rPr>
                <w:rFonts w:asciiTheme="majorHAnsi" w:hAnsiTheme="majorHAnsi" w:cstheme="majorHAnsi"/>
              </w:rPr>
              <w:t>onference held on 28-29 October</w:t>
            </w:r>
            <w:r w:rsidR="00F26D0D">
              <w:rPr>
                <w:rFonts w:asciiTheme="majorHAnsi" w:hAnsiTheme="majorHAnsi" w:cstheme="majorHAnsi"/>
              </w:rPr>
              <w:t xml:space="preserve"> 2021</w:t>
            </w:r>
            <w:r w:rsidR="00281EEA" w:rsidRPr="00281EEA">
              <w:rPr>
                <w:rFonts w:asciiTheme="majorHAnsi" w:hAnsiTheme="majorHAnsi" w:cstheme="majorHAnsi"/>
              </w:rPr>
              <w:t xml:space="preserve">. The recommendations voiced for concreate initiatives were </w:t>
            </w:r>
            <w:proofErr w:type="gramStart"/>
            <w:r w:rsidR="00281EEA" w:rsidRPr="00281EEA">
              <w:rPr>
                <w:rFonts w:asciiTheme="majorHAnsi" w:hAnsiTheme="majorHAnsi" w:cstheme="majorHAnsi"/>
              </w:rPr>
              <w:t>taken into accou</w:t>
            </w:r>
            <w:r w:rsidR="00281EEA">
              <w:rPr>
                <w:rFonts w:asciiTheme="majorHAnsi" w:hAnsiTheme="majorHAnsi" w:cstheme="majorHAnsi"/>
              </w:rPr>
              <w:t>nt</w:t>
            </w:r>
            <w:proofErr w:type="gramEnd"/>
            <w:r w:rsidR="00281EEA">
              <w:rPr>
                <w:rFonts w:asciiTheme="majorHAnsi" w:hAnsiTheme="majorHAnsi" w:cstheme="majorHAnsi"/>
              </w:rPr>
              <w:t xml:space="preserve"> in activities prioritization </w:t>
            </w:r>
            <w:r w:rsidR="00281EEA" w:rsidRPr="00281EEA">
              <w:rPr>
                <w:rFonts w:asciiTheme="majorHAnsi" w:hAnsiTheme="majorHAnsi" w:cstheme="majorHAnsi"/>
              </w:rPr>
              <w:t>exercise</w:t>
            </w:r>
            <w:r w:rsidR="00DF4111">
              <w:rPr>
                <w:rFonts w:asciiTheme="majorHAnsi" w:hAnsiTheme="majorHAnsi" w:cstheme="majorHAnsi"/>
              </w:rPr>
              <w:t>.</w:t>
            </w:r>
          </w:p>
          <w:p w14:paraId="43807573" w14:textId="77777777" w:rsidR="00281EEA" w:rsidRDefault="00281EEA" w:rsidP="001311D9">
            <w:pPr>
              <w:spacing w:after="0" w:line="240" w:lineRule="auto"/>
              <w:jc w:val="both"/>
              <w:rPr>
                <w:rFonts w:asciiTheme="majorHAnsi" w:hAnsiTheme="majorHAnsi" w:cstheme="majorHAnsi"/>
              </w:rPr>
            </w:pPr>
          </w:p>
          <w:p w14:paraId="62E97D1B" w14:textId="1DC07918" w:rsidR="001226B8" w:rsidRDefault="002D3F91" w:rsidP="001311D9">
            <w:pPr>
              <w:spacing w:after="0" w:line="240" w:lineRule="auto"/>
              <w:jc w:val="both"/>
              <w:rPr>
                <w:rFonts w:asciiTheme="majorHAnsi" w:hAnsiTheme="majorHAnsi" w:cstheme="majorHAnsi"/>
              </w:rPr>
            </w:pPr>
            <w:r w:rsidRPr="003500A6">
              <w:rPr>
                <w:rFonts w:asciiTheme="majorHAnsi" w:hAnsiTheme="majorHAnsi" w:cstheme="majorHAnsi"/>
              </w:rPr>
              <w:t xml:space="preserve">Compiling the list of interventions submitted by the applicants and NSCP technical group for further prioritization, the CCM/TWG packed them together to be aligned with the modules listed in the GF Funding Request Performance Framework. The higher priority was given to services and goods that would more likely benefit the key population and vulnerable groups, </w:t>
            </w:r>
            <w:proofErr w:type="gramStart"/>
            <w:r w:rsidRPr="003500A6">
              <w:rPr>
                <w:rFonts w:asciiTheme="majorHAnsi" w:hAnsiTheme="majorHAnsi" w:cstheme="majorHAnsi"/>
              </w:rPr>
              <w:t>fro</w:t>
            </w:r>
            <w:r w:rsidR="00BB304D">
              <w:rPr>
                <w:rFonts w:asciiTheme="majorHAnsi" w:hAnsiTheme="majorHAnsi" w:cstheme="majorHAnsi"/>
              </w:rPr>
              <w:t>m the equity consideration,</w:t>
            </w:r>
            <w:proofErr w:type="gramEnd"/>
            <w:r w:rsidR="00BB304D">
              <w:rPr>
                <w:rFonts w:asciiTheme="majorHAnsi" w:hAnsiTheme="majorHAnsi" w:cstheme="majorHAnsi"/>
              </w:rPr>
              <w:t xml:space="preserve"> </w:t>
            </w:r>
            <w:r w:rsidRPr="003500A6">
              <w:rPr>
                <w:rFonts w:asciiTheme="majorHAnsi" w:hAnsiTheme="majorHAnsi" w:cstheme="majorHAnsi"/>
              </w:rPr>
              <w:t>to</w:t>
            </w:r>
            <w:r w:rsidR="00E94A18">
              <w:rPr>
                <w:rFonts w:asciiTheme="majorHAnsi" w:hAnsiTheme="majorHAnsi" w:cstheme="majorHAnsi"/>
              </w:rPr>
              <w:t xml:space="preserve"> </w:t>
            </w:r>
            <w:r w:rsidRPr="003500A6">
              <w:rPr>
                <w:rFonts w:asciiTheme="majorHAnsi" w:hAnsiTheme="majorHAnsi" w:cstheme="majorHAnsi"/>
              </w:rPr>
              <w:t xml:space="preserve">interventions </w:t>
            </w:r>
            <w:r w:rsidR="00E94A18">
              <w:rPr>
                <w:rFonts w:asciiTheme="majorHAnsi" w:hAnsiTheme="majorHAnsi" w:cstheme="majorHAnsi"/>
              </w:rPr>
              <w:t xml:space="preserve">aiming to restore and accelerate TB services, and </w:t>
            </w:r>
            <w:r w:rsidR="00BB304D">
              <w:rPr>
                <w:rFonts w:asciiTheme="majorHAnsi" w:hAnsiTheme="majorHAnsi" w:cstheme="majorHAnsi"/>
              </w:rPr>
              <w:t xml:space="preserve">those </w:t>
            </w:r>
            <w:r w:rsidRPr="003500A6">
              <w:rPr>
                <w:rFonts w:asciiTheme="majorHAnsi" w:hAnsiTheme="majorHAnsi" w:cstheme="majorHAnsi"/>
              </w:rPr>
              <w:t>having bette</w:t>
            </w:r>
            <w:r>
              <w:rPr>
                <w:rFonts w:asciiTheme="majorHAnsi" w:hAnsiTheme="majorHAnsi" w:cstheme="majorHAnsi"/>
              </w:rPr>
              <w:t>r prospects for being sustained</w:t>
            </w:r>
            <w:r w:rsidR="00244C21" w:rsidRPr="006235E4">
              <w:rPr>
                <w:rFonts w:asciiTheme="majorHAnsi" w:hAnsiTheme="majorHAnsi" w:cstheme="majorHAnsi"/>
              </w:rPr>
              <w:t xml:space="preserve">. </w:t>
            </w:r>
            <w:r w:rsidR="00244C21" w:rsidRPr="00A55085">
              <w:rPr>
                <w:rFonts w:asciiTheme="majorHAnsi" w:hAnsiTheme="majorHAnsi" w:cstheme="majorHAnsi"/>
              </w:rPr>
              <w:t>For interven</w:t>
            </w:r>
            <w:r w:rsidR="00E06F0C">
              <w:rPr>
                <w:rFonts w:asciiTheme="majorHAnsi" w:hAnsiTheme="majorHAnsi" w:cstheme="majorHAnsi"/>
              </w:rPr>
              <w:t>tions distribution between the</w:t>
            </w:r>
            <w:r w:rsidR="00244C21" w:rsidRPr="00A55085">
              <w:rPr>
                <w:rFonts w:asciiTheme="majorHAnsi" w:hAnsiTheme="majorHAnsi" w:cstheme="majorHAnsi"/>
              </w:rPr>
              <w:t xml:space="preserve"> base allocation and above allocation requests, the priorities</w:t>
            </w:r>
            <w:r w:rsidR="00244C21">
              <w:rPr>
                <w:rFonts w:asciiTheme="majorHAnsi" w:hAnsiTheme="majorHAnsi" w:cstheme="majorHAnsi"/>
              </w:rPr>
              <w:t xml:space="preserve"> among programmatic objectives were established taking into consideration the </w:t>
            </w:r>
            <w:r w:rsidR="00244C21" w:rsidRPr="00A55085">
              <w:rPr>
                <w:rFonts w:asciiTheme="majorHAnsi" w:hAnsiTheme="majorHAnsi" w:cstheme="majorHAnsi"/>
              </w:rPr>
              <w:t>WHO</w:t>
            </w:r>
            <w:r w:rsidR="00E06F0C">
              <w:rPr>
                <w:rFonts w:asciiTheme="majorHAnsi" w:hAnsiTheme="majorHAnsi" w:cstheme="majorHAnsi"/>
              </w:rPr>
              <w:t xml:space="preserve"> and International partners</w:t>
            </w:r>
            <w:r w:rsidR="00244C21" w:rsidRPr="00A55085">
              <w:rPr>
                <w:rFonts w:asciiTheme="majorHAnsi" w:hAnsiTheme="majorHAnsi" w:cstheme="majorHAnsi"/>
              </w:rPr>
              <w:t xml:space="preserve"> re</w:t>
            </w:r>
            <w:r w:rsidR="00244C21">
              <w:rPr>
                <w:rFonts w:asciiTheme="majorHAnsi" w:hAnsiTheme="majorHAnsi" w:cstheme="majorHAnsi"/>
              </w:rPr>
              <w:t>commendations</w:t>
            </w:r>
            <w:r w:rsidR="00244C21">
              <w:rPr>
                <w:rStyle w:val="af"/>
                <w:rFonts w:asciiTheme="majorHAnsi" w:hAnsiTheme="majorHAnsi" w:cstheme="majorHAnsi"/>
              </w:rPr>
              <w:footnoteReference w:id="69"/>
            </w:r>
            <w:r w:rsidR="00244C21">
              <w:rPr>
                <w:rFonts w:asciiTheme="majorHAnsi" w:hAnsiTheme="majorHAnsi" w:cstheme="majorHAnsi"/>
              </w:rPr>
              <w:t>, the responses from TWG experts and planned spending</w:t>
            </w:r>
            <w:r w:rsidR="00E06F0C">
              <w:rPr>
                <w:rFonts w:asciiTheme="majorHAnsi" w:hAnsiTheme="majorHAnsi" w:cstheme="majorHAnsi"/>
              </w:rPr>
              <w:t xml:space="preserve"> level in 2023-2025</w:t>
            </w:r>
            <w:r w:rsidR="00244C21">
              <w:rPr>
                <w:rFonts w:asciiTheme="majorHAnsi" w:hAnsiTheme="majorHAnsi" w:cstheme="majorHAnsi"/>
              </w:rPr>
              <w:t xml:space="preserve">. </w:t>
            </w:r>
            <w:r w:rsidR="00244C21" w:rsidRPr="00FC0309">
              <w:rPr>
                <w:rFonts w:asciiTheme="majorHAnsi" w:hAnsiTheme="majorHAnsi" w:cstheme="majorHAnsi"/>
              </w:rPr>
              <w:t xml:space="preserve">The selected </w:t>
            </w:r>
            <w:r w:rsidR="00244C21">
              <w:rPr>
                <w:rFonts w:asciiTheme="majorHAnsi" w:hAnsiTheme="majorHAnsi" w:cstheme="majorHAnsi"/>
              </w:rPr>
              <w:t>activities</w:t>
            </w:r>
            <w:r w:rsidR="00244C21" w:rsidRPr="00FC0309">
              <w:rPr>
                <w:rFonts w:asciiTheme="majorHAnsi" w:hAnsiTheme="majorHAnsi" w:cstheme="majorHAnsi"/>
              </w:rPr>
              <w:t xml:space="preserve"> </w:t>
            </w:r>
            <w:r w:rsidR="00244C21" w:rsidRPr="00B77531">
              <w:rPr>
                <w:rFonts w:asciiTheme="majorHAnsi" w:hAnsiTheme="majorHAnsi" w:cstheme="majorHAnsi"/>
              </w:rPr>
              <w:t>were vetted</w:t>
            </w:r>
            <w:r w:rsidR="00244C21" w:rsidRPr="00FC0309">
              <w:rPr>
                <w:rFonts w:asciiTheme="majorHAnsi" w:hAnsiTheme="majorHAnsi" w:cstheme="majorHAnsi"/>
              </w:rPr>
              <w:t xml:space="preserve"> among all </w:t>
            </w:r>
            <w:r w:rsidR="00244C21">
              <w:rPr>
                <w:rFonts w:asciiTheme="majorHAnsi" w:hAnsiTheme="majorHAnsi" w:cstheme="majorHAnsi"/>
              </w:rPr>
              <w:t xml:space="preserve">participated </w:t>
            </w:r>
            <w:proofErr w:type="gramStart"/>
            <w:r w:rsidR="002C40B6">
              <w:rPr>
                <w:rFonts w:asciiTheme="majorHAnsi" w:hAnsiTheme="majorHAnsi" w:cstheme="majorHAnsi"/>
              </w:rPr>
              <w:t>parties</w:t>
            </w:r>
            <w:r w:rsidR="00244C21">
              <w:rPr>
                <w:rFonts w:asciiTheme="majorHAnsi" w:hAnsiTheme="majorHAnsi" w:cstheme="majorHAnsi"/>
              </w:rPr>
              <w:t>, and</w:t>
            </w:r>
            <w:proofErr w:type="gramEnd"/>
            <w:r w:rsidR="00244C21">
              <w:rPr>
                <w:rFonts w:asciiTheme="majorHAnsi" w:hAnsiTheme="majorHAnsi" w:cstheme="majorHAnsi"/>
              </w:rPr>
              <w:t xml:space="preserve"> ranked based on feedback received</w:t>
            </w:r>
            <w:r w:rsidR="001311D9">
              <w:rPr>
                <w:rFonts w:asciiTheme="majorHAnsi" w:hAnsiTheme="majorHAnsi" w:cstheme="majorHAnsi"/>
              </w:rPr>
              <w:t xml:space="preserve">. </w:t>
            </w:r>
          </w:p>
          <w:p w14:paraId="5C91039F" w14:textId="77777777" w:rsidR="001226B8" w:rsidRDefault="001226B8" w:rsidP="001226B8">
            <w:pPr>
              <w:spacing w:after="0" w:line="240" w:lineRule="auto"/>
              <w:jc w:val="both"/>
              <w:rPr>
                <w:rFonts w:asciiTheme="majorHAnsi" w:hAnsiTheme="majorHAnsi" w:cstheme="majorHAnsi"/>
              </w:rPr>
            </w:pPr>
          </w:p>
          <w:p w14:paraId="4801DC76" w14:textId="6C8C2CF8" w:rsidR="001226B8" w:rsidRPr="003D1C66" w:rsidRDefault="0049561C" w:rsidP="00141481">
            <w:pPr>
              <w:spacing w:after="0" w:line="240" w:lineRule="auto"/>
              <w:jc w:val="both"/>
              <w:rPr>
                <w:rFonts w:ascii="Times" w:eastAsia="Times New Roman" w:hAnsi="Times" w:cs="Times New Roman"/>
                <w:sz w:val="20"/>
                <w:szCs w:val="20"/>
              </w:rPr>
            </w:pPr>
            <w:r>
              <w:rPr>
                <w:rFonts w:cs="Arial"/>
                <w:color w:val="000000"/>
              </w:rPr>
              <w:t>For those interventions</w:t>
            </w:r>
            <w:r w:rsidR="005C4C11">
              <w:rPr>
                <w:rFonts w:cs="Arial"/>
                <w:color w:val="000000"/>
              </w:rPr>
              <w:t>, which</w:t>
            </w:r>
            <w:r w:rsidR="001226B8" w:rsidRPr="001226B8">
              <w:rPr>
                <w:rFonts w:cs="Arial"/>
                <w:color w:val="000000"/>
              </w:rPr>
              <w:t xml:space="preserve"> were not included in the</w:t>
            </w:r>
            <w:r w:rsidR="001226B8">
              <w:rPr>
                <w:rFonts w:cs="Arial"/>
                <w:color w:val="000000"/>
              </w:rPr>
              <w:t xml:space="preserve"> base</w:t>
            </w:r>
            <w:r w:rsidR="001226B8" w:rsidRPr="001226B8">
              <w:rPr>
                <w:rFonts w:cs="Arial"/>
                <w:color w:val="000000"/>
              </w:rPr>
              <w:t xml:space="preserve"> allocation</w:t>
            </w:r>
            <w:r w:rsidR="005C4C11">
              <w:rPr>
                <w:rFonts w:cs="Arial"/>
                <w:color w:val="000000"/>
              </w:rPr>
              <w:t xml:space="preserve"> portion of the funding request</w:t>
            </w:r>
            <w:r w:rsidR="001226B8">
              <w:rPr>
                <w:rFonts w:cs="Arial"/>
                <w:color w:val="000000"/>
              </w:rPr>
              <w:t xml:space="preserve">, </w:t>
            </w:r>
            <w:r w:rsidR="001226B8" w:rsidRPr="001226B8">
              <w:rPr>
                <w:rFonts w:cs="Arial"/>
                <w:color w:val="000000"/>
              </w:rPr>
              <w:t xml:space="preserve">the </w:t>
            </w:r>
            <w:r w:rsidR="003D1C66">
              <w:rPr>
                <w:rFonts w:cs="Arial"/>
                <w:color w:val="000000"/>
              </w:rPr>
              <w:t>working group</w:t>
            </w:r>
            <w:r w:rsidR="001226B8" w:rsidRPr="001226B8">
              <w:rPr>
                <w:rFonts w:cs="Arial"/>
                <w:color w:val="000000"/>
              </w:rPr>
              <w:t xml:space="preserve"> </w:t>
            </w:r>
            <w:r w:rsidR="005C4C11">
              <w:rPr>
                <w:rFonts w:cs="Arial"/>
                <w:color w:val="000000"/>
              </w:rPr>
              <w:t xml:space="preserve">prioritized </w:t>
            </w:r>
            <w:r>
              <w:rPr>
                <w:rFonts w:cs="Arial"/>
                <w:color w:val="000000"/>
              </w:rPr>
              <w:t>them</w:t>
            </w:r>
            <w:r w:rsidR="005C4C11">
              <w:rPr>
                <w:rFonts w:cs="Arial"/>
                <w:color w:val="000000"/>
              </w:rPr>
              <w:t xml:space="preserve"> unde</w:t>
            </w:r>
            <w:r>
              <w:rPr>
                <w:rFonts w:cs="Arial"/>
                <w:color w:val="000000"/>
              </w:rPr>
              <w:t xml:space="preserve">r PAAR </w:t>
            </w:r>
            <w:proofErr w:type="gramStart"/>
            <w:r>
              <w:rPr>
                <w:rFonts w:cs="Arial"/>
                <w:color w:val="000000"/>
              </w:rPr>
              <w:t>taking into account</w:t>
            </w:r>
            <w:proofErr w:type="gramEnd"/>
            <w:r>
              <w:rPr>
                <w:rFonts w:cs="Arial"/>
                <w:color w:val="000000"/>
              </w:rPr>
              <w:t xml:space="preserve"> the </w:t>
            </w:r>
            <w:r w:rsidRPr="00A60FF8">
              <w:rPr>
                <w:rFonts w:cs="Arial"/>
                <w:color w:val="000000"/>
              </w:rPr>
              <w:t>criteria</w:t>
            </w:r>
            <w:r w:rsidR="00912EA3" w:rsidRPr="00A60FF8">
              <w:rPr>
                <w:rFonts w:cs="Arial"/>
                <w:color w:val="000000"/>
              </w:rPr>
              <w:t xml:space="preserve"> such as </w:t>
            </w:r>
            <w:r w:rsidR="003D1C66">
              <w:rPr>
                <w:rFonts w:cs="Arial"/>
                <w:color w:val="000000"/>
              </w:rPr>
              <w:t xml:space="preserve">having potential for impact on improved </w:t>
            </w:r>
            <w:r w:rsidR="003D1C66" w:rsidRPr="00757F2D">
              <w:rPr>
                <w:rFonts w:cs="Arial"/>
                <w:color w:val="000000"/>
              </w:rPr>
              <w:t>diagnosis and management of tuberculosis and in public health surveillance, support the</w:t>
            </w:r>
            <w:r w:rsidR="006B471A">
              <w:rPr>
                <w:rFonts w:cs="Arial"/>
                <w:color w:val="000000"/>
              </w:rPr>
              <w:t xml:space="preserve"> gradual</w:t>
            </w:r>
            <w:r w:rsidR="003D1C66" w:rsidRPr="00757F2D">
              <w:rPr>
                <w:rFonts w:cs="Arial"/>
                <w:color w:val="000000"/>
              </w:rPr>
              <w:t xml:space="preserve"> transition fro</w:t>
            </w:r>
            <w:r w:rsidR="00757F2D">
              <w:rPr>
                <w:rFonts w:cs="Arial"/>
                <w:color w:val="000000"/>
              </w:rPr>
              <w:t xml:space="preserve">m the GF to domestic funding, </w:t>
            </w:r>
            <w:r w:rsidR="003D1C66" w:rsidRPr="00757F2D">
              <w:rPr>
                <w:rFonts w:cs="Arial"/>
                <w:color w:val="000000"/>
              </w:rPr>
              <w:t xml:space="preserve">sustaining the gains and </w:t>
            </w:r>
            <w:r w:rsidR="00EA29A9" w:rsidRPr="00757F2D">
              <w:rPr>
                <w:rFonts w:cs="Arial"/>
                <w:color w:val="000000"/>
              </w:rPr>
              <w:t xml:space="preserve">aiming to improve the quality </w:t>
            </w:r>
            <w:r w:rsidR="003D1C66" w:rsidRPr="00757F2D">
              <w:rPr>
                <w:rFonts w:cs="Arial"/>
                <w:color w:val="000000"/>
              </w:rPr>
              <w:t xml:space="preserve">of </w:t>
            </w:r>
            <w:r w:rsidR="00757F2D">
              <w:rPr>
                <w:rFonts w:cs="Arial"/>
                <w:color w:val="000000"/>
              </w:rPr>
              <w:t>TB</w:t>
            </w:r>
            <w:r w:rsidR="003D1C66">
              <w:rPr>
                <w:rFonts w:cs="Arial"/>
                <w:color w:val="000000"/>
              </w:rPr>
              <w:t xml:space="preserve"> services</w:t>
            </w:r>
            <w:r w:rsidR="00757F2D">
              <w:rPr>
                <w:rFonts w:cs="Arial"/>
                <w:color w:val="000000"/>
              </w:rPr>
              <w:t>. The</w:t>
            </w:r>
            <w:r w:rsidR="001B58C0">
              <w:rPr>
                <w:rFonts w:cs="Arial"/>
                <w:color w:val="000000"/>
              </w:rPr>
              <w:t xml:space="preserve"> priority of interventions was</w:t>
            </w:r>
            <w:r w:rsidR="00757F2D">
              <w:rPr>
                <w:rFonts w:cs="Arial"/>
                <w:color w:val="000000"/>
              </w:rPr>
              <w:t xml:space="preserve"> rated based on 1-4 scale: low, below the average, average, and </w:t>
            </w:r>
            <w:r w:rsidR="001B58C0">
              <w:rPr>
                <w:rFonts w:cs="Arial"/>
                <w:color w:val="000000"/>
              </w:rPr>
              <w:t xml:space="preserve">having </w:t>
            </w:r>
            <w:r w:rsidR="00757F2D">
              <w:rPr>
                <w:rFonts w:cs="Arial"/>
                <w:color w:val="000000"/>
              </w:rPr>
              <w:t xml:space="preserve">high importace. </w:t>
            </w:r>
          </w:p>
          <w:p w14:paraId="4244C294" w14:textId="77777777" w:rsidR="001226B8" w:rsidRDefault="001226B8" w:rsidP="00C3150A">
            <w:pPr>
              <w:spacing w:after="0" w:line="240" w:lineRule="auto"/>
              <w:jc w:val="both"/>
              <w:rPr>
                <w:rFonts w:asciiTheme="majorHAnsi" w:hAnsiTheme="majorHAnsi" w:cstheme="majorHAnsi"/>
              </w:rPr>
            </w:pPr>
          </w:p>
          <w:p w14:paraId="6BFECC0F" w14:textId="08CA4E6B" w:rsidR="007969D6" w:rsidRDefault="002F1B4E" w:rsidP="00BC72DC">
            <w:pPr>
              <w:pStyle w:val="Default"/>
              <w:jc w:val="both"/>
              <w:rPr>
                <w:color w:val="auto"/>
                <w:sz w:val="22"/>
                <w:szCs w:val="22"/>
              </w:rPr>
            </w:pPr>
            <w:r w:rsidRPr="003C6CEB">
              <w:rPr>
                <w:rFonts w:asciiTheme="majorHAnsi" w:hAnsiTheme="majorHAnsi" w:cstheme="majorHAnsi"/>
                <w:sz w:val="22"/>
                <w:szCs w:val="22"/>
              </w:rPr>
              <w:t xml:space="preserve">From Table 17, the module on </w:t>
            </w:r>
            <w:r w:rsidRPr="003C6CEB">
              <w:rPr>
                <w:rFonts w:asciiTheme="majorHAnsi" w:hAnsiTheme="majorHAnsi" w:cstheme="majorHAnsi"/>
                <w:i/>
                <w:sz w:val="22"/>
                <w:szCs w:val="22"/>
              </w:rPr>
              <w:t>Multidrug-resistant TB</w:t>
            </w:r>
            <w:r w:rsidRPr="003C6CEB">
              <w:rPr>
                <w:rFonts w:asciiTheme="majorHAnsi" w:hAnsiTheme="majorHAnsi" w:cstheme="majorHAnsi"/>
                <w:sz w:val="22"/>
                <w:szCs w:val="22"/>
              </w:rPr>
              <w:t xml:space="preserve"> accounts for the largest share of the funding request base allocation portion</w:t>
            </w:r>
            <w:r w:rsidR="007C2271" w:rsidRPr="003C6CEB">
              <w:rPr>
                <w:rFonts w:asciiTheme="majorHAnsi" w:hAnsiTheme="majorHAnsi" w:cstheme="majorHAnsi"/>
                <w:sz w:val="22"/>
                <w:szCs w:val="22"/>
              </w:rPr>
              <w:t>. It is focused on case detection and diagnosis, treatment, and engaging all healthcare providers in TB control. The interventions are aimed to (i) maintain the high coverage with rapid molecular diagnostics at the peripheral services delivery level; (ii) ensure high-quality WHO-recommended diagnostics at the reference laboratories; (iii) extend WHO-recommended treatment regimen</w:t>
            </w:r>
            <w:r w:rsidR="000D6D69" w:rsidRPr="003C6CEB">
              <w:rPr>
                <w:rFonts w:asciiTheme="majorHAnsi" w:hAnsiTheme="majorHAnsi" w:cstheme="majorHAnsi"/>
                <w:sz w:val="22"/>
                <w:szCs w:val="22"/>
              </w:rPr>
              <w:t>s for RR/MDR-TB, and introduce</w:t>
            </w:r>
            <w:r w:rsidR="007C2271" w:rsidRPr="003C6CEB">
              <w:rPr>
                <w:rFonts w:asciiTheme="majorHAnsi" w:hAnsiTheme="majorHAnsi" w:cstheme="majorHAnsi"/>
                <w:sz w:val="22"/>
                <w:szCs w:val="22"/>
              </w:rPr>
              <w:t xml:space="preserve"> BPaL treatment regimens for pre- and XDR-TB patients within the frame of the operational researches</w:t>
            </w:r>
            <w:r w:rsidR="00DF4111">
              <w:rPr>
                <w:rFonts w:asciiTheme="majorHAnsi" w:hAnsiTheme="majorHAnsi" w:cstheme="majorHAnsi"/>
                <w:sz w:val="22"/>
                <w:szCs w:val="22"/>
              </w:rPr>
              <w:t xml:space="preserve"> to generate evidence for programmatic use</w:t>
            </w:r>
            <w:r w:rsidR="007C2271" w:rsidRPr="003C6CEB">
              <w:rPr>
                <w:rFonts w:asciiTheme="majorHAnsi" w:hAnsiTheme="majorHAnsi" w:cstheme="majorHAnsi"/>
                <w:sz w:val="22"/>
                <w:szCs w:val="22"/>
              </w:rPr>
              <w:t xml:space="preserve">; and (iv) strengthen the capacities of the health system and care providers to respond to DR-TB challenges in the country. </w:t>
            </w:r>
            <w:r w:rsidR="000D6D69" w:rsidRPr="003C6CEB">
              <w:rPr>
                <w:rFonts w:asciiTheme="majorHAnsi" w:hAnsiTheme="majorHAnsi" w:cstheme="majorHAnsi"/>
                <w:sz w:val="22"/>
                <w:szCs w:val="22"/>
              </w:rPr>
              <w:t>The second</w:t>
            </w:r>
            <w:r w:rsidR="007969D6" w:rsidRPr="003C6CEB">
              <w:rPr>
                <w:rFonts w:asciiTheme="majorHAnsi" w:hAnsiTheme="majorHAnsi" w:cstheme="majorHAnsi"/>
                <w:sz w:val="22"/>
                <w:szCs w:val="22"/>
              </w:rPr>
              <w:t xml:space="preserve"> spending </w:t>
            </w:r>
            <w:r w:rsidR="00AC6C08" w:rsidRPr="003C6CEB">
              <w:rPr>
                <w:rFonts w:asciiTheme="majorHAnsi" w:hAnsiTheme="majorHAnsi" w:cstheme="majorHAnsi"/>
                <w:sz w:val="22"/>
                <w:szCs w:val="22"/>
              </w:rPr>
              <w:t xml:space="preserve">category is the module on </w:t>
            </w:r>
            <w:r w:rsidR="00AC6C08" w:rsidRPr="003C6CEB">
              <w:rPr>
                <w:rFonts w:asciiTheme="majorHAnsi" w:hAnsiTheme="majorHAnsi" w:cstheme="majorHAnsi"/>
                <w:i/>
                <w:sz w:val="22"/>
                <w:szCs w:val="22"/>
              </w:rPr>
              <w:t xml:space="preserve">TB care and prevention </w:t>
            </w:r>
            <w:r w:rsidR="00080707" w:rsidRPr="003C6CEB">
              <w:rPr>
                <w:rFonts w:asciiTheme="majorHAnsi" w:hAnsiTheme="majorHAnsi" w:cstheme="majorHAnsi"/>
                <w:sz w:val="22"/>
                <w:szCs w:val="22"/>
              </w:rPr>
              <w:t xml:space="preserve">that will assist Kazakhstan in </w:t>
            </w:r>
            <w:r w:rsidR="000D6D69" w:rsidRPr="003C6CEB">
              <w:rPr>
                <w:rFonts w:asciiTheme="majorHAnsi" w:hAnsiTheme="majorHAnsi" w:cstheme="majorHAnsi"/>
                <w:sz w:val="22"/>
                <w:szCs w:val="22"/>
              </w:rPr>
              <w:t xml:space="preserve">the </w:t>
            </w:r>
            <w:r w:rsidR="00080707" w:rsidRPr="003C6CEB">
              <w:rPr>
                <w:rFonts w:asciiTheme="majorHAnsi" w:hAnsiTheme="majorHAnsi" w:cstheme="majorHAnsi"/>
                <w:sz w:val="22"/>
                <w:szCs w:val="22"/>
              </w:rPr>
              <w:t xml:space="preserve">establishment of sufficient LTBI treatment and diagnostic </w:t>
            </w:r>
            <w:r w:rsidR="00C43D7B" w:rsidRPr="003C6CEB">
              <w:rPr>
                <w:rFonts w:asciiTheme="majorHAnsi" w:hAnsiTheme="majorHAnsi" w:cstheme="majorHAnsi"/>
                <w:sz w:val="22"/>
                <w:szCs w:val="22"/>
              </w:rPr>
              <w:t>capacities,</w:t>
            </w:r>
            <w:r w:rsidR="00080707" w:rsidRPr="003C6CEB">
              <w:rPr>
                <w:rFonts w:asciiTheme="majorHAnsi" w:hAnsiTheme="majorHAnsi" w:cstheme="majorHAnsi"/>
                <w:sz w:val="22"/>
                <w:szCs w:val="22"/>
              </w:rPr>
              <w:t xml:space="preserve"> </w:t>
            </w:r>
            <w:r w:rsidR="000D6D69" w:rsidRPr="003C6CEB">
              <w:rPr>
                <w:rFonts w:asciiTheme="majorHAnsi" w:hAnsiTheme="majorHAnsi" w:cstheme="majorHAnsi"/>
                <w:sz w:val="22"/>
                <w:szCs w:val="22"/>
              </w:rPr>
              <w:t>harmoniz</w:t>
            </w:r>
            <w:r w:rsidR="00A4646F" w:rsidRPr="003C6CEB">
              <w:rPr>
                <w:rFonts w:asciiTheme="majorHAnsi" w:hAnsiTheme="majorHAnsi" w:cstheme="majorHAnsi"/>
                <w:sz w:val="22"/>
                <w:szCs w:val="22"/>
              </w:rPr>
              <w:t xml:space="preserve">e </w:t>
            </w:r>
            <w:r w:rsidR="00080707" w:rsidRPr="003C6CEB">
              <w:rPr>
                <w:rFonts w:asciiTheme="majorHAnsi" w:hAnsiTheme="majorHAnsi" w:cstheme="majorHAnsi"/>
                <w:sz w:val="22"/>
                <w:szCs w:val="22"/>
              </w:rPr>
              <w:t>the approaches</w:t>
            </w:r>
            <w:r w:rsidR="00C43D7B" w:rsidRPr="003C6CEB">
              <w:rPr>
                <w:rFonts w:asciiTheme="majorHAnsi" w:hAnsiTheme="majorHAnsi" w:cstheme="majorHAnsi"/>
                <w:sz w:val="22"/>
                <w:szCs w:val="22"/>
              </w:rPr>
              <w:t xml:space="preserve"> used in LTBI </w:t>
            </w:r>
            <w:proofErr w:type="gramStart"/>
            <w:r w:rsidR="00C43D7B" w:rsidRPr="003C6CEB">
              <w:rPr>
                <w:rFonts w:asciiTheme="majorHAnsi" w:hAnsiTheme="majorHAnsi" w:cstheme="majorHAnsi"/>
                <w:sz w:val="22"/>
                <w:szCs w:val="22"/>
              </w:rPr>
              <w:t>patients</w:t>
            </w:r>
            <w:proofErr w:type="gramEnd"/>
            <w:r w:rsidR="00C43D7B" w:rsidRPr="003C6CEB">
              <w:rPr>
                <w:rFonts w:asciiTheme="majorHAnsi" w:hAnsiTheme="majorHAnsi" w:cstheme="majorHAnsi"/>
                <w:sz w:val="22"/>
                <w:szCs w:val="22"/>
              </w:rPr>
              <w:t xml:space="preserve"> management</w:t>
            </w:r>
            <w:r w:rsidR="00A4646F" w:rsidRPr="003C6CEB">
              <w:rPr>
                <w:rFonts w:asciiTheme="majorHAnsi" w:hAnsiTheme="majorHAnsi" w:cstheme="majorHAnsi"/>
                <w:sz w:val="22"/>
                <w:szCs w:val="22"/>
              </w:rPr>
              <w:t xml:space="preserve"> with the recent tech</w:t>
            </w:r>
            <w:r w:rsidR="00080707" w:rsidRPr="003C6CEB">
              <w:rPr>
                <w:rFonts w:asciiTheme="majorHAnsi" w:hAnsiTheme="majorHAnsi" w:cstheme="majorHAnsi"/>
                <w:sz w:val="22"/>
                <w:szCs w:val="22"/>
              </w:rPr>
              <w:t>nical Partner’s recommendations and</w:t>
            </w:r>
            <w:r w:rsidR="00D17E4F" w:rsidRPr="003C6CEB">
              <w:rPr>
                <w:rFonts w:asciiTheme="majorHAnsi" w:hAnsiTheme="majorHAnsi" w:cstheme="majorHAnsi"/>
                <w:sz w:val="22"/>
                <w:szCs w:val="22"/>
              </w:rPr>
              <w:t xml:space="preserve"> </w:t>
            </w:r>
            <w:r w:rsidR="00BA4024" w:rsidRPr="003C6CEB">
              <w:rPr>
                <w:rFonts w:asciiTheme="majorHAnsi" w:hAnsiTheme="majorHAnsi" w:cstheme="majorHAnsi"/>
                <w:sz w:val="22"/>
                <w:szCs w:val="22"/>
              </w:rPr>
              <w:t>ad</w:t>
            </w:r>
            <w:r w:rsidR="000D6D69" w:rsidRPr="003C6CEB">
              <w:rPr>
                <w:rFonts w:asciiTheme="majorHAnsi" w:hAnsiTheme="majorHAnsi" w:cstheme="majorHAnsi"/>
                <w:sz w:val="22"/>
                <w:szCs w:val="22"/>
              </w:rPr>
              <w:t>d</w:t>
            </w:r>
            <w:r w:rsidR="00BA4024" w:rsidRPr="003C6CEB">
              <w:rPr>
                <w:rFonts w:asciiTheme="majorHAnsi" w:hAnsiTheme="majorHAnsi" w:cstheme="majorHAnsi"/>
                <w:sz w:val="22"/>
                <w:szCs w:val="22"/>
              </w:rPr>
              <w:t>ress t</w:t>
            </w:r>
            <w:r w:rsidR="00A4646F" w:rsidRPr="003C6CEB">
              <w:rPr>
                <w:rFonts w:asciiTheme="majorHAnsi" w:hAnsiTheme="majorHAnsi" w:cstheme="majorHAnsi"/>
                <w:sz w:val="22"/>
                <w:szCs w:val="22"/>
              </w:rPr>
              <w:t xml:space="preserve">he barriers and </w:t>
            </w:r>
            <w:r w:rsidR="00080707" w:rsidRPr="003C6CEB">
              <w:rPr>
                <w:rFonts w:asciiTheme="majorHAnsi" w:hAnsiTheme="majorHAnsi" w:cstheme="majorHAnsi"/>
                <w:sz w:val="22"/>
                <w:szCs w:val="22"/>
              </w:rPr>
              <w:t xml:space="preserve">challenges. </w:t>
            </w:r>
            <w:r w:rsidR="00D17E4F" w:rsidRPr="003C6CEB">
              <w:rPr>
                <w:rFonts w:asciiTheme="majorHAnsi" w:hAnsiTheme="majorHAnsi" w:cstheme="majorHAnsi"/>
                <w:sz w:val="22"/>
                <w:szCs w:val="22"/>
              </w:rPr>
              <w:t>The module also envisage</w:t>
            </w:r>
            <w:r w:rsidR="00BC72DC" w:rsidRPr="003C6CEB">
              <w:rPr>
                <w:rFonts w:asciiTheme="majorHAnsi" w:hAnsiTheme="majorHAnsi" w:cstheme="majorHAnsi"/>
                <w:sz w:val="22"/>
                <w:szCs w:val="22"/>
              </w:rPr>
              <w:t>s</w:t>
            </w:r>
            <w:r w:rsidR="00D17E4F" w:rsidRPr="003C6CEB">
              <w:rPr>
                <w:rFonts w:asciiTheme="majorHAnsi" w:hAnsiTheme="majorHAnsi" w:cstheme="majorHAnsi"/>
                <w:sz w:val="22"/>
                <w:szCs w:val="22"/>
              </w:rPr>
              <w:t xml:space="preserve"> activities to increase the role of SCO in the TB control, </w:t>
            </w:r>
            <w:r w:rsidR="00BC72DC" w:rsidRPr="003C6CEB">
              <w:rPr>
                <w:rFonts w:asciiTheme="majorHAnsi" w:hAnsiTheme="majorHAnsi" w:cstheme="majorHAnsi"/>
                <w:sz w:val="22"/>
                <w:szCs w:val="22"/>
              </w:rPr>
              <w:t xml:space="preserve">enhance </w:t>
            </w:r>
            <w:r w:rsidR="000D6D69" w:rsidRPr="003C6CEB">
              <w:rPr>
                <w:rFonts w:asciiTheme="majorHAnsi" w:hAnsiTheme="majorHAnsi" w:cstheme="majorHAnsi"/>
                <w:sz w:val="22"/>
                <w:szCs w:val="22"/>
              </w:rPr>
              <w:t xml:space="preserve">the </w:t>
            </w:r>
            <w:r w:rsidR="00BC72DC" w:rsidRPr="003C6CEB">
              <w:rPr>
                <w:rFonts w:asciiTheme="majorHAnsi" w:hAnsiTheme="majorHAnsi" w:cstheme="majorHAnsi"/>
                <w:sz w:val="22"/>
                <w:szCs w:val="22"/>
              </w:rPr>
              <w:t>nationa</w:t>
            </w:r>
            <w:r w:rsidR="007969D6" w:rsidRPr="003C6CEB">
              <w:rPr>
                <w:rFonts w:asciiTheme="majorHAnsi" w:hAnsiTheme="majorHAnsi" w:cstheme="majorHAnsi"/>
                <w:sz w:val="22"/>
                <w:szCs w:val="22"/>
              </w:rPr>
              <w:t>l</w:t>
            </w:r>
            <w:r w:rsidR="00BC72DC" w:rsidRPr="003C6CEB">
              <w:rPr>
                <w:rFonts w:asciiTheme="majorHAnsi" w:hAnsiTheme="majorHAnsi" w:cstheme="majorHAnsi"/>
                <w:sz w:val="22"/>
                <w:szCs w:val="22"/>
              </w:rPr>
              <w:t xml:space="preserve"> Stop TB Partnership, </w:t>
            </w:r>
            <w:r w:rsidR="007969D6" w:rsidRPr="003C6CEB">
              <w:rPr>
                <w:rFonts w:asciiTheme="majorHAnsi" w:hAnsiTheme="majorHAnsi" w:cstheme="majorHAnsi"/>
                <w:sz w:val="22"/>
                <w:szCs w:val="22"/>
              </w:rPr>
              <w:t>pilot new</w:t>
            </w:r>
            <w:r w:rsidR="00D17E4F" w:rsidRPr="003C6CEB">
              <w:rPr>
                <w:rFonts w:asciiTheme="majorHAnsi" w:hAnsiTheme="majorHAnsi" w:cstheme="majorHAnsi"/>
                <w:sz w:val="22"/>
                <w:szCs w:val="22"/>
              </w:rPr>
              <w:t xml:space="preserve"> funding arrangments and instruments for improved financial and program performance</w:t>
            </w:r>
            <w:r w:rsidR="007969D6" w:rsidRPr="003C6CEB">
              <w:rPr>
                <w:rFonts w:asciiTheme="majorHAnsi" w:hAnsiTheme="majorHAnsi" w:cstheme="majorHAnsi"/>
                <w:sz w:val="22"/>
                <w:szCs w:val="22"/>
              </w:rPr>
              <w:t xml:space="preserve"> of the NGOs in TB control</w:t>
            </w:r>
            <w:r w:rsidR="000D6D69" w:rsidRPr="003C6CEB">
              <w:rPr>
                <w:rFonts w:asciiTheme="majorHAnsi" w:hAnsiTheme="majorHAnsi" w:cstheme="majorHAnsi"/>
                <w:sz w:val="22"/>
                <w:szCs w:val="22"/>
              </w:rPr>
              <w:t>, which can be applied under the social contracting mechanism</w:t>
            </w:r>
            <w:r w:rsidR="00D17E4F" w:rsidRPr="003C6CEB">
              <w:rPr>
                <w:rFonts w:asciiTheme="majorHAnsi" w:hAnsiTheme="majorHAnsi" w:cstheme="majorHAnsi"/>
                <w:sz w:val="22"/>
                <w:szCs w:val="22"/>
              </w:rPr>
              <w:t xml:space="preserve">. </w:t>
            </w:r>
            <w:r w:rsidR="00C03EFD" w:rsidRPr="003C6CEB">
              <w:rPr>
                <w:rFonts w:asciiTheme="majorHAnsi" w:hAnsiTheme="majorHAnsi" w:cstheme="majorHAnsi"/>
                <w:sz w:val="22"/>
                <w:szCs w:val="22"/>
              </w:rPr>
              <w:t xml:space="preserve">Under </w:t>
            </w:r>
            <w:r w:rsidR="000D6D69" w:rsidRPr="003C6CEB">
              <w:rPr>
                <w:rFonts w:asciiTheme="majorHAnsi" w:hAnsiTheme="majorHAnsi" w:cstheme="majorHAnsi"/>
                <w:sz w:val="22"/>
                <w:szCs w:val="22"/>
              </w:rPr>
              <w:t xml:space="preserve">the </w:t>
            </w:r>
            <w:r w:rsidR="00C03EFD" w:rsidRPr="003C6CEB">
              <w:rPr>
                <w:rFonts w:asciiTheme="majorHAnsi" w:hAnsiTheme="majorHAnsi" w:cstheme="majorHAnsi"/>
                <w:i/>
                <w:sz w:val="22"/>
                <w:szCs w:val="22"/>
              </w:rPr>
              <w:t>RSSH</w:t>
            </w:r>
            <w:r w:rsidR="003C6CEB" w:rsidRPr="003C6CEB">
              <w:rPr>
                <w:rFonts w:asciiTheme="majorHAnsi" w:hAnsiTheme="majorHAnsi" w:cstheme="majorHAnsi"/>
                <w:i/>
                <w:sz w:val="22"/>
                <w:szCs w:val="22"/>
              </w:rPr>
              <w:t>,</w:t>
            </w:r>
            <w:r w:rsidR="00C03EFD" w:rsidRPr="003C6CEB">
              <w:rPr>
                <w:rFonts w:asciiTheme="majorHAnsi" w:hAnsiTheme="majorHAnsi" w:cstheme="majorHAnsi"/>
                <w:sz w:val="22"/>
                <w:szCs w:val="22"/>
              </w:rPr>
              <w:t xml:space="preserve"> module the </w:t>
            </w:r>
            <w:r w:rsidR="00BC72DC" w:rsidRPr="003C6CEB">
              <w:rPr>
                <w:rFonts w:asciiTheme="majorHAnsi" w:hAnsiTheme="majorHAnsi" w:cstheme="majorHAnsi"/>
                <w:sz w:val="22"/>
                <w:szCs w:val="22"/>
              </w:rPr>
              <w:t xml:space="preserve">supportive </w:t>
            </w:r>
            <w:r w:rsidR="00C03EFD" w:rsidRPr="003C6CEB">
              <w:rPr>
                <w:rFonts w:asciiTheme="majorHAnsi" w:hAnsiTheme="majorHAnsi" w:cstheme="majorHAnsi"/>
                <w:sz w:val="22"/>
                <w:szCs w:val="22"/>
              </w:rPr>
              <w:t>supe</w:t>
            </w:r>
            <w:r w:rsidR="006127F4" w:rsidRPr="003C6CEB">
              <w:rPr>
                <w:rFonts w:asciiTheme="majorHAnsi" w:hAnsiTheme="majorHAnsi" w:cstheme="majorHAnsi"/>
                <w:sz w:val="22"/>
                <w:szCs w:val="22"/>
              </w:rPr>
              <w:t xml:space="preserve">rvisory and M&amp;E </w:t>
            </w:r>
            <w:r w:rsidR="00BC72DC" w:rsidRPr="003C6CEB">
              <w:rPr>
                <w:rFonts w:asciiTheme="majorHAnsi" w:hAnsiTheme="majorHAnsi" w:cstheme="majorHAnsi"/>
                <w:sz w:val="22"/>
                <w:szCs w:val="22"/>
              </w:rPr>
              <w:t>systems</w:t>
            </w:r>
            <w:r w:rsidR="006127F4" w:rsidRPr="003C6CEB">
              <w:rPr>
                <w:rFonts w:asciiTheme="majorHAnsi" w:hAnsiTheme="majorHAnsi" w:cstheme="majorHAnsi"/>
                <w:sz w:val="22"/>
                <w:szCs w:val="22"/>
              </w:rPr>
              <w:t xml:space="preserve"> will be strengthened at </w:t>
            </w:r>
            <w:r w:rsidR="00BC72DC" w:rsidRPr="003C6CEB">
              <w:rPr>
                <w:rFonts w:asciiTheme="majorHAnsi" w:hAnsiTheme="majorHAnsi" w:cstheme="majorHAnsi"/>
                <w:sz w:val="22"/>
                <w:szCs w:val="22"/>
              </w:rPr>
              <w:t>central, regional and district’</w:t>
            </w:r>
            <w:r w:rsidR="000D6D69" w:rsidRPr="003C6CEB">
              <w:rPr>
                <w:rFonts w:asciiTheme="majorHAnsi" w:hAnsiTheme="majorHAnsi" w:cstheme="majorHAnsi"/>
                <w:sz w:val="22"/>
                <w:szCs w:val="22"/>
              </w:rPr>
              <w:t xml:space="preserve"> levels to</w:t>
            </w:r>
            <w:r w:rsidR="00BC72DC" w:rsidRPr="003C6CEB">
              <w:rPr>
                <w:rFonts w:asciiTheme="majorHAnsi" w:hAnsiTheme="majorHAnsi" w:cstheme="majorHAnsi"/>
                <w:sz w:val="22"/>
                <w:szCs w:val="22"/>
              </w:rPr>
              <w:t xml:space="preserve"> </w:t>
            </w:r>
            <w:r w:rsidR="000D6D69" w:rsidRPr="003C6CEB">
              <w:rPr>
                <w:sz w:val="22"/>
                <w:szCs w:val="22"/>
              </w:rPr>
              <w:t xml:space="preserve">oversee the program's implementation, including innovative people-oriented interventions. </w:t>
            </w:r>
            <w:r w:rsidR="003C6CEB" w:rsidRPr="003C6CEB">
              <w:rPr>
                <w:color w:val="auto"/>
                <w:sz w:val="22"/>
                <w:szCs w:val="22"/>
              </w:rPr>
              <w:t xml:space="preserve">The activities envisaged will streamline the TB surveillance through enhanced NRBT synchronized with the core portals of the unified health information system and support operational research. </w:t>
            </w:r>
            <w:r w:rsidR="00C67D46" w:rsidRPr="00C67D46">
              <w:rPr>
                <w:color w:val="auto"/>
                <w:sz w:val="22"/>
                <w:szCs w:val="22"/>
              </w:rPr>
              <w:t xml:space="preserve">The details on </w:t>
            </w:r>
            <w:r w:rsidR="00C67D46">
              <w:rPr>
                <w:color w:val="auto"/>
                <w:sz w:val="22"/>
                <w:szCs w:val="22"/>
              </w:rPr>
              <w:t>prioritised</w:t>
            </w:r>
            <w:r w:rsidR="00C67D46" w:rsidRPr="00C67D46">
              <w:rPr>
                <w:color w:val="auto"/>
                <w:sz w:val="22"/>
                <w:szCs w:val="22"/>
              </w:rPr>
              <w:t xml:space="preserve"> interventions, rationale beyond, and expected outcomes ar</w:t>
            </w:r>
            <w:r w:rsidR="00B8084F">
              <w:rPr>
                <w:color w:val="auto"/>
                <w:sz w:val="22"/>
                <w:szCs w:val="22"/>
              </w:rPr>
              <w:t>e presented under the respective section</w:t>
            </w:r>
            <w:r w:rsidR="00C67D46" w:rsidRPr="00C67D46">
              <w:rPr>
                <w:color w:val="auto"/>
                <w:sz w:val="22"/>
                <w:szCs w:val="22"/>
              </w:rPr>
              <w:t>.</w:t>
            </w:r>
          </w:p>
          <w:p w14:paraId="1B5C171E" w14:textId="77777777" w:rsidR="004D2823" w:rsidRDefault="004D2823" w:rsidP="00BC72DC">
            <w:pPr>
              <w:pStyle w:val="Default"/>
              <w:jc w:val="both"/>
              <w:rPr>
                <w:rFonts w:asciiTheme="majorHAnsi" w:hAnsiTheme="majorHAnsi" w:cstheme="majorHAnsi"/>
                <w:color w:val="auto"/>
                <w:sz w:val="22"/>
                <w:szCs w:val="22"/>
              </w:rPr>
            </w:pPr>
          </w:p>
          <w:p w14:paraId="66BE731F" w14:textId="28E75642" w:rsidR="001226B8" w:rsidRPr="007969D6" w:rsidRDefault="001226B8" w:rsidP="00BC72DC">
            <w:pPr>
              <w:pStyle w:val="Default"/>
              <w:jc w:val="both"/>
              <w:rPr>
                <w:rFonts w:asciiTheme="majorHAnsi" w:hAnsiTheme="majorHAnsi" w:cstheme="majorHAnsi"/>
                <w:color w:val="auto"/>
                <w:sz w:val="22"/>
                <w:szCs w:val="22"/>
              </w:rPr>
            </w:pPr>
            <w:r w:rsidRPr="007969D6">
              <w:rPr>
                <w:rFonts w:asciiTheme="majorHAnsi" w:hAnsiTheme="majorHAnsi" w:cstheme="majorHAnsi"/>
                <w:sz w:val="22"/>
                <w:szCs w:val="22"/>
              </w:rPr>
              <w:t>The new GF TB grant will have an important contribution towards achieving the national goals and advancing the realization of the country's international commitments and priority actions aligned to the political declaration of the high-level meeting of the General Assembly on the fight against tuberculosis.</w:t>
            </w:r>
            <w:r w:rsidRPr="007969D6">
              <w:rPr>
                <w:rStyle w:val="af"/>
                <w:iCs/>
                <w:sz w:val="22"/>
                <w:szCs w:val="22"/>
              </w:rPr>
              <w:footnoteReference w:id="70"/>
            </w:r>
          </w:p>
          <w:p w14:paraId="6817B522" w14:textId="77777777" w:rsidR="00C3150A" w:rsidRPr="00A9326D" w:rsidRDefault="00C3150A">
            <w:pPr>
              <w:spacing w:after="0" w:line="240" w:lineRule="auto"/>
              <w:rPr>
                <w:rFonts w:cs="Arial"/>
              </w:rPr>
            </w:pPr>
          </w:p>
          <w:p w14:paraId="2C8A490C" w14:textId="788D467F" w:rsidR="00664FDF" w:rsidRDefault="007F04BC" w:rsidP="00B60E4D">
            <w:pPr>
              <w:spacing w:line="240" w:lineRule="auto"/>
              <w:rPr>
                <w:rFonts w:cs="Arial"/>
                <w:b/>
                <w:bCs/>
                <w:color w:val="000000"/>
                <w:sz w:val="20"/>
                <w:szCs w:val="20"/>
              </w:rPr>
            </w:pPr>
            <w:r w:rsidRPr="007F04BC">
              <w:rPr>
                <w:rFonts w:cs="Arial"/>
                <w:b/>
                <w:bCs/>
                <w:color w:val="000000"/>
                <w:sz w:val="20"/>
                <w:szCs w:val="20"/>
              </w:rPr>
              <w:t>Table 17 Budget breakdown by components and interventions</w:t>
            </w:r>
          </w:p>
          <w:tbl>
            <w:tblPr>
              <w:tblStyle w:val="aa"/>
              <w:tblW w:w="0" w:type="auto"/>
              <w:tblLook w:val="04A0" w:firstRow="1" w:lastRow="0" w:firstColumn="1" w:lastColumn="0" w:noHBand="0" w:noVBand="1"/>
            </w:tblPr>
            <w:tblGrid>
              <w:gridCol w:w="4228"/>
              <w:gridCol w:w="1579"/>
              <w:gridCol w:w="727"/>
              <w:gridCol w:w="1017"/>
              <w:gridCol w:w="727"/>
            </w:tblGrid>
            <w:tr w:rsidR="00BD6DEA" w:rsidRPr="00B60E4D" w14:paraId="6F409ECF" w14:textId="7E5765C1" w:rsidTr="00C352FB">
              <w:tc>
                <w:tcPr>
                  <w:tcW w:w="4228" w:type="dxa"/>
                </w:tcPr>
                <w:p w14:paraId="490918E1" w14:textId="77777777" w:rsidR="00BD6DEA" w:rsidRPr="00B60E4D" w:rsidRDefault="00BD6DEA" w:rsidP="000533EF">
                  <w:pPr>
                    <w:spacing w:after="0" w:line="240" w:lineRule="auto"/>
                    <w:rPr>
                      <w:rFonts w:asciiTheme="majorHAnsi" w:hAnsiTheme="majorHAnsi" w:cstheme="majorHAnsi"/>
                      <w:b/>
                      <w:color w:val="000000"/>
                      <w:sz w:val="18"/>
                      <w:szCs w:val="18"/>
                    </w:rPr>
                  </w:pPr>
                </w:p>
              </w:tc>
              <w:tc>
                <w:tcPr>
                  <w:tcW w:w="4050" w:type="dxa"/>
                  <w:gridSpan w:val="4"/>
                </w:tcPr>
                <w:p w14:paraId="79E79EF6" w14:textId="3A3F3938" w:rsidR="00BD6DEA" w:rsidRPr="00B60E4D" w:rsidRDefault="00BD6DEA" w:rsidP="00BD6DEA">
                  <w:pPr>
                    <w:spacing w:after="0" w:line="240" w:lineRule="auto"/>
                    <w:jc w:val="center"/>
                    <w:rPr>
                      <w:rFonts w:asciiTheme="majorHAnsi" w:hAnsiTheme="majorHAnsi" w:cstheme="majorHAnsi"/>
                      <w:b/>
                      <w:sz w:val="18"/>
                      <w:szCs w:val="18"/>
                    </w:rPr>
                  </w:pPr>
                  <w:r w:rsidRPr="00B60E4D">
                    <w:rPr>
                      <w:rFonts w:asciiTheme="majorHAnsi" w:hAnsiTheme="majorHAnsi" w:cstheme="majorHAnsi"/>
                      <w:b/>
                      <w:sz w:val="18"/>
                      <w:szCs w:val="18"/>
                    </w:rPr>
                    <w:t>Total in US$</w:t>
                  </w:r>
                </w:p>
              </w:tc>
            </w:tr>
            <w:tr w:rsidR="00E854E4" w:rsidRPr="00B60E4D" w14:paraId="541F33A2" w14:textId="45CA3B54" w:rsidTr="00C352FB">
              <w:tc>
                <w:tcPr>
                  <w:tcW w:w="4228" w:type="dxa"/>
                </w:tcPr>
                <w:p w14:paraId="2116A4AD" w14:textId="244ADA34" w:rsidR="00E854E4" w:rsidRPr="00B60E4D" w:rsidRDefault="00E854E4" w:rsidP="000533EF">
                  <w:pPr>
                    <w:spacing w:after="0" w:line="240" w:lineRule="auto"/>
                    <w:rPr>
                      <w:rFonts w:asciiTheme="majorHAnsi" w:hAnsiTheme="majorHAnsi" w:cstheme="majorHAnsi"/>
                      <w:b/>
                      <w:color w:val="000000"/>
                      <w:sz w:val="18"/>
                      <w:szCs w:val="18"/>
                    </w:rPr>
                  </w:pPr>
                  <w:r w:rsidRPr="00B60E4D">
                    <w:rPr>
                      <w:rFonts w:asciiTheme="majorHAnsi" w:hAnsiTheme="majorHAnsi" w:cstheme="majorHAnsi"/>
                      <w:b/>
                      <w:color w:val="000000"/>
                      <w:sz w:val="18"/>
                      <w:szCs w:val="18"/>
                    </w:rPr>
                    <w:t>Interventions</w:t>
                  </w:r>
                </w:p>
              </w:tc>
              <w:tc>
                <w:tcPr>
                  <w:tcW w:w="2306" w:type="dxa"/>
                  <w:gridSpan w:val="2"/>
                </w:tcPr>
                <w:p w14:paraId="432095CA" w14:textId="37A429BF" w:rsidR="00E854E4" w:rsidRPr="00B60E4D" w:rsidRDefault="00E854E4" w:rsidP="007F04BC">
                  <w:pPr>
                    <w:spacing w:after="0" w:line="240" w:lineRule="auto"/>
                    <w:rPr>
                      <w:rFonts w:asciiTheme="majorHAnsi" w:hAnsiTheme="majorHAnsi" w:cstheme="majorHAnsi"/>
                      <w:b/>
                      <w:sz w:val="18"/>
                      <w:szCs w:val="18"/>
                    </w:rPr>
                  </w:pPr>
                  <w:r>
                    <w:rPr>
                      <w:rFonts w:asciiTheme="majorHAnsi" w:hAnsiTheme="majorHAnsi" w:cstheme="majorHAnsi"/>
                      <w:b/>
                      <w:sz w:val="18"/>
                      <w:szCs w:val="18"/>
                    </w:rPr>
                    <w:t>Base allocation</w:t>
                  </w:r>
                </w:p>
              </w:tc>
              <w:tc>
                <w:tcPr>
                  <w:tcW w:w="1744" w:type="dxa"/>
                  <w:gridSpan w:val="2"/>
                </w:tcPr>
                <w:p w14:paraId="7A52D802" w14:textId="28ABAC38" w:rsidR="00E854E4" w:rsidRPr="00B60E4D" w:rsidRDefault="00E854E4" w:rsidP="007F04BC">
                  <w:pPr>
                    <w:spacing w:after="0" w:line="240" w:lineRule="auto"/>
                    <w:rPr>
                      <w:rFonts w:asciiTheme="majorHAnsi" w:hAnsiTheme="majorHAnsi" w:cstheme="majorHAnsi"/>
                      <w:b/>
                      <w:sz w:val="18"/>
                      <w:szCs w:val="18"/>
                    </w:rPr>
                  </w:pPr>
                  <w:r>
                    <w:rPr>
                      <w:rFonts w:asciiTheme="majorHAnsi" w:hAnsiTheme="majorHAnsi" w:cstheme="majorHAnsi"/>
                      <w:b/>
                      <w:sz w:val="18"/>
                      <w:szCs w:val="18"/>
                    </w:rPr>
                    <w:t>PAAR</w:t>
                  </w:r>
                </w:p>
              </w:tc>
            </w:tr>
            <w:tr w:rsidR="00BD6DEA" w:rsidRPr="00B60E4D" w14:paraId="530C7C29" w14:textId="5735C467" w:rsidTr="00C352FB">
              <w:tc>
                <w:tcPr>
                  <w:tcW w:w="4228" w:type="dxa"/>
                </w:tcPr>
                <w:p w14:paraId="62260328" w14:textId="79E6F409" w:rsidR="00BD6DEA" w:rsidRPr="00B60E4D" w:rsidRDefault="00BD6DEA" w:rsidP="000533EF">
                  <w:pPr>
                    <w:spacing w:after="0" w:line="240" w:lineRule="auto"/>
                    <w:rPr>
                      <w:rFonts w:asciiTheme="majorHAnsi" w:hAnsiTheme="majorHAnsi" w:cstheme="majorHAnsi"/>
                      <w:sz w:val="18"/>
                      <w:szCs w:val="18"/>
                    </w:rPr>
                  </w:pPr>
                  <w:r>
                    <w:rPr>
                      <w:rFonts w:asciiTheme="majorHAnsi" w:hAnsiTheme="majorHAnsi" w:cstheme="majorHAnsi"/>
                      <w:b/>
                      <w:color w:val="000000"/>
                      <w:sz w:val="18"/>
                      <w:szCs w:val="18"/>
                    </w:rPr>
                    <w:t xml:space="preserve">Module 1. </w:t>
                  </w:r>
                  <w:r w:rsidRPr="00B60E4D">
                    <w:rPr>
                      <w:rFonts w:asciiTheme="majorHAnsi" w:hAnsiTheme="majorHAnsi" w:cstheme="majorHAnsi"/>
                      <w:b/>
                      <w:color w:val="000000"/>
                      <w:sz w:val="18"/>
                      <w:szCs w:val="18"/>
                    </w:rPr>
                    <w:t xml:space="preserve">Multidrug-resistant tuberculosis </w:t>
                  </w:r>
                </w:p>
              </w:tc>
              <w:tc>
                <w:tcPr>
                  <w:tcW w:w="1579" w:type="dxa"/>
                </w:tcPr>
                <w:p w14:paraId="67540373" w14:textId="17DAD46B" w:rsidR="00BD6DEA" w:rsidRPr="00BD6DEA" w:rsidRDefault="00BD6DEA" w:rsidP="007F04BC">
                  <w:pPr>
                    <w:spacing w:after="0" w:line="240" w:lineRule="auto"/>
                    <w:rPr>
                      <w:rFonts w:asciiTheme="majorHAnsi" w:hAnsiTheme="majorHAnsi" w:cstheme="majorHAnsi"/>
                      <w:b/>
                      <w:sz w:val="18"/>
                      <w:szCs w:val="18"/>
                    </w:rPr>
                  </w:pPr>
                  <w:r w:rsidRPr="00BD6DEA">
                    <w:rPr>
                      <w:rFonts w:asciiTheme="majorHAnsi" w:hAnsiTheme="majorHAnsi" w:cstheme="majorHAnsi"/>
                      <w:b/>
                      <w:sz w:val="18"/>
                      <w:szCs w:val="18"/>
                    </w:rPr>
                    <w:t>3,619,103</w:t>
                  </w:r>
                </w:p>
              </w:tc>
              <w:tc>
                <w:tcPr>
                  <w:tcW w:w="727" w:type="dxa"/>
                </w:tcPr>
                <w:p w14:paraId="1D153E87" w14:textId="5CFAB862" w:rsidR="00BD6DEA" w:rsidRPr="00E854E4" w:rsidRDefault="00E854E4" w:rsidP="007F04BC">
                  <w:pPr>
                    <w:spacing w:after="0" w:line="240" w:lineRule="auto"/>
                    <w:rPr>
                      <w:rFonts w:asciiTheme="majorHAnsi" w:hAnsiTheme="majorHAnsi" w:cstheme="majorHAnsi"/>
                      <w:b/>
                      <w:sz w:val="18"/>
                      <w:szCs w:val="18"/>
                    </w:rPr>
                  </w:pPr>
                  <w:r w:rsidRPr="00E854E4">
                    <w:rPr>
                      <w:rFonts w:asciiTheme="majorHAnsi" w:hAnsiTheme="majorHAnsi" w:cstheme="majorHAnsi"/>
                      <w:b/>
                      <w:sz w:val="18"/>
                      <w:szCs w:val="18"/>
                    </w:rPr>
                    <w:t>45.0</w:t>
                  </w:r>
                  <w:r>
                    <w:rPr>
                      <w:rFonts w:asciiTheme="majorHAnsi" w:hAnsiTheme="majorHAnsi" w:cstheme="majorHAnsi"/>
                      <w:b/>
                      <w:sz w:val="18"/>
                      <w:szCs w:val="18"/>
                    </w:rPr>
                    <w:t>%</w:t>
                  </w:r>
                </w:p>
              </w:tc>
              <w:tc>
                <w:tcPr>
                  <w:tcW w:w="1017" w:type="dxa"/>
                </w:tcPr>
                <w:p w14:paraId="0B84A00F" w14:textId="0805EBC5" w:rsidR="00BD6DEA" w:rsidRPr="00BD6DEA" w:rsidRDefault="00BD6DEA" w:rsidP="007F04BC">
                  <w:pPr>
                    <w:spacing w:after="0" w:line="240" w:lineRule="auto"/>
                    <w:rPr>
                      <w:rFonts w:asciiTheme="majorHAnsi" w:hAnsiTheme="majorHAnsi" w:cstheme="majorHAnsi"/>
                      <w:b/>
                      <w:sz w:val="18"/>
                      <w:szCs w:val="18"/>
                    </w:rPr>
                  </w:pPr>
                  <w:r w:rsidRPr="00BD6DEA">
                    <w:rPr>
                      <w:rFonts w:asciiTheme="majorHAnsi" w:hAnsiTheme="majorHAnsi" w:cstheme="majorHAnsi"/>
                      <w:b/>
                      <w:sz w:val="18"/>
                      <w:szCs w:val="18"/>
                    </w:rPr>
                    <w:t>1,584,150</w:t>
                  </w:r>
                </w:p>
              </w:tc>
              <w:tc>
                <w:tcPr>
                  <w:tcW w:w="727" w:type="dxa"/>
                </w:tcPr>
                <w:p w14:paraId="44BC910A" w14:textId="3C698889" w:rsidR="00BD6DEA" w:rsidRPr="00E854E4" w:rsidRDefault="00E854E4" w:rsidP="007F04BC">
                  <w:pPr>
                    <w:spacing w:after="0" w:line="240" w:lineRule="auto"/>
                    <w:rPr>
                      <w:rFonts w:asciiTheme="majorHAnsi" w:hAnsiTheme="majorHAnsi" w:cstheme="majorHAnsi"/>
                      <w:b/>
                      <w:sz w:val="18"/>
                      <w:szCs w:val="18"/>
                    </w:rPr>
                  </w:pPr>
                  <w:r w:rsidRPr="00E854E4">
                    <w:rPr>
                      <w:rFonts w:asciiTheme="majorHAnsi" w:hAnsiTheme="majorHAnsi" w:cstheme="majorHAnsi"/>
                      <w:b/>
                      <w:sz w:val="18"/>
                      <w:szCs w:val="18"/>
                    </w:rPr>
                    <w:t>41.6%</w:t>
                  </w:r>
                </w:p>
              </w:tc>
            </w:tr>
            <w:tr w:rsidR="00BD6DEA" w:rsidRPr="00B60E4D" w14:paraId="5F96C1EA" w14:textId="1114FC82" w:rsidTr="00C352FB">
              <w:tc>
                <w:tcPr>
                  <w:tcW w:w="4228" w:type="dxa"/>
                </w:tcPr>
                <w:p w14:paraId="210416CD" w14:textId="5112AF98" w:rsidR="00BD6DEA" w:rsidRPr="00B60E4D" w:rsidRDefault="00BD6DEA" w:rsidP="000533EF">
                  <w:pPr>
                    <w:spacing w:after="0" w:line="240" w:lineRule="auto"/>
                    <w:rPr>
                      <w:rFonts w:asciiTheme="majorHAnsi" w:hAnsiTheme="majorHAnsi" w:cstheme="majorHAnsi"/>
                      <w:sz w:val="18"/>
                      <w:szCs w:val="18"/>
                    </w:rPr>
                  </w:pPr>
                  <w:r w:rsidRPr="00B60E4D">
                    <w:rPr>
                      <w:rFonts w:asciiTheme="majorHAnsi" w:hAnsiTheme="majorHAnsi" w:cstheme="majorHAnsi"/>
                      <w:color w:val="000000"/>
                      <w:sz w:val="18"/>
                      <w:szCs w:val="18"/>
                    </w:rPr>
                    <w:t>MDR-TB detection and diagnosis</w:t>
                  </w:r>
                </w:p>
              </w:tc>
              <w:tc>
                <w:tcPr>
                  <w:tcW w:w="1579" w:type="dxa"/>
                </w:tcPr>
                <w:p w14:paraId="34EB6B26" w14:textId="29EA5EC8" w:rsidR="00BD6DEA" w:rsidRPr="00B60E4D" w:rsidRDefault="00BD6DEA" w:rsidP="007F04BC">
                  <w:pPr>
                    <w:spacing w:after="0" w:line="240" w:lineRule="auto"/>
                    <w:rPr>
                      <w:rFonts w:asciiTheme="majorHAnsi" w:eastAsia="Times New Roman" w:hAnsiTheme="majorHAnsi" w:cstheme="majorHAnsi"/>
                      <w:b/>
                      <w:bCs/>
                      <w:sz w:val="18"/>
                      <w:szCs w:val="18"/>
                    </w:rPr>
                  </w:pPr>
                  <w:r>
                    <w:rPr>
                      <w:rFonts w:asciiTheme="majorHAnsi" w:hAnsiTheme="majorHAnsi" w:cstheme="majorHAnsi"/>
                      <w:sz w:val="18"/>
                      <w:szCs w:val="18"/>
                    </w:rPr>
                    <w:t>2,098,867</w:t>
                  </w:r>
                </w:p>
              </w:tc>
              <w:tc>
                <w:tcPr>
                  <w:tcW w:w="727" w:type="dxa"/>
                </w:tcPr>
                <w:p w14:paraId="467A5EE1" w14:textId="198071DA" w:rsidR="00E854E4"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26.1%</w:t>
                  </w:r>
                </w:p>
              </w:tc>
              <w:tc>
                <w:tcPr>
                  <w:tcW w:w="1017" w:type="dxa"/>
                </w:tcPr>
                <w:p w14:paraId="7EEE0732" w14:textId="66328A8E" w:rsidR="00BD6DEA" w:rsidRPr="00B60E4D" w:rsidRDefault="00BD6DEA"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1,255,099</w:t>
                  </w:r>
                </w:p>
              </w:tc>
              <w:tc>
                <w:tcPr>
                  <w:tcW w:w="727" w:type="dxa"/>
                </w:tcPr>
                <w:p w14:paraId="6D27D2D4" w14:textId="374241A2" w:rsidR="00BD6DEA"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32.9%</w:t>
                  </w:r>
                </w:p>
              </w:tc>
            </w:tr>
            <w:tr w:rsidR="00BD6DEA" w:rsidRPr="00B60E4D" w14:paraId="7D70D398" w14:textId="2BCFF36C" w:rsidTr="00C352FB">
              <w:tc>
                <w:tcPr>
                  <w:tcW w:w="4228" w:type="dxa"/>
                </w:tcPr>
                <w:p w14:paraId="359A2897" w14:textId="311E515E" w:rsidR="00BD6DEA" w:rsidRPr="00B60E4D" w:rsidRDefault="00BD6DEA" w:rsidP="007F04BC">
                  <w:pPr>
                    <w:spacing w:after="0" w:line="240" w:lineRule="auto"/>
                    <w:rPr>
                      <w:rFonts w:asciiTheme="majorHAnsi" w:hAnsiTheme="majorHAnsi" w:cstheme="majorHAnsi"/>
                      <w:sz w:val="18"/>
                      <w:szCs w:val="18"/>
                    </w:rPr>
                  </w:pPr>
                  <w:r w:rsidRPr="00B60E4D">
                    <w:rPr>
                      <w:rFonts w:asciiTheme="majorHAnsi" w:hAnsiTheme="majorHAnsi" w:cstheme="majorHAnsi"/>
                      <w:color w:val="000000"/>
                      <w:sz w:val="18"/>
                      <w:szCs w:val="18"/>
                    </w:rPr>
                    <w:t>MDR-TB treatment</w:t>
                  </w:r>
                </w:p>
              </w:tc>
              <w:tc>
                <w:tcPr>
                  <w:tcW w:w="1579" w:type="dxa"/>
                </w:tcPr>
                <w:p w14:paraId="761408FC" w14:textId="1B0C97D9" w:rsidR="00BD6DEA" w:rsidRPr="00B60E4D" w:rsidRDefault="00BD6DEA"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757,436</w:t>
                  </w:r>
                </w:p>
              </w:tc>
              <w:tc>
                <w:tcPr>
                  <w:tcW w:w="727" w:type="dxa"/>
                </w:tcPr>
                <w:p w14:paraId="79A9AD78" w14:textId="6F9C8166" w:rsidR="00BD6DEA"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9.4%</w:t>
                  </w:r>
                </w:p>
              </w:tc>
              <w:tc>
                <w:tcPr>
                  <w:tcW w:w="1017" w:type="dxa"/>
                </w:tcPr>
                <w:p w14:paraId="16E248D5" w14:textId="3BFA46F2" w:rsidR="00BD6DEA" w:rsidRPr="00B60E4D" w:rsidRDefault="00BD6DEA"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196,579</w:t>
                  </w:r>
                </w:p>
              </w:tc>
              <w:tc>
                <w:tcPr>
                  <w:tcW w:w="727" w:type="dxa"/>
                </w:tcPr>
                <w:p w14:paraId="63BA38FE" w14:textId="03DCC21E" w:rsidR="00BD6DEA"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5.2%</w:t>
                  </w:r>
                </w:p>
              </w:tc>
            </w:tr>
            <w:tr w:rsidR="00BD6DEA" w:rsidRPr="00B60E4D" w14:paraId="16184162" w14:textId="7A296267" w:rsidTr="00C352FB">
              <w:tc>
                <w:tcPr>
                  <w:tcW w:w="4228" w:type="dxa"/>
                </w:tcPr>
                <w:p w14:paraId="6C7269EC" w14:textId="51709148" w:rsidR="00BD6DEA" w:rsidRPr="00B60E4D" w:rsidRDefault="00BD6DEA" w:rsidP="007F04BC">
                  <w:pPr>
                    <w:spacing w:after="0" w:line="240" w:lineRule="auto"/>
                    <w:rPr>
                      <w:rFonts w:asciiTheme="majorHAnsi" w:hAnsiTheme="majorHAnsi" w:cstheme="majorHAnsi"/>
                      <w:sz w:val="18"/>
                      <w:szCs w:val="18"/>
                    </w:rPr>
                  </w:pPr>
                  <w:r w:rsidRPr="00B60E4D">
                    <w:rPr>
                      <w:rFonts w:asciiTheme="majorHAnsi" w:hAnsiTheme="majorHAnsi" w:cstheme="majorHAnsi"/>
                      <w:color w:val="000000"/>
                      <w:sz w:val="18"/>
                      <w:szCs w:val="18"/>
                    </w:rPr>
                    <w:t>Engaging all care providers</w:t>
                  </w:r>
                </w:p>
              </w:tc>
              <w:tc>
                <w:tcPr>
                  <w:tcW w:w="1579" w:type="dxa"/>
                </w:tcPr>
                <w:p w14:paraId="7C567EBD" w14:textId="5BF5E325" w:rsidR="00BD6DEA" w:rsidRPr="00B60E4D" w:rsidRDefault="00BD6DEA"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762,799</w:t>
                  </w:r>
                </w:p>
              </w:tc>
              <w:tc>
                <w:tcPr>
                  <w:tcW w:w="727" w:type="dxa"/>
                </w:tcPr>
                <w:p w14:paraId="1D490A2E" w14:textId="621D11A6" w:rsidR="00E854E4"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9.5%</w:t>
                  </w:r>
                </w:p>
              </w:tc>
              <w:tc>
                <w:tcPr>
                  <w:tcW w:w="1017" w:type="dxa"/>
                </w:tcPr>
                <w:p w14:paraId="5ACE9887" w14:textId="0B809832" w:rsidR="00BD6DEA" w:rsidRPr="00B60E4D" w:rsidRDefault="00BD6DEA"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132,473</w:t>
                  </w:r>
                </w:p>
              </w:tc>
              <w:tc>
                <w:tcPr>
                  <w:tcW w:w="727" w:type="dxa"/>
                </w:tcPr>
                <w:p w14:paraId="20B10C78" w14:textId="470F9958" w:rsidR="00BD6DEA"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3.5%</w:t>
                  </w:r>
                </w:p>
              </w:tc>
            </w:tr>
            <w:tr w:rsidR="0088652B" w:rsidRPr="00B60E4D" w14:paraId="1EA59939" w14:textId="77777777" w:rsidTr="00C352FB">
              <w:tc>
                <w:tcPr>
                  <w:tcW w:w="4228" w:type="dxa"/>
                </w:tcPr>
                <w:p w14:paraId="011E8B39" w14:textId="51F3E996" w:rsidR="0088652B" w:rsidRDefault="0088652B" w:rsidP="007F04BC">
                  <w:pPr>
                    <w:spacing w:after="0" w:line="240" w:lineRule="auto"/>
                    <w:rPr>
                      <w:rFonts w:asciiTheme="majorHAnsi" w:hAnsiTheme="majorHAnsi" w:cstheme="majorHAnsi"/>
                      <w:b/>
                      <w:color w:val="000000"/>
                      <w:sz w:val="18"/>
                      <w:szCs w:val="18"/>
                    </w:rPr>
                  </w:pPr>
                  <w:r>
                    <w:rPr>
                      <w:rFonts w:asciiTheme="majorHAnsi" w:hAnsiTheme="majorHAnsi" w:cstheme="majorHAnsi"/>
                      <w:b/>
                      <w:color w:val="000000"/>
                      <w:sz w:val="18"/>
                      <w:szCs w:val="18"/>
                    </w:rPr>
                    <w:t>Module 2. TB care and prevention</w:t>
                  </w:r>
                </w:p>
              </w:tc>
              <w:tc>
                <w:tcPr>
                  <w:tcW w:w="1579" w:type="dxa"/>
                </w:tcPr>
                <w:p w14:paraId="0BCFBD30" w14:textId="0EA94BA9" w:rsidR="0088652B" w:rsidRPr="0088652B" w:rsidRDefault="0088652B" w:rsidP="005261A5">
                  <w:pPr>
                    <w:spacing w:after="0" w:line="240" w:lineRule="auto"/>
                    <w:rPr>
                      <w:rFonts w:asciiTheme="majorHAnsi" w:eastAsia="Times New Roman" w:hAnsiTheme="majorHAnsi" w:cstheme="majorHAnsi"/>
                      <w:b/>
                      <w:bCs/>
                      <w:sz w:val="18"/>
                      <w:szCs w:val="18"/>
                    </w:rPr>
                  </w:pPr>
                  <w:r w:rsidRPr="0088652B">
                    <w:rPr>
                      <w:rFonts w:asciiTheme="majorHAnsi" w:eastAsia="Times New Roman" w:hAnsiTheme="majorHAnsi" w:cstheme="majorHAnsi"/>
                      <w:b/>
                      <w:bCs/>
                      <w:sz w:val="18"/>
                      <w:szCs w:val="18"/>
                    </w:rPr>
                    <w:t>2,935,746</w:t>
                  </w:r>
                </w:p>
              </w:tc>
              <w:tc>
                <w:tcPr>
                  <w:tcW w:w="727" w:type="dxa"/>
                </w:tcPr>
                <w:p w14:paraId="3B9985BF" w14:textId="103B0737" w:rsidR="0088652B" w:rsidRPr="00E854E4" w:rsidRDefault="00E854E4" w:rsidP="007F04BC">
                  <w:pPr>
                    <w:spacing w:after="0" w:line="240" w:lineRule="auto"/>
                    <w:rPr>
                      <w:rFonts w:asciiTheme="majorHAnsi" w:hAnsiTheme="majorHAnsi" w:cstheme="majorHAnsi"/>
                      <w:b/>
                      <w:sz w:val="18"/>
                      <w:szCs w:val="18"/>
                    </w:rPr>
                  </w:pPr>
                  <w:r w:rsidRPr="00E854E4">
                    <w:rPr>
                      <w:rFonts w:asciiTheme="majorHAnsi" w:hAnsiTheme="majorHAnsi" w:cstheme="majorHAnsi"/>
                      <w:b/>
                      <w:sz w:val="18"/>
                      <w:szCs w:val="18"/>
                    </w:rPr>
                    <w:t>36.5</w:t>
                  </w:r>
                  <w:r>
                    <w:rPr>
                      <w:rFonts w:asciiTheme="majorHAnsi" w:hAnsiTheme="majorHAnsi" w:cstheme="majorHAnsi"/>
                      <w:b/>
                      <w:sz w:val="18"/>
                      <w:szCs w:val="18"/>
                    </w:rPr>
                    <w:t>%</w:t>
                  </w:r>
                </w:p>
              </w:tc>
              <w:tc>
                <w:tcPr>
                  <w:tcW w:w="1017" w:type="dxa"/>
                </w:tcPr>
                <w:p w14:paraId="0BACD548" w14:textId="0FC839BC" w:rsidR="0088652B" w:rsidRPr="0088652B" w:rsidRDefault="0088652B" w:rsidP="007F04BC">
                  <w:pPr>
                    <w:spacing w:after="0" w:line="240" w:lineRule="auto"/>
                    <w:rPr>
                      <w:rFonts w:asciiTheme="majorHAnsi" w:hAnsiTheme="majorHAnsi" w:cstheme="majorHAnsi"/>
                      <w:b/>
                      <w:sz w:val="18"/>
                      <w:szCs w:val="18"/>
                    </w:rPr>
                  </w:pPr>
                  <w:r w:rsidRPr="0088652B">
                    <w:rPr>
                      <w:rFonts w:asciiTheme="majorHAnsi" w:hAnsiTheme="majorHAnsi" w:cstheme="majorHAnsi"/>
                      <w:b/>
                      <w:sz w:val="18"/>
                      <w:szCs w:val="18"/>
                    </w:rPr>
                    <w:t>2,064,432</w:t>
                  </w:r>
                </w:p>
              </w:tc>
              <w:tc>
                <w:tcPr>
                  <w:tcW w:w="727" w:type="dxa"/>
                </w:tcPr>
                <w:p w14:paraId="007EE1B5" w14:textId="3C7A9165" w:rsidR="0088652B" w:rsidRPr="00E854E4" w:rsidRDefault="00E854E4" w:rsidP="007F04BC">
                  <w:pPr>
                    <w:spacing w:after="0" w:line="240" w:lineRule="auto"/>
                    <w:rPr>
                      <w:rFonts w:asciiTheme="majorHAnsi" w:hAnsiTheme="majorHAnsi" w:cstheme="majorHAnsi"/>
                      <w:b/>
                      <w:sz w:val="18"/>
                      <w:szCs w:val="18"/>
                    </w:rPr>
                  </w:pPr>
                  <w:r w:rsidRPr="00E854E4">
                    <w:rPr>
                      <w:rFonts w:asciiTheme="majorHAnsi" w:hAnsiTheme="majorHAnsi" w:cstheme="majorHAnsi"/>
                      <w:b/>
                      <w:sz w:val="18"/>
                      <w:szCs w:val="18"/>
                    </w:rPr>
                    <w:t>54.2%</w:t>
                  </w:r>
                </w:p>
              </w:tc>
            </w:tr>
            <w:tr w:rsidR="0088652B" w:rsidRPr="00B60E4D" w14:paraId="6ECC24B8" w14:textId="77777777" w:rsidTr="00C352FB">
              <w:tc>
                <w:tcPr>
                  <w:tcW w:w="4228" w:type="dxa"/>
                </w:tcPr>
                <w:p w14:paraId="23A3FC74" w14:textId="2A05AE4D" w:rsidR="0088652B" w:rsidRPr="0088652B" w:rsidRDefault="0088652B" w:rsidP="007F04BC">
                  <w:pPr>
                    <w:spacing w:after="0" w:line="240" w:lineRule="auto"/>
                    <w:rPr>
                      <w:rFonts w:asciiTheme="majorHAnsi" w:hAnsiTheme="majorHAnsi" w:cstheme="majorHAnsi"/>
                      <w:color w:val="000000"/>
                      <w:sz w:val="18"/>
                      <w:szCs w:val="18"/>
                    </w:rPr>
                  </w:pPr>
                  <w:r w:rsidRPr="0088652B">
                    <w:rPr>
                      <w:rFonts w:asciiTheme="majorHAnsi" w:hAnsiTheme="majorHAnsi" w:cstheme="majorHAnsi"/>
                      <w:color w:val="000000"/>
                      <w:sz w:val="18"/>
                      <w:szCs w:val="18"/>
                    </w:rPr>
                    <w:t>Treatment</w:t>
                  </w:r>
                </w:p>
              </w:tc>
              <w:tc>
                <w:tcPr>
                  <w:tcW w:w="1579" w:type="dxa"/>
                </w:tcPr>
                <w:p w14:paraId="6518A8F5" w14:textId="0F5BA2A3" w:rsidR="0088652B" w:rsidRPr="0088652B" w:rsidRDefault="0088652B" w:rsidP="005261A5">
                  <w:pPr>
                    <w:spacing w:after="0" w:line="240" w:lineRule="auto"/>
                    <w:rPr>
                      <w:rFonts w:asciiTheme="majorHAnsi" w:eastAsia="Times New Roman" w:hAnsiTheme="majorHAnsi" w:cstheme="majorHAnsi"/>
                      <w:bCs/>
                      <w:sz w:val="18"/>
                      <w:szCs w:val="18"/>
                    </w:rPr>
                  </w:pPr>
                  <w:r w:rsidRPr="0088652B">
                    <w:rPr>
                      <w:rFonts w:asciiTheme="majorHAnsi" w:eastAsia="Times New Roman" w:hAnsiTheme="majorHAnsi" w:cstheme="majorHAnsi"/>
                      <w:bCs/>
                      <w:sz w:val="18"/>
                      <w:szCs w:val="18"/>
                    </w:rPr>
                    <w:t>0</w:t>
                  </w:r>
                </w:p>
              </w:tc>
              <w:tc>
                <w:tcPr>
                  <w:tcW w:w="727" w:type="dxa"/>
                </w:tcPr>
                <w:p w14:paraId="7E16AF65" w14:textId="439090C3" w:rsidR="0088652B"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0.0%</w:t>
                  </w:r>
                </w:p>
              </w:tc>
              <w:tc>
                <w:tcPr>
                  <w:tcW w:w="1017" w:type="dxa"/>
                </w:tcPr>
                <w:p w14:paraId="4753A137" w14:textId="497B09AD" w:rsidR="0088652B" w:rsidRPr="00B60E4D" w:rsidRDefault="0088652B"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358,579</w:t>
                  </w:r>
                </w:p>
              </w:tc>
              <w:tc>
                <w:tcPr>
                  <w:tcW w:w="727" w:type="dxa"/>
                </w:tcPr>
                <w:p w14:paraId="6E5C87A1" w14:textId="4528B405" w:rsidR="0088652B"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9.4%</w:t>
                  </w:r>
                </w:p>
              </w:tc>
            </w:tr>
            <w:tr w:rsidR="002E7888" w:rsidRPr="00B60E4D" w14:paraId="113B7A47" w14:textId="77777777" w:rsidTr="00C352FB">
              <w:tc>
                <w:tcPr>
                  <w:tcW w:w="4228" w:type="dxa"/>
                </w:tcPr>
                <w:p w14:paraId="07044D4F" w14:textId="5FA83497" w:rsidR="002E7888" w:rsidRPr="002E7888" w:rsidRDefault="002E7888" w:rsidP="007F04BC">
                  <w:pPr>
                    <w:spacing w:after="0" w:line="240" w:lineRule="auto"/>
                    <w:rPr>
                      <w:rFonts w:asciiTheme="majorHAnsi" w:hAnsiTheme="majorHAnsi" w:cstheme="majorHAnsi"/>
                      <w:color w:val="000000"/>
                      <w:sz w:val="18"/>
                      <w:szCs w:val="18"/>
                    </w:rPr>
                  </w:pPr>
                  <w:r w:rsidRPr="002E7888">
                    <w:rPr>
                      <w:rFonts w:asciiTheme="majorHAnsi" w:hAnsiTheme="majorHAnsi" w:cstheme="majorHAnsi"/>
                      <w:color w:val="000000"/>
                      <w:sz w:val="18"/>
                      <w:szCs w:val="18"/>
                    </w:rPr>
                    <w:t>Prevention</w:t>
                  </w:r>
                </w:p>
              </w:tc>
              <w:tc>
                <w:tcPr>
                  <w:tcW w:w="1579" w:type="dxa"/>
                </w:tcPr>
                <w:p w14:paraId="4B16942F" w14:textId="2B69C9D0" w:rsidR="002E7888" w:rsidRPr="002E7888" w:rsidRDefault="002E7888" w:rsidP="005261A5">
                  <w:pPr>
                    <w:spacing w:after="0" w:line="240" w:lineRule="auto"/>
                    <w:rPr>
                      <w:rFonts w:asciiTheme="majorHAnsi" w:eastAsia="Times New Roman" w:hAnsiTheme="majorHAnsi" w:cstheme="majorHAnsi"/>
                      <w:bCs/>
                      <w:sz w:val="18"/>
                      <w:szCs w:val="18"/>
                    </w:rPr>
                  </w:pPr>
                  <w:r w:rsidRPr="002E7888">
                    <w:rPr>
                      <w:rFonts w:asciiTheme="majorHAnsi" w:eastAsia="Times New Roman" w:hAnsiTheme="majorHAnsi" w:cstheme="majorHAnsi"/>
                      <w:bCs/>
                      <w:sz w:val="18"/>
                      <w:szCs w:val="18"/>
                    </w:rPr>
                    <w:t>1,647,405</w:t>
                  </w:r>
                </w:p>
              </w:tc>
              <w:tc>
                <w:tcPr>
                  <w:tcW w:w="727" w:type="dxa"/>
                </w:tcPr>
                <w:p w14:paraId="3C3FA9AA" w14:textId="1C0E6322" w:rsidR="002E7888"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20.5%</w:t>
                  </w:r>
                </w:p>
              </w:tc>
              <w:tc>
                <w:tcPr>
                  <w:tcW w:w="1017" w:type="dxa"/>
                </w:tcPr>
                <w:p w14:paraId="715CA962" w14:textId="28436EFD" w:rsidR="002E7888" w:rsidRPr="00B60E4D" w:rsidRDefault="002E7888"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340,746</w:t>
                  </w:r>
                </w:p>
              </w:tc>
              <w:tc>
                <w:tcPr>
                  <w:tcW w:w="727" w:type="dxa"/>
                </w:tcPr>
                <w:p w14:paraId="0ADB1183" w14:textId="47B23663" w:rsidR="002E7888"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8.9%</w:t>
                  </w:r>
                </w:p>
              </w:tc>
            </w:tr>
            <w:tr w:rsidR="002E7888" w:rsidRPr="00B60E4D" w14:paraId="7CC157F9" w14:textId="77777777" w:rsidTr="00C352FB">
              <w:tc>
                <w:tcPr>
                  <w:tcW w:w="4228" w:type="dxa"/>
                </w:tcPr>
                <w:p w14:paraId="417B15D2" w14:textId="191B96E3" w:rsidR="002E7888" w:rsidRPr="008E0287" w:rsidRDefault="008E0287" w:rsidP="007F04BC">
                  <w:pPr>
                    <w:spacing w:after="0" w:line="240" w:lineRule="auto"/>
                    <w:rPr>
                      <w:rFonts w:asciiTheme="majorHAnsi" w:hAnsiTheme="majorHAnsi" w:cstheme="majorHAnsi"/>
                      <w:color w:val="000000"/>
                      <w:sz w:val="18"/>
                      <w:szCs w:val="18"/>
                    </w:rPr>
                  </w:pPr>
                  <w:r w:rsidRPr="008E0287">
                    <w:rPr>
                      <w:rFonts w:asciiTheme="majorHAnsi" w:hAnsiTheme="majorHAnsi" w:cstheme="majorHAnsi"/>
                      <w:color w:val="000000"/>
                      <w:sz w:val="18"/>
                      <w:szCs w:val="18"/>
                    </w:rPr>
                    <w:t>Community TB care delivery</w:t>
                  </w:r>
                </w:p>
              </w:tc>
              <w:tc>
                <w:tcPr>
                  <w:tcW w:w="1579" w:type="dxa"/>
                </w:tcPr>
                <w:p w14:paraId="2A00F215" w14:textId="69416125" w:rsidR="002E7888" w:rsidRPr="008E0287" w:rsidRDefault="008E0287" w:rsidP="005261A5">
                  <w:pPr>
                    <w:spacing w:after="0" w:line="240" w:lineRule="auto"/>
                    <w:rPr>
                      <w:rFonts w:asciiTheme="majorHAnsi" w:eastAsia="Times New Roman" w:hAnsiTheme="majorHAnsi" w:cstheme="majorHAnsi"/>
                      <w:bCs/>
                      <w:sz w:val="18"/>
                      <w:szCs w:val="18"/>
                    </w:rPr>
                  </w:pPr>
                  <w:r w:rsidRPr="008E0287">
                    <w:rPr>
                      <w:rFonts w:asciiTheme="majorHAnsi" w:eastAsia="Times New Roman" w:hAnsiTheme="majorHAnsi" w:cstheme="majorHAnsi"/>
                      <w:bCs/>
                      <w:sz w:val="18"/>
                      <w:szCs w:val="18"/>
                    </w:rPr>
                    <w:t>1,288,341</w:t>
                  </w:r>
                </w:p>
              </w:tc>
              <w:tc>
                <w:tcPr>
                  <w:tcW w:w="727" w:type="dxa"/>
                </w:tcPr>
                <w:p w14:paraId="0153CC7A" w14:textId="6EFDBE1B" w:rsidR="002E7888"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16.0%</w:t>
                  </w:r>
                </w:p>
              </w:tc>
              <w:tc>
                <w:tcPr>
                  <w:tcW w:w="1017" w:type="dxa"/>
                </w:tcPr>
                <w:p w14:paraId="06D80452" w14:textId="4CD8080B" w:rsidR="002E7888" w:rsidRPr="00B60E4D" w:rsidRDefault="008E0287"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1,365,108</w:t>
                  </w:r>
                </w:p>
              </w:tc>
              <w:tc>
                <w:tcPr>
                  <w:tcW w:w="727" w:type="dxa"/>
                </w:tcPr>
                <w:p w14:paraId="282A6069" w14:textId="1ADD5ED1" w:rsidR="002E7888" w:rsidRPr="00B60E4D" w:rsidRDefault="00E854E4" w:rsidP="007F04BC">
                  <w:pPr>
                    <w:spacing w:after="0" w:line="240" w:lineRule="auto"/>
                    <w:rPr>
                      <w:rFonts w:asciiTheme="majorHAnsi" w:hAnsiTheme="majorHAnsi" w:cstheme="majorHAnsi"/>
                      <w:sz w:val="18"/>
                      <w:szCs w:val="18"/>
                    </w:rPr>
                  </w:pPr>
                  <w:r>
                    <w:rPr>
                      <w:rFonts w:asciiTheme="majorHAnsi" w:hAnsiTheme="majorHAnsi" w:cstheme="majorHAnsi"/>
                      <w:sz w:val="18"/>
                      <w:szCs w:val="18"/>
                    </w:rPr>
                    <w:t>35.8%</w:t>
                  </w:r>
                </w:p>
              </w:tc>
            </w:tr>
            <w:tr w:rsidR="00BD6DEA" w:rsidRPr="00B60E4D" w14:paraId="57170BB1" w14:textId="16CDF54E" w:rsidTr="00C352FB">
              <w:tc>
                <w:tcPr>
                  <w:tcW w:w="4228" w:type="dxa"/>
                </w:tcPr>
                <w:p w14:paraId="100C657A" w14:textId="5EECAE7E" w:rsidR="00BD6DEA" w:rsidRPr="00B60E4D" w:rsidRDefault="00876C33" w:rsidP="008E0287">
                  <w:pPr>
                    <w:spacing w:after="0" w:line="240" w:lineRule="auto"/>
                    <w:rPr>
                      <w:rFonts w:asciiTheme="majorHAnsi" w:hAnsiTheme="majorHAnsi" w:cstheme="majorHAnsi"/>
                      <w:sz w:val="18"/>
                      <w:szCs w:val="18"/>
                    </w:rPr>
                  </w:pPr>
                  <w:r>
                    <w:rPr>
                      <w:rFonts w:asciiTheme="majorHAnsi" w:hAnsiTheme="majorHAnsi" w:cstheme="majorHAnsi"/>
                      <w:b/>
                      <w:color w:val="000000"/>
                      <w:sz w:val="18"/>
                      <w:szCs w:val="18"/>
                    </w:rPr>
                    <w:t>Module 3</w:t>
                  </w:r>
                  <w:r w:rsidR="00BD6DEA">
                    <w:rPr>
                      <w:rFonts w:asciiTheme="majorHAnsi" w:hAnsiTheme="majorHAnsi" w:cstheme="majorHAnsi"/>
                      <w:b/>
                      <w:color w:val="000000"/>
                      <w:sz w:val="18"/>
                      <w:szCs w:val="18"/>
                    </w:rPr>
                    <w:t xml:space="preserve">. </w:t>
                  </w:r>
                  <w:r w:rsidR="00BD6DEA" w:rsidRPr="00B60E4D">
                    <w:rPr>
                      <w:rFonts w:asciiTheme="majorHAnsi" w:hAnsiTheme="majorHAnsi" w:cstheme="majorHAnsi"/>
                      <w:b/>
                      <w:color w:val="000000"/>
                      <w:sz w:val="18"/>
                      <w:szCs w:val="18"/>
                    </w:rPr>
                    <w:t>RSSH: Health management information systems and M&amp;E</w:t>
                  </w:r>
                </w:p>
              </w:tc>
              <w:tc>
                <w:tcPr>
                  <w:tcW w:w="1579" w:type="dxa"/>
                </w:tcPr>
                <w:p w14:paraId="11BAA249" w14:textId="16B97014" w:rsidR="00BD6DEA" w:rsidRPr="008E0287" w:rsidRDefault="008E0287" w:rsidP="008E0287">
                  <w:pPr>
                    <w:spacing w:after="0" w:line="240" w:lineRule="auto"/>
                    <w:rPr>
                      <w:rFonts w:asciiTheme="majorHAnsi" w:eastAsia="Times New Roman" w:hAnsiTheme="majorHAnsi" w:cstheme="majorHAnsi"/>
                      <w:b/>
                      <w:bCs/>
                      <w:sz w:val="18"/>
                      <w:szCs w:val="18"/>
                    </w:rPr>
                  </w:pPr>
                  <w:r w:rsidRPr="008E0287">
                    <w:rPr>
                      <w:rFonts w:asciiTheme="majorHAnsi" w:eastAsia="Times New Roman" w:hAnsiTheme="majorHAnsi" w:cstheme="majorHAnsi"/>
                      <w:b/>
                      <w:bCs/>
                      <w:sz w:val="18"/>
                      <w:szCs w:val="18"/>
                    </w:rPr>
                    <w:t>537,245</w:t>
                  </w:r>
                </w:p>
                <w:p w14:paraId="469DBA0F" w14:textId="77777777" w:rsidR="00BD6DEA" w:rsidRPr="00B60E4D" w:rsidRDefault="00BD6DEA" w:rsidP="008E0287">
                  <w:pPr>
                    <w:spacing w:after="0" w:line="240" w:lineRule="auto"/>
                    <w:rPr>
                      <w:rFonts w:asciiTheme="majorHAnsi" w:hAnsiTheme="majorHAnsi" w:cstheme="majorHAnsi"/>
                      <w:sz w:val="18"/>
                      <w:szCs w:val="18"/>
                    </w:rPr>
                  </w:pPr>
                </w:p>
              </w:tc>
              <w:tc>
                <w:tcPr>
                  <w:tcW w:w="727" w:type="dxa"/>
                </w:tcPr>
                <w:p w14:paraId="2BF7A8E4" w14:textId="1772F8D6" w:rsidR="00BD6DEA" w:rsidRPr="00E854E4" w:rsidRDefault="00E854E4" w:rsidP="008E0287">
                  <w:pPr>
                    <w:spacing w:after="0" w:line="240" w:lineRule="auto"/>
                    <w:rPr>
                      <w:rFonts w:asciiTheme="majorHAnsi" w:hAnsiTheme="majorHAnsi" w:cstheme="majorHAnsi"/>
                      <w:b/>
                      <w:sz w:val="18"/>
                      <w:szCs w:val="18"/>
                    </w:rPr>
                  </w:pPr>
                  <w:r w:rsidRPr="00E854E4">
                    <w:rPr>
                      <w:rFonts w:asciiTheme="majorHAnsi" w:hAnsiTheme="majorHAnsi" w:cstheme="majorHAnsi"/>
                      <w:b/>
                      <w:sz w:val="18"/>
                      <w:szCs w:val="18"/>
                    </w:rPr>
                    <w:t>6.7</w:t>
                  </w:r>
                  <w:r>
                    <w:rPr>
                      <w:rFonts w:asciiTheme="majorHAnsi" w:hAnsiTheme="majorHAnsi" w:cstheme="majorHAnsi"/>
                      <w:b/>
                      <w:sz w:val="18"/>
                      <w:szCs w:val="18"/>
                    </w:rPr>
                    <w:t>%</w:t>
                  </w:r>
                </w:p>
              </w:tc>
              <w:tc>
                <w:tcPr>
                  <w:tcW w:w="1017" w:type="dxa"/>
                </w:tcPr>
                <w:p w14:paraId="1F83C951" w14:textId="630D8030" w:rsidR="00BD6DEA" w:rsidRPr="008E0287" w:rsidRDefault="008E0287" w:rsidP="008E0287">
                  <w:pPr>
                    <w:spacing w:after="0" w:line="240" w:lineRule="auto"/>
                    <w:rPr>
                      <w:rFonts w:asciiTheme="majorHAnsi" w:hAnsiTheme="majorHAnsi" w:cstheme="majorHAnsi"/>
                      <w:b/>
                      <w:sz w:val="18"/>
                      <w:szCs w:val="18"/>
                    </w:rPr>
                  </w:pPr>
                  <w:r w:rsidRPr="008E0287">
                    <w:rPr>
                      <w:rFonts w:asciiTheme="majorHAnsi" w:hAnsiTheme="majorHAnsi" w:cstheme="majorHAnsi"/>
                      <w:b/>
                      <w:sz w:val="18"/>
                      <w:szCs w:val="18"/>
                    </w:rPr>
                    <w:t>161,775</w:t>
                  </w:r>
                </w:p>
              </w:tc>
              <w:tc>
                <w:tcPr>
                  <w:tcW w:w="727" w:type="dxa"/>
                </w:tcPr>
                <w:p w14:paraId="76486ABA" w14:textId="398B2C27" w:rsidR="00BD6DEA" w:rsidRPr="00E854E4" w:rsidRDefault="00E854E4" w:rsidP="008E0287">
                  <w:pPr>
                    <w:spacing w:after="0" w:line="240" w:lineRule="auto"/>
                    <w:rPr>
                      <w:rFonts w:asciiTheme="majorHAnsi" w:hAnsiTheme="majorHAnsi" w:cstheme="majorHAnsi"/>
                      <w:b/>
                      <w:sz w:val="18"/>
                      <w:szCs w:val="18"/>
                    </w:rPr>
                  </w:pPr>
                  <w:r w:rsidRPr="00E854E4">
                    <w:rPr>
                      <w:rFonts w:asciiTheme="majorHAnsi" w:hAnsiTheme="majorHAnsi" w:cstheme="majorHAnsi"/>
                      <w:b/>
                      <w:sz w:val="18"/>
                      <w:szCs w:val="18"/>
                    </w:rPr>
                    <w:t>4.2%</w:t>
                  </w:r>
                </w:p>
              </w:tc>
            </w:tr>
            <w:tr w:rsidR="00BD6DEA" w:rsidRPr="00B60E4D" w14:paraId="07BD84A4" w14:textId="53336704" w:rsidTr="00C352FB">
              <w:trPr>
                <w:trHeight w:val="74"/>
              </w:trPr>
              <w:tc>
                <w:tcPr>
                  <w:tcW w:w="4228" w:type="dxa"/>
                </w:tcPr>
                <w:p w14:paraId="1CF38395" w14:textId="1CD3653A" w:rsidR="00BD6DEA" w:rsidRPr="00B60E4D" w:rsidRDefault="00BD6DEA" w:rsidP="008E0287">
                  <w:pPr>
                    <w:spacing w:after="0" w:line="240" w:lineRule="auto"/>
                    <w:rPr>
                      <w:rFonts w:asciiTheme="majorHAnsi" w:hAnsiTheme="majorHAnsi" w:cstheme="majorHAnsi"/>
                      <w:sz w:val="18"/>
                      <w:szCs w:val="18"/>
                    </w:rPr>
                  </w:pPr>
                  <w:r w:rsidRPr="00B60E4D">
                    <w:rPr>
                      <w:rFonts w:asciiTheme="majorHAnsi" w:hAnsiTheme="majorHAnsi" w:cstheme="majorHAnsi"/>
                      <w:color w:val="000000"/>
                      <w:sz w:val="18"/>
                      <w:szCs w:val="18"/>
                    </w:rPr>
                    <w:t>Program and data quality</w:t>
                  </w:r>
                </w:p>
              </w:tc>
              <w:tc>
                <w:tcPr>
                  <w:tcW w:w="1579" w:type="dxa"/>
                </w:tcPr>
                <w:p w14:paraId="450BBD66" w14:textId="2917E916" w:rsidR="00BD6DEA" w:rsidRPr="00B60E4D" w:rsidRDefault="008E0287"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156,016</w:t>
                  </w:r>
                </w:p>
              </w:tc>
              <w:tc>
                <w:tcPr>
                  <w:tcW w:w="727" w:type="dxa"/>
                </w:tcPr>
                <w:p w14:paraId="6E6DDCD3" w14:textId="30C0FA4B" w:rsidR="00BD6DEA" w:rsidRPr="00B60E4D" w:rsidRDefault="00E854E4"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1.9%</w:t>
                  </w:r>
                </w:p>
              </w:tc>
              <w:tc>
                <w:tcPr>
                  <w:tcW w:w="1017" w:type="dxa"/>
                </w:tcPr>
                <w:p w14:paraId="26C25CF8" w14:textId="1555B900" w:rsidR="00BD6DEA" w:rsidRPr="00B60E4D" w:rsidRDefault="008E0287"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0</w:t>
                  </w:r>
                </w:p>
              </w:tc>
              <w:tc>
                <w:tcPr>
                  <w:tcW w:w="727" w:type="dxa"/>
                </w:tcPr>
                <w:p w14:paraId="7603F19F" w14:textId="2B299ECC" w:rsidR="00BD6DEA" w:rsidRPr="00B60E4D" w:rsidRDefault="00E854E4"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0.0%</w:t>
                  </w:r>
                </w:p>
              </w:tc>
            </w:tr>
            <w:tr w:rsidR="00BD6DEA" w:rsidRPr="00B60E4D" w14:paraId="280D65F5" w14:textId="1059538E" w:rsidTr="00C352FB">
              <w:tc>
                <w:tcPr>
                  <w:tcW w:w="4228" w:type="dxa"/>
                </w:tcPr>
                <w:p w14:paraId="5FAAF4F0" w14:textId="7F2B8A20" w:rsidR="00BD6DEA" w:rsidRPr="00B60E4D" w:rsidRDefault="00BD6DEA" w:rsidP="008E0287">
                  <w:pPr>
                    <w:spacing w:after="0" w:line="240" w:lineRule="auto"/>
                    <w:rPr>
                      <w:rFonts w:asciiTheme="majorHAnsi" w:hAnsiTheme="majorHAnsi" w:cstheme="majorHAnsi"/>
                      <w:sz w:val="18"/>
                      <w:szCs w:val="18"/>
                    </w:rPr>
                  </w:pPr>
                  <w:r w:rsidRPr="00B60E4D">
                    <w:rPr>
                      <w:rFonts w:asciiTheme="majorHAnsi" w:hAnsiTheme="majorHAnsi" w:cstheme="majorHAnsi"/>
                      <w:color w:val="000000"/>
                      <w:sz w:val="18"/>
                      <w:szCs w:val="18"/>
                    </w:rPr>
                    <w:t>Routine reporting</w:t>
                  </w:r>
                </w:p>
              </w:tc>
              <w:tc>
                <w:tcPr>
                  <w:tcW w:w="1579" w:type="dxa"/>
                </w:tcPr>
                <w:p w14:paraId="3C838463" w14:textId="386C362E" w:rsidR="00BD6DEA" w:rsidRPr="00B60E4D" w:rsidRDefault="0084154A"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101,938</w:t>
                  </w:r>
                </w:p>
              </w:tc>
              <w:tc>
                <w:tcPr>
                  <w:tcW w:w="727" w:type="dxa"/>
                </w:tcPr>
                <w:p w14:paraId="1C7AA4B5" w14:textId="764ECCD6" w:rsidR="00BD6DEA" w:rsidRPr="00B60E4D" w:rsidRDefault="00E854E4"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1.3%</w:t>
                  </w:r>
                </w:p>
              </w:tc>
              <w:tc>
                <w:tcPr>
                  <w:tcW w:w="1017" w:type="dxa"/>
                </w:tcPr>
                <w:p w14:paraId="73EA73D4" w14:textId="2A676671" w:rsidR="00BD6DEA" w:rsidRPr="00B60E4D" w:rsidRDefault="0084154A"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0</w:t>
                  </w:r>
                </w:p>
              </w:tc>
              <w:tc>
                <w:tcPr>
                  <w:tcW w:w="727" w:type="dxa"/>
                </w:tcPr>
                <w:p w14:paraId="4DE72C8D" w14:textId="6AADAEA3" w:rsidR="00BD6DEA" w:rsidRPr="00B60E4D" w:rsidRDefault="00E854E4"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0.0%</w:t>
                  </w:r>
                </w:p>
              </w:tc>
            </w:tr>
            <w:tr w:rsidR="00BD6DEA" w:rsidRPr="00B60E4D" w14:paraId="0939400C" w14:textId="38A4FF61" w:rsidTr="00C352FB">
              <w:tc>
                <w:tcPr>
                  <w:tcW w:w="4228" w:type="dxa"/>
                </w:tcPr>
                <w:p w14:paraId="2B3B0158" w14:textId="1217604A" w:rsidR="00BD6DEA" w:rsidRPr="00B60E4D" w:rsidRDefault="00BD6DEA" w:rsidP="008E0287">
                  <w:pPr>
                    <w:spacing w:after="0" w:line="240" w:lineRule="auto"/>
                    <w:rPr>
                      <w:rFonts w:asciiTheme="majorHAnsi" w:hAnsiTheme="majorHAnsi" w:cstheme="majorHAnsi"/>
                      <w:color w:val="000000"/>
                      <w:sz w:val="18"/>
                      <w:szCs w:val="18"/>
                    </w:rPr>
                  </w:pPr>
                  <w:r w:rsidRPr="00B60E4D">
                    <w:rPr>
                      <w:rFonts w:asciiTheme="majorHAnsi" w:hAnsiTheme="majorHAnsi" w:cstheme="majorHAnsi"/>
                      <w:color w:val="000000"/>
                      <w:sz w:val="18"/>
                      <w:szCs w:val="18"/>
                    </w:rPr>
                    <w:t xml:space="preserve">Analysis, evaluations, </w:t>
                  </w:r>
                  <w:proofErr w:type="gramStart"/>
                  <w:r w:rsidRPr="00B60E4D">
                    <w:rPr>
                      <w:rFonts w:asciiTheme="majorHAnsi" w:hAnsiTheme="majorHAnsi" w:cstheme="majorHAnsi"/>
                      <w:color w:val="000000"/>
                      <w:sz w:val="18"/>
                      <w:szCs w:val="18"/>
                    </w:rPr>
                    <w:t>reviews</w:t>
                  </w:r>
                  <w:proofErr w:type="gramEnd"/>
                  <w:r w:rsidRPr="00B60E4D">
                    <w:rPr>
                      <w:rFonts w:asciiTheme="majorHAnsi" w:hAnsiTheme="majorHAnsi" w:cstheme="majorHAnsi"/>
                      <w:color w:val="000000"/>
                      <w:sz w:val="18"/>
                      <w:szCs w:val="18"/>
                    </w:rPr>
                    <w:t xml:space="preserve"> and transparency</w:t>
                  </w:r>
                </w:p>
              </w:tc>
              <w:tc>
                <w:tcPr>
                  <w:tcW w:w="1579" w:type="dxa"/>
                </w:tcPr>
                <w:p w14:paraId="11AF4E62" w14:textId="5BD1CDD2" w:rsidR="00BD6DEA" w:rsidRPr="00B60E4D" w:rsidRDefault="0084154A"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279,291</w:t>
                  </w:r>
                </w:p>
              </w:tc>
              <w:tc>
                <w:tcPr>
                  <w:tcW w:w="727" w:type="dxa"/>
                </w:tcPr>
                <w:p w14:paraId="0D5ECF09" w14:textId="1593BC76" w:rsidR="00BD6DEA" w:rsidRPr="00B60E4D" w:rsidRDefault="00E854E4"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3.5%</w:t>
                  </w:r>
                </w:p>
              </w:tc>
              <w:tc>
                <w:tcPr>
                  <w:tcW w:w="1017" w:type="dxa"/>
                </w:tcPr>
                <w:p w14:paraId="0539219D" w14:textId="1AD1EA27" w:rsidR="00BD6DEA" w:rsidRPr="00B60E4D" w:rsidRDefault="0084154A"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161,775</w:t>
                  </w:r>
                </w:p>
              </w:tc>
              <w:tc>
                <w:tcPr>
                  <w:tcW w:w="727" w:type="dxa"/>
                </w:tcPr>
                <w:p w14:paraId="2CE60421" w14:textId="241198A1" w:rsidR="00BD6DEA" w:rsidRPr="00B60E4D" w:rsidRDefault="00E854E4" w:rsidP="008E0287">
                  <w:pPr>
                    <w:spacing w:after="0" w:line="240" w:lineRule="auto"/>
                    <w:rPr>
                      <w:rFonts w:asciiTheme="majorHAnsi" w:hAnsiTheme="majorHAnsi" w:cstheme="majorHAnsi"/>
                      <w:sz w:val="18"/>
                      <w:szCs w:val="18"/>
                    </w:rPr>
                  </w:pPr>
                  <w:r>
                    <w:rPr>
                      <w:rFonts w:asciiTheme="majorHAnsi" w:hAnsiTheme="majorHAnsi" w:cstheme="majorHAnsi"/>
                      <w:sz w:val="18"/>
                      <w:szCs w:val="18"/>
                    </w:rPr>
                    <w:t>4.2%</w:t>
                  </w:r>
                </w:p>
              </w:tc>
            </w:tr>
          </w:tbl>
          <w:p w14:paraId="15711A76" w14:textId="77777777" w:rsidR="00A75901" w:rsidRDefault="00A75901" w:rsidP="00C528C0">
            <w:pPr>
              <w:spacing w:after="0" w:line="240" w:lineRule="auto"/>
              <w:rPr>
                <w:rFonts w:ascii="inherit" w:hAnsi="inherit" w:cs="Times New Roman"/>
                <w:color w:val="1F497D"/>
                <w:bdr w:val="none" w:sz="0" w:space="0" w:color="auto" w:frame="1"/>
              </w:rPr>
            </w:pPr>
          </w:p>
          <w:p w14:paraId="1AE67D75" w14:textId="3C2F460D" w:rsidR="005E57FB" w:rsidRDefault="00606F84" w:rsidP="00C528C0">
            <w:pPr>
              <w:spacing w:after="0" w:line="240" w:lineRule="auto"/>
              <w:rPr>
                <w:rFonts w:asciiTheme="majorHAnsi" w:hAnsiTheme="majorHAnsi" w:cstheme="majorHAnsi"/>
              </w:rPr>
            </w:pPr>
            <w:r w:rsidRPr="00606F84">
              <w:rPr>
                <w:rFonts w:asciiTheme="majorHAnsi" w:hAnsiTheme="majorHAnsi" w:cstheme="majorHAnsi"/>
              </w:rPr>
              <w:t>Some key events are highlighted below in chronological order. The consultation</w:t>
            </w:r>
            <w:r>
              <w:rPr>
                <w:rFonts w:asciiTheme="majorHAnsi" w:hAnsiTheme="majorHAnsi" w:cstheme="majorHAnsi"/>
              </w:rPr>
              <w:t xml:space="preserve">s were documented, and </w:t>
            </w:r>
            <w:r w:rsidR="002C40B6">
              <w:rPr>
                <w:rFonts w:asciiTheme="majorHAnsi" w:hAnsiTheme="majorHAnsi" w:cstheme="majorHAnsi"/>
              </w:rPr>
              <w:t>minutes</w:t>
            </w:r>
            <w:r w:rsidRPr="00606F84">
              <w:rPr>
                <w:rFonts w:asciiTheme="majorHAnsi" w:hAnsiTheme="majorHAnsi" w:cstheme="majorHAnsi"/>
              </w:rPr>
              <w:t xml:space="preserve"> made available on the CCM website www.ccmkz.kz. </w:t>
            </w:r>
          </w:p>
          <w:p w14:paraId="174E3BA3" w14:textId="77777777" w:rsidR="00606F84" w:rsidRDefault="00606F84" w:rsidP="00C528C0">
            <w:pPr>
              <w:spacing w:after="0" w:line="240" w:lineRule="auto"/>
              <w:rPr>
                <w:rFonts w:ascii="inherit" w:hAnsi="inherit" w:cs="Times New Roman"/>
                <w:color w:val="1F497D"/>
                <w:bdr w:val="none" w:sz="0" w:space="0" w:color="auto" w:frame="1"/>
              </w:rPr>
            </w:pPr>
          </w:p>
          <w:p w14:paraId="1206AEED" w14:textId="77777777" w:rsidR="00383E90" w:rsidRDefault="00383E90" w:rsidP="00383E90">
            <w:pPr>
              <w:spacing w:after="0" w:line="240" w:lineRule="auto"/>
            </w:pPr>
            <w:r>
              <w:t>On 31 January 2020, the CCM meeting was held on program split.</w:t>
            </w:r>
          </w:p>
          <w:p w14:paraId="25716FAC" w14:textId="77777777" w:rsidR="00383E90" w:rsidRDefault="00383E90" w:rsidP="00DF4111">
            <w:pPr>
              <w:spacing w:after="0" w:line="240" w:lineRule="auto"/>
              <w:jc w:val="both"/>
            </w:pPr>
            <w:r>
              <w:t>On 18 June 2021, the CCM meeting was held on working group establishment and defining terms for submitting the funding request on 18 June 2021.</w:t>
            </w:r>
          </w:p>
          <w:p w14:paraId="0BD5EE75" w14:textId="7AC93D8C" w:rsidR="00383E90" w:rsidRDefault="00383E90" w:rsidP="00383E90">
            <w:pPr>
              <w:spacing w:after="0" w:line="240" w:lineRule="auto"/>
            </w:pPr>
            <w:r>
              <w:t xml:space="preserve">On </w:t>
            </w:r>
            <w:r w:rsidRPr="005E3987">
              <w:t>24</w:t>
            </w:r>
            <w:r w:rsidR="009B4594">
              <w:t xml:space="preserve"> September 2021, a</w:t>
            </w:r>
            <w:r w:rsidR="005E3987">
              <w:t xml:space="preserve"> CCM meeting </w:t>
            </w:r>
            <w:r>
              <w:t>meeting wa</w:t>
            </w:r>
            <w:r w:rsidR="005E3987">
              <w:t xml:space="preserve">s conducted with participation of the </w:t>
            </w:r>
            <w:r>
              <w:t>T</w:t>
            </w:r>
            <w:r w:rsidR="00DD2FB2">
              <w:t xml:space="preserve">echnical </w:t>
            </w:r>
            <w:r>
              <w:t>W</w:t>
            </w:r>
            <w:r w:rsidR="00DD2FB2">
              <w:t xml:space="preserve">orking </w:t>
            </w:r>
            <w:r>
              <w:t>G</w:t>
            </w:r>
            <w:r w:rsidR="00DD2FB2">
              <w:t>roup (TWG)</w:t>
            </w:r>
            <w:r>
              <w:t>, and the GF Team</w:t>
            </w:r>
            <w:r w:rsidR="005E3987">
              <w:t>s</w:t>
            </w:r>
            <w:r>
              <w:t xml:space="preserve"> to agree on the action plan for the preparation of the GF TB Funding Request for 2023-2025.</w:t>
            </w:r>
          </w:p>
          <w:p w14:paraId="2929B13B" w14:textId="77777777" w:rsidR="00383E90" w:rsidRDefault="00383E90" w:rsidP="00383E90">
            <w:pPr>
              <w:spacing w:after="0" w:line="240" w:lineRule="auto"/>
            </w:pPr>
            <w:r>
              <w:t>On 01 October 2021, the announcement calling for proposals to be included in the GF Funding Request for TB component was published in the republican newspaper "Kazakhstanskaya Pravda" and on the websites of the CCM Secretariat and the NSCF.</w:t>
            </w:r>
          </w:p>
          <w:p w14:paraId="3F80FD26" w14:textId="78E8D8DF" w:rsidR="00383E90" w:rsidRDefault="00383E90" w:rsidP="00383E90">
            <w:pPr>
              <w:spacing w:after="0" w:line="240" w:lineRule="auto"/>
            </w:pPr>
            <w:r>
              <w:t xml:space="preserve">On </w:t>
            </w:r>
            <w:r w:rsidR="005E3987">
              <w:t>12</w:t>
            </w:r>
            <w:r>
              <w:t>-15 and 25 October, and 22 and 24 November, several technical working group meetings were held at the NSCP to define priority intervention, grouping, and budgeting.</w:t>
            </w:r>
          </w:p>
          <w:p w14:paraId="0FCF16C4" w14:textId="2DBE349F" w:rsidR="009B4594" w:rsidRPr="00974FD7" w:rsidRDefault="009B4594" w:rsidP="00DF4111">
            <w:pPr>
              <w:spacing w:after="0" w:line="240" w:lineRule="auto"/>
              <w:jc w:val="both"/>
            </w:pPr>
            <w:r>
              <w:t>On 28-29 October, international coneference was held on Strategic Issues of Further Development of Phthisiopulmonology in the R</w:t>
            </w:r>
            <w:r w:rsidRPr="009B4594">
              <w:t>epublic of Kazakhstan</w:t>
            </w:r>
            <w:r>
              <w:t>.</w:t>
            </w:r>
          </w:p>
          <w:p w14:paraId="527C770A" w14:textId="77777777" w:rsidR="00383E90" w:rsidRDefault="00383E90" w:rsidP="00383E90">
            <w:pPr>
              <w:spacing w:after="0" w:line="240" w:lineRule="auto"/>
            </w:pPr>
            <w:r>
              <w:t xml:space="preserve">On 29 November 2021, the expanded TWG meeting was held to discuss priority interventions proposed by applicants for inclusion in the GF funding request. </w:t>
            </w:r>
          </w:p>
          <w:p w14:paraId="031B5811" w14:textId="7113068C" w:rsidR="00E94F51" w:rsidRDefault="00383E90" w:rsidP="00A17039">
            <w:pPr>
              <w:spacing w:after="0" w:line="240" w:lineRule="auto"/>
              <w:jc w:val="both"/>
            </w:pPr>
            <w:r>
              <w:t xml:space="preserve">On 03 December 2021, Country Dialogue </w:t>
            </w:r>
            <w:r w:rsidR="00472C7C">
              <w:t>was held for</w:t>
            </w:r>
            <w:r>
              <w:t xml:space="preserve"> preparation of new funding request for the</w:t>
            </w:r>
            <w:r w:rsidR="00A17039">
              <w:t xml:space="preserve"> TB</w:t>
            </w:r>
            <w:r>
              <w:t xml:space="preserve"> component, with broad participation, including CCM and non-CCM members, government and non-government, NGOs, international organizations, and key populations.</w:t>
            </w:r>
            <w:r w:rsidR="002C40B6">
              <w:t xml:space="preserve"> </w:t>
            </w:r>
          </w:p>
          <w:p w14:paraId="1CF92B5E" w14:textId="5264E112" w:rsidR="00E94F51" w:rsidRPr="00974FD7" w:rsidRDefault="00E94F51" w:rsidP="00383E90">
            <w:pPr>
              <w:spacing w:after="0" w:line="240" w:lineRule="auto"/>
              <w:rPr>
                <w:rFonts w:cs="Arial"/>
              </w:rPr>
            </w:pPr>
          </w:p>
        </w:tc>
      </w:tr>
    </w:tbl>
    <w:p w14:paraId="28186397" w14:textId="40CD265B" w:rsidR="00007BFF" w:rsidRPr="00974FD7" w:rsidRDefault="00007BFF" w:rsidP="008C21CF">
      <w:pPr>
        <w:spacing w:after="0"/>
        <w:rPr>
          <w:rFonts w:cs="Arial"/>
        </w:rPr>
      </w:pPr>
    </w:p>
    <w:p w14:paraId="55305E18" w14:textId="3515BBAB" w:rsidR="00007BFF" w:rsidRDefault="00007BFF" w:rsidP="002B4EA3">
      <w:pPr>
        <w:pStyle w:val="affff3"/>
        <w:numPr>
          <w:ilvl w:val="0"/>
          <w:numId w:val="23"/>
        </w:numPr>
        <w:spacing w:after="0"/>
        <w:ind w:left="360" w:hanging="270"/>
        <w:jc w:val="both"/>
        <w:rPr>
          <w:rFonts w:cs="Arial"/>
        </w:rPr>
      </w:pPr>
      <w:r>
        <w:rPr>
          <w:rFonts w:cs="Arial"/>
        </w:rPr>
        <w:t xml:space="preserve">Fill in </w:t>
      </w:r>
      <w:r w:rsidRPr="0096146C">
        <w:rPr>
          <w:rFonts w:cs="Arial"/>
          <w:b/>
        </w:rPr>
        <w:t>one table for each disease component</w:t>
      </w:r>
      <w:r>
        <w:rPr>
          <w:rFonts w:cs="Arial"/>
        </w:rPr>
        <w:t>,</w:t>
      </w:r>
      <w:r w:rsidRPr="00071C82">
        <w:rPr>
          <w:rFonts w:cs="Arial"/>
        </w:rPr>
        <w:t xml:space="preserve"> and</w:t>
      </w:r>
      <w:r>
        <w:rPr>
          <w:rFonts w:cs="Arial"/>
        </w:rPr>
        <w:t xml:space="preserve"> an additional table for integrated or cross-cutting programming, such as TB/HIV or Resilient and Sustainable Systems for Health (RSSH) modules, to describe the areas prioritized for this funding request.  </w:t>
      </w:r>
    </w:p>
    <w:p w14:paraId="21B36C43" w14:textId="77777777" w:rsidR="00007BFF" w:rsidRPr="00071C82" w:rsidRDefault="00007BFF" w:rsidP="00071C82">
      <w:pPr>
        <w:pStyle w:val="affff3"/>
        <w:spacing w:after="0"/>
        <w:ind w:left="360"/>
        <w:jc w:val="both"/>
        <w:rPr>
          <w:rFonts w:cs="Arial"/>
        </w:rPr>
      </w:pPr>
    </w:p>
    <w:tbl>
      <w:tblPr>
        <w:tblStyle w:val="TableGrid3"/>
        <w:tblpPr w:leftFromText="180" w:rightFromText="180" w:vertAnchor="text" w:tblpX="-5" w:tblpY="1"/>
        <w:tblOverlap w:val="never"/>
        <w:tblW w:w="10350" w:type="dxa"/>
        <w:tblLook w:val="04A0" w:firstRow="1" w:lastRow="0" w:firstColumn="1" w:lastColumn="0" w:noHBand="0" w:noVBand="1"/>
      </w:tblPr>
      <w:tblGrid>
        <w:gridCol w:w="2448"/>
        <w:gridCol w:w="7902"/>
      </w:tblGrid>
      <w:tr w:rsidR="00007BFF" w:rsidRPr="0025492B" w14:paraId="68E2BF61" w14:textId="77777777" w:rsidTr="00F47032">
        <w:trPr>
          <w:trHeight w:val="422"/>
        </w:trPr>
        <w:tc>
          <w:tcPr>
            <w:tcW w:w="2448" w:type="dxa"/>
            <w:shd w:val="clear" w:color="auto" w:fill="F2F2F2"/>
            <w:vAlign w:val="center"/>
          </w:tcPr>
          <w:p w14:paraId="1B4168EC" w14:textId="537C96AA" w:rsidR="00007BFF" w:rsidRPr="0025492B" w:rsidRDefault="00007BFF" w:rsidP="00F47032">
            <w:pPr>
              <w:spacing w:after="0" w:line="240" w:lineRule="auto"/>
              <w:rPr>
                <w:rFonts w:asciiTheme="majorHAnsi" w:hAnsiTheme="majorHAnsi" w:cstheme="majorHAnsi"/>
              </w:rPr>
            </w:pPr>
            <w:r w:rsidRPr="0025492B">
              <w:rPr>
                <w:rFonts w:asciiTheme="majorHAnsi" w:hAnsiTheme="majorHAnsi" w:cstheme="majorHAnsi"/>
              </w:rPr>
              <w:t xml:space="preserve">Component </w:t>
            </w:r>
          </w:p>
        </w:tc>
        <w:tc>
          <w:tcPr>
            <w:tcW w:w="7902" w:type="dxa"/>
          </w:tcPr>
          <w:p w14:paraId="3762EB1E" w14:textId="0D76E807" w:rsidR="00007BFF" w:rsidRPr="0025492B" w:rsidRDefault="004948EA" w:rsidP="00F47032">
            <w:pPr>
              <w:spacing w:after="0" w:line="240" w:lineRule="auto"/>
              <w:rPr>
                <w:rFonts w:asciiTheme="majorHAnsi" w:hAnsiTheme="majorHAnsi" w:cstheme="majorHAnsi"/>
              </w:rPr>
            </w:pPr>
            <w:r w:rsidRPr="0025492B">
              <w:rPr>
                <w:rFonts w:asciiTheme="majorHAnsi" w:hAnsiTheme="majorHAnsi" w:cstheme="majorHAnsi"/>
              </w:rPr>
              <w:t>Tuberculosis</w:t>
            </w:r>
          </w:p>
        </w:tc>
      </w:tr>
      <w:tr w:rsidR="00007BFF" w:rsidRPr="0025492B" w14:paraId="1F556EFA" w14:textId="77777777" w:rsidTr="00F47032">
        <w:trPr>
          <w:trHeight w:val="440"/>
        </w:trPr>
        <w:tc>
          <w:tcPr>
            <w:tcW w:w="2448" w:type="dxa"/>
            <w:shd w:val="clear" w:color="auto" w:fill="F2F2F2"/>
            <w:vAlign w:val="center"/>
          </w:tcPr>
          <w:p w14:paraId="5DD4D224" w14:textId="291DA54A" w:rsidR="00007BFF" w:rsidRPr="0025492B" w:rsidRDefault="00007BFF" w:rsidP="00F47032">
            <w:pPr>
              <w:spacing w:after="0" w:line="240" w:lineRule="auto"/>
              <w:rPr>
                <w:rFonts w:asciiTheme="majorHAnsi" w:hAnsiTheme="majorHAnsi" w:cstheme="majorHAnsi"/>
              </w:rPr>
            </w:pPr>
            <w:r w:rsidRPr="0025492B">
              <w:rPr>
                <w:rFonts w:asciiTheme="majorHAnsi" w:hAnsiTheme="majorHAnsi" w:cstheme="majorHAnsi"/>
              </w:rPr>
              <w:t>Module/interventions</w:t>
            </w:r>
          </w:p>
        </w:tc>
        <w:tc>
          <w:tcPr>
            <w:tcW w:w="7902" w:type="dxa"/>
          </w:tcPr>
          <w:p w14:paraId="33B88796" w14:textId="77777777" w:rsidR="004948EA" w:rsidRPr="000F3267" w:rsidRDefault="004948EA" w:rsidP="00F47032">
            <w:pPr>
              <w:spacing w:after="0" w:line="240" w:lineRule="auto"/>
              <w:jc w:val="both"/>
              <w:rPr>
                <w:rFonts w:asciiTheme="majorHAnsi" w:hAnsiTheme="majorHAnsi" w:cstheme="majorHAnsi"/>
                <w:b/>
              </w:rPr>
            </w:pPr>
            <w:r w:rsidRPr="000F3267">
              <w:rPr>
                <w:rFonts w:asciiTheme="majorHAnsi" w:hAnsiTheme="majorHAnsi" w:cstheme="majorHAnsi"/>
                <w:b/>
              </w:rPr>
              <w:t>Module: Multidrug-resistant tuberculosis (MDR-TB)</w:t>
            </w:r>
          </w:p>
          <w:p w14:paraId="19B9DD1E" w14:textId="77777777" w:rsidR="004948EA" w:rsidRPr="000F3267" w:rsidRDefault="004948EA" w:rsidP="00F47032">
            <w:pPr>
              <w:spacing w:after="0" w:line="240" w:lineRule="auto"/>
              <w:jc w:val="both"/>
              <w:rPr>
                <w:rFonts w:asciiTheme="majorHAnsi" w:hAnsiTheme="majorHAnsi" w:cstheme="majorHAnsi"/>
              </w:rPr>
            </w:pPr>
          </w:p>
          <w:p w14:paraId="0A6493BB" w14:textId="77777777" w:rsidR="004948EA" w:rsidRPr="000F3267" w:rsidRDefault="004948EA" w:rsidP="00F47032">
            <w:pPr>
              <w:spacing w:after="0" w:line="240" w:lineRule="auto"/>
              <w:jc w:val="both"/>
              <w:rPr>
                <w:rFonts w:asciiTheme="majorHAnsi" w:hAnsiTheme="majorHAnsi" w:cstheme="majorHAnsi"/>
                <w:i/>
              </w:rPr>
            </w:pPr>
            <w:r w:rsidRPr="000F3267">
              <w:rPr>
                <w:rFonts w:asciiTheme="majorHAnsi" w:hAnsiTheme="majorHAnsi" w:cstheme="majorHAnsi"/>
                <w:i/>
              </w:rPr>
              <w:t>Intervention: Case detection and diagnosis: MDR-TB</w:t>
            </w:r>
          </w:p>
          <w:p w14:paraId="2423E65C" w14:textId="77777777" w:rsidR="00352CB4" w:rsidRPr="000F3267" w:rsidRDefault="00352CB4" w:rsidP="00F47032">
            <w:pPr>
              <w:spacing w:after="0" w:line="240" w:lineRule="auto"/>
              <w:jc w:val="both"/>
              <w:rPr>
                <w:rFonts w:asciiTheme="majorHAnsi" w:hAnsiTheme="majorHAnsi" w:cstheme="majorHAnsi"/>
                <w:i/>
              </w:rPr>
            </w:pPr>
          </w:p>
          <w:p w14:paraId="30EAA342" w14:textId="77777777" w:rsidR="00352CB4" w:rsidRPr="000F3267" w:rsidRDefault="00352CB4" w:rsidP="00F47032">
            <w:pPr>
              <w:spacing w:after="0" w:line="240" w:lineRule="auto"/>
              <w:jc w:val="both"/>
              <w:rPr>
                <w:rFonts w:asciiTheme="majorHAnsi" w:hAnsiTheme="majorHAnsi" w:cstheme="majorHAnsi"/>
              </w:rPr>
            </w:pPr>
            <w:r w:rsidRPr="000F3267">
              <w:rPr>
                <w:rFonts w:asciiTheme="majorHAnsi" w:hAnsiTheme="majorHAnsi" w:cstheme="majorHAnsi"/>
              </w:rPr>
              <w:t>Activities:</w:t>
            </w:r>
          </w:p>
          <w:p w14:paraId="3485EB13" w14:textId="77777777" w:rsidR="00352CB4" w:rsidRPr="000F3267" w:rsidRDefault="00352CB4" w:rsidP="00F47032">
            <w:pPr>
              <w:spacing w:after="0" w:line="240" w:lineRule="auto"/>
              <w:jc w:val="both"/>
              <w:rPr>
                <w:rFonts w:asciiTheme="majorHAnsi" w:hAnsiTheme="majorHAnsi" w:cstheme="majorHAnsi"/>
              </w:rPr>
            </w:pPr>
          </w:p>
          <w:p w14:paraId="1098186A" w14:textId="230A9917" w:rsidR="00352CB4" w:rsidRPr="000F3267" w:rsidRDefault="00352CB4" w:rsidP="006A0E08">
            <w:pPr>
              <w:pStyle w:val="affff3"/>
              <w:numPr>
                <w:ilvl w:val="2"/>
                <w:numId w:val="27"/>
              </w:numPr>
              <w:spacing w:after="0" w:line="240" w:lineRule="auto"/>
              <w:jc w:val="both"/>
              <w:rPr>
                <w:rFonts w:asciiTheme="majorHAnsi" w:hAnsiTheme="majorHAnsi" w:cstheme="majorHAnsi"/>
              </w:rPr>
            </w:pPr>
            <w:r w:rsidRPr="000F3267">
              <w:rPr>
                <w:rFonts w:asciiTheme="majorHAnsi" w:hAnsiTheme="majorHAnsi" w:cstheme="majorHAnsi"/>
              </w:rPr>
              <w:t>Procurement of Xpert MTB/</w:t>
            </w:r>
            <w:r w:rsidR="00803100" w:rsidRPr="000F3267">
              <w:rPr>
                <w:rFonts w:asciiTheme="majorHAnsi" w:hAnsiTheme="majorHAnsi" w:cstheme="majorHAnsi"/>
              </w:rPr>
              <w:t>XDR kits</w:t>
            </w:r>
          </w:p>
          <w:p w14:paraId="35ED4C30" w14:textId="77777777" w:rsidR="00352CB4" w:rsidRPr="000F3267" w:rsidRDefault="00352CB4" w:rsidP="00F47032">
            <w:pPr>
              <w:spacing w:after="0" w:line="240" w:lineRule="auto"/>
              <w:jc w:val="both"/>
              <w:rPr>
                <w:rFonts w:asciiTheme="majorHAnsi" w:hAnsiTheme="majorHAnsi" w:cstheme="majorHAnsi"/>
              </w:rPr>
            </w:pPr>
          </w:p>
          <w:p w14:paraId="3EB16A2C" w14:textId="22980396" w:rsidR="00803100" w:rsidRPr="00974FD7" w:rsidRDefault="00431A46" w:rsidP="00F47032">
            <w:pPr>
              <w:spacing w:after="0" w:line="240" w:lineRule="auto"/>
              <w:jc w:val="both"/>
              <w:rPr>
                <w:rFonts w:asciiTheme="majorHAnsi" w:hAnsiTheme="majorHAnsi" w:cstheme="majorHAnsi"/>
              </w:rPr>
            </w:pPr>
            <w:r w:rsidRPr="00974FD7">
              <w:rPr>
                <w:rFonts w:asciiTheme="majorHAnsi" w:hAnsiTheme="majorHAnsi" w:cstheme="majorHAnsi"/>
              </w:rPr>
              <w:t xml:space="preserve">The grant funds will be used to purchase Xpert MTB/XDR assay cartridges for the rapid detection of tuberculosis with resistance to fluoroquinolones and other second-line drugs at the regional TB laboratories. </w:t>
            </w:r>
            <w:r w:rsidR="00CC4651" w:rsidRPr="00974FD7">
              <w:rPr>
                <w:rFonts w:asciiTheme="majorHAnsi" w:hAnsiTheme="majorHAnsi" w:cstheme="majorHAnsi"/>
              </w:rPr>
              <w:t xml:space="preserve">Annually, 4,000 Xpert MTB/XDR cartridges will be purchased during the three-year grant implementation period, making up nearly 50-55% of the required volume of fluoroquinolone susceptibility testing. The remaining needs will be covered through procurement of the tests for LPA equipment </w:t>
            </w:r>
            <w:r w:rsidRPr="00974FD7">
              <w:rPr>
                <w:rFonts w:asciiTheme="majorHAnsi" w:hAnsiTheme="majorHAnsi" w:cstheme="majorHAnsi"/>
              </w:rPr>
              <w:t xml:space="preserve">from </w:t>
            </w:r>
            <w:r w:rsidR="00CC4651" w:rsidRPr="00974FD7">
              <w:rPr>
                <w:rFonts w:asciiTheme="majorHAnsi" w:hAnsiTheme="majorHAnsi" w:cstheme="majorHAnsi"/>
              </w:rPr>
              <w:t>the local</w:t>
            </w:r>
            <w:r w:rsidR="00F703EB" w:rsidRPr="00974FD7">
              <w:rPr>
                <w:rFonts w:asciiTheme="majorHAnsi" w:hAnsiTheme="majorHAnsi" w:cstheme="majorHAnsi"/>
              </w:rPr>
              <w:t xml:space="preserve"> budget</w:t>
            </w:r>
            <w:r w:rsidR="00CC4651" w:rsidRPr="00974FD7">
              <w:rPr>
                <w:rFonts w:asciiTheme="majorHAnsi" w:hAnsiTheme="majorHAnsi" w:cstheme="majorHAnsi"/>
              </w:rPr>
              <w:t xml:space="preserve"> allocations. The Xpert MTB/</w:t>
            </w:r>
            <w:r w:rsidRPr="00974FD7">
              <w:rPr>
                <w:rFonts w:asciiTheme="majorHAnsi" w:hAnsiTheme="majorHAnsi" w:cstheme="majorHAnsi"/>
              </w:rPr>
              <w:t xml:space="preserve">XDR cartridges will be </w:t>
            </w:r>
            <w:r w:rsidR="005051C1" w:rsidRPr="00974FD7">
              <w:rPr>
                <w:rFonts w:asciiTheme="majorHAnsi" w:hAnsiTheme="majorHAnsi" w:cstheme="majorHAnsi"/>
              </w:rPr>
              <w:t xml:space="preserve">solicited </w:t>
            </w:r>
            <w:r w:rsidRPr="00974FD7">
              <w:rPr>
                <w:rFonts w:asciiTheme="majorHAnsi" w:hAnsiTheme="majorHAnsi" w:cstheme="majorHAnsi"/>
              </w:rPr>
              <w:t xml:space="preserve">through the Stop TB Partnership's GDF </w:t>
            </w:r>
            <w:r w:rsidR="005051C1" w:rsidRPr="00974FD7">
              <w:rPr>
                <w:rFonts w:asciiTheme="majorHAnsi" w:hAnsiTheme="majorHAnsi" w:cstheme="majorHAnsi"/>
              </w:rPr>
              <w:t>platform.</w:t>
            </w:r>
            <w:r w:rsidRPr="00974FD7">
              <w:rPr>
                <w:rFonts w:asciiTheme="majorHAnsi" w:hAnsiTheme="majorHAnsi" w:cstheme="majorHAnsi"/>
              </w:rPr>
              <w:t xml:space="preserve"> </w:t>
            </w:r>
            <w:r w:rsidR="0056510F" w:rsidRPr="00974FD7">
              <w:rPr>
                <w:rFonts w:asciiTheme="majorHAnsi" w:hAnsiTheme="majorHAnsi" w:cstheme="majorHAnsi"/>
              </w:rPr>
              <w:t xml:space="preserve">The </w:t>
            </w:r>
            <w:r w:rsidR="005051C1" w:rsidRPr="00974FD7">
              <w:rPr>
                <w:rFonts w:asciiTheme="majorHAnsi" w:hAnsiTheme="majorHAnsi" w:cstheme="majorHAnsi"/>
              </w:rPr>
              <w:t xml:space="preserve">budget </w:t>
            </w:r>
            <w:r w:rsidR="0056510F" w:rsidRPr="00974FD7">
              <w:rPr>
                <w:rFonts w:asciiTheme="majorHAnsi" w:hAnsiTheme="majorHAnsi" w:cstheme="majorHAnsi"/>
              </w:rPr>
              <w:t xml:space="preserve">line </w:t>
            </w:r>
            <w:r w:rsidR="005051C1" w:rsidRPr="00974FD7">
              <w:rPr>
                <w:rFonts w:asciiTheme="majorHAnsi" w:hAnsiTheme="majorHAnsi" w:cstheme="majorHAnsi"/>
              </w:rPr>
              <w:t xml:space="preserve">is foreseen for the product and logistic costs for reagents delivery to and within the country. </w:t>
            </w:r>
          </w:p>
          <w:p w14:paraId="654828EF" w14:textId="77777777" w:rsidR="005051C1" w:rsidRPr="00974FD7" w:rsidRDefault="005051C1" w:rsidP="00F47032">
            <w:pPr>
              <w:spacing w:after="0" w:line="240" w:lineRule="auto"/>
              <w:jc w:val="both"/>
              <w:rPr>
                <w:rFonts w:asciiTheme="majorHAnsi" w:hAnsiTheme="majorHAnsi" w:cstheme="majorHAnsi"/>
              </w:rPr>
            </w:pPr>
          </w:p>
          <w:p w14:paraId="1C574480" w14:textId="009B2C59" w:rsidR="005051C1" w:rsidRPr="000F3267" w:rsidRDefault="005051C1" w:rsidP="006A0E08">
            <w:pPr>
              <w:pStyle w:val="affff3"/>
              <w:numPr>
                <w:ilvl w:val="2"/>
                <w:numId w:val="27"/>
              </w:numPr>
              <w:spacing w:after="0" w:line="240" w:lineRule="auto"/>
              <w:jc w:val="both"/>
              <w:rPr>
                <w:rFonts w:asciiTheme="majorHAnsi" w:hAnsiTheme="majorHAnsi" w:cstheme="majorHAnsi"/>
              </w:rPr>
            </w:pPr>
            <w:r w:rsidRPr="000F3267">
              <w:rPr>
                <w:rFonts w:asciiTheme="majorHAnsi" w:hAnsiTheme="majorHAnsi" w:cstheme="majorHAnsi"/>
              </w:rPr>
              <w:t>Monitoring of GeneXpert technology</w:t>
            </w:r>
            <w:r w:rsidR="0025492B" w:rsidRPr="000F3267">
              <w:rPr>
                <w:rFonts w:asciiTheme="majorHAnsi" w:hAnsiTheme="majorHAnsi" w:cstheme="majorHAnsi"/>
              </w:rPr>
              <w:t xml:space="preserve"> </w:t>
            </w:r>
            <w:r w:rsidR="009E1669" w:rsidRPr="000F3267">
              <w:rPr>
                <w:rFonts w:asciiTheme="majorHAnsi" w:hAnsiTheme="majorHAnsi" w:cstheme="majorHAnsi"/>
              </w:rPr>
              <w:t>implementation</w:t>
            </w:r>
            <w:r w:rsidRPr="000F3267">
              <w:rPr>
                <w:rFonts w:asciiTheme="majorHAnsi" w:hAnsiTheme="majorHAnsi" w:cstheme="majorHAnsi"/>
              </w:rPr>
              <w:t xml:space="preserve"> at </w:t>
            </w:r>
            <w:r w:rsidR="0025492B" w:rsidRPr="000F3267">
              <w:rPr>
                <w:rFonts w:asciiTheme="majorHAnsi" w:hAnsiTheme="majorHAnsi" w:cstheme="majorHAnsi"/>
              </w:rPr>
              <w:t xml:space="preserve">the </w:t>
            </w:r>
            <w:r w:rsidRPr="000F3267">
              <w:rPr>
                <w:rFonts w:asciiTheme="majorHAnsi" w:hAnsiTheme="majorHAnsi" w:cstheme="majorHAnsi"/>
              </w:rPr>
              <w:t>district level</w:t>
            </w:r>
          </w:p>
          <w:p w14:paraId="5AEB96A6" w14:textId="77777777" w:rsidR="005051C1" w:rsidRPr="000F3267" w:rsidRDefault="005051C1" w:rsidP="00F47032">
            <w:pPr>
              <w:spacing w:after="0" w:line="240" w:lineRule="auto"/>
              <w:jc w:val="both"/>
              <w:rPr>
                <w:rFonts w:asciiTheme="majorHAnsi" w:hAnsiTheme="majorHAnsi" w:cstheme="majorHAnsi"/>
                <w:color w:val="00B050"/>
              </w:rPr>
            </w:pPr>
          </w:p>
          <w:p w14:paraId="67E90A24" w14:textId="7FE060D3" w:rsidR="006410A6" w:rsidRPr="000F3267" w:rsidRDefault="0021423E" w:rsidP="00F47032">
            <w:pPr>
              <w:spacing w:after="0" w:line="240" w:lineRule="auto"/>
              <w:jc w:val="both"/>
              <w:rPr>
                <w:rFonts w:asciiTheme="majorHAnsi" w:eastAsia="Times New Roman" w:hAnsiTheme="majorHAnsi" w:cstheme="majorHAnsi"/>
                <w:color w:val="0E101A"/>
              </w:rPr>
            </w:pPr>
            <w:r w:rsidRPr="000F3267">
              <w:rPr>
                <w:rFonts w:asciiTheme="majorHAnsi" w:hAnsiTheme="majorHAnsi" w:cstheme="majorHAnsi"/>
                <w:color w:val="0E101A"/>
              </w:rPr>
              <w:t xml:space="preserve">A national consultant (part-time) will be hired for the grant period to ensure the proper implementation of GeneXpert technology at the district level. The scope of work will include: (i) </w:t>
            </w:r>
            <w:r w:rsidRPr="000F3267">
              <w:rPr>
                <w:rFonts w:asciiTheme="majorHAnsi" w:eastAsia="Times New Roman" w:hAnsiTheme="majorHAnsi" w:cstheme="majorHAnsi"/>
                <w:color w:val="0E101A"/>
              </w:rPr>
              <w:t>support to effective rollout and functionality of the GeneXpert technology at the peripheral (district) TB service delivery level; (ii) collection and analysis of quarterly reports from regions on performance; (iii) feedback provision on the results of the analysis to NTP, regional TB Centers, and regional laboratories; (</w:t>
            </w:r>
            <w:r w:rsidRPr="000F3267">
              <w:rPr>
                <w:rFonts w:asciiTheme="majorHAnsi" w:hAnsiTheme="majorHAnsi" w:cstheme="majorHAnsi"/>
                <w:color w:val="0E101A"/>
              </w:rPr>
              <w:t xml:space="preserve">iv) </w:t>
            </w:r>
            <w:r w:rsidRPr="000F3267">
              <w:rPr>
                <w:rFonts w:asciiTheme="majorHAnsi" w:eastAsia="Times New Roman" w:hAnsiTheme="majorHAnsi" w:cstheme="majorHAnsi"/>
                <w:color w:val="0E101A"/>
              </w:rPr>
              <w:t>provision of technical support to district-level centers in GeneXpert technology implementation; (v) overseeing the implementation of the new diagnostic algorithm. </w:t>
            </w:r>
            <w:r w:rsidR="006410A6" w:rsidRPr="000F3267">
              <w:rPr>
                <w:rFonts w:asciiTheme="majorHAnsi" w:eastAsia="Times New Roman" w:hAnsiTheme="majorHAnsi" w:cstheme="majorHAnsi"/>
                <w:color w:val="0E101A"/>
              </w:rPr>
              <w:t xml:space="preserve">The first-year cost of monitoring visits to the GeneXpert sites aiming to examine the quality of the performed tests and accuracy of the records produced and support the local team in implementing the new technology is included in the application budget. </w:t>
            </w:r>
          </w:p>
          <w:p w14:paraId="5DEF721E" w14:textId="77777777" w:rsidR="006410A6" w:rsidRPr="000F3267" w:rsidRDefault="006410A6" w:rsidP="00F47032">
            <w:pPr>
              <w:spacing w:after="0" w:line="240" w:lineRule="auto"/>
              <w:jc w:val="both"/>
              <w:rPr>
                <w:rFonts w:asciiTheme="majorHAnsi" w:hAnsiTheme="majorHAnsi" w:cstheme="majorHAnsi"/>
              </w:rPr>
            </w:pPr>
          </w:p>
          <w:p w14:paraId="1CAF4B4F" w14:textId="77777777" w:rsidR="005051C1" w:rsidRPr="000F3267" w:rsidRDefault="005051C1" w:rsidP="006A0E08">
            <w:pPr>
              <w:pStyle w:val="affff3"/>
              <w:numPr>
                <w:ilvl w:val="2"/>
                <w:numId w:val="27"/>
              </w:numPr>
              <w:spacing w:after="0" w:line="240" w:lineRule="auto"/>
              <w:jc w:val="both"/>
              <w:rPr>
                <w:rFonts w:asciiTheme="majorHAnsi" w:hAnsiTheme="majorHAnsi" w:cstheme="majorHAnsi"/>
              </w:rPr>
            </w:pPr>
            <w:r w:rsidRPr="000F3267">
              <w:rPr>
                <w:rFonts w:asciiTheme="majorHAnsi" w:hAnsiTheme="majorHAnsi" w:cstheme="majorHAnsi"/>
              </w:rPr>
              <w:t xml:space="preserve">After-sale service, maintenance, </w:t>
            </w:r>
            <w:proofErr w:type="gramStart"/>
            <w:r w:rsidRPr="000F3267">
              <w:rPr>
                <w:rFonts w:asciiTheme="majorHAnsi" w:hAnsiTheme="majorHAnsi" w:cstheme="majorHAnsi"/>
              </w:rPr>
              <w:t>calibration</w:t>
            </w:r>
            <w:proofErr w:type="gramEnd"/>
            <w:r w:rsidRPr="000F3267">
              <w:rPr>
                <w:rFonts w:asciiTheme="majorHAnsi" w:hAnsiTheme="majorHAnsi" w:cstheme="majorHAnsi"/>
              </w:rPr>
              <w:t xml:space="preserve"> and repairs for GeneXpert instruments</w:t>
            </w:r>
          </w:p>
          <w:p w14:paraId="0BE8E820" w14:textId="77777777" w:rsidR="005051C1" w:rsidRPr="000F3267" w:rsidRDefault="005051C1" w:rsidP="00F47032">
            <w:pPr>
              <w:pStyle w:val="affff3"/>
              <w:spacing w:after="0" w:line="240" w:lineRule="auto"/>
              <w:jc w:val="both"/>
              <w:rPr>
                <w:rFonts w:asciiTheme="majorHAnsi" w:hAnsiTheme="majorHAnsi" w:cstheme="majorHAnsi"/>
              </w:rPr>
            </w:pPr>
          </w:p>
          <w:p w14:paraId="6D4C8F0C" w14:textId="3DEA7B58" w:rsidR="005051C1" w:rsidRPr="000F3267" w:rsidRDefault="00EF4B36" w:rsidP="00F47032">
            <w:pPr>
              <w:spacing w:after="0" w:line="240" w:lineRule="auto"/>
              <w:jc w:val="both"/>
              <w:rPr>
                <w:rFonts w:asciiTheme="majorHAnsi" w:hAnsiTheme="majorHAnsi" w:cstheme="majorHAnsi"/>
              </w:rPr>
            </w:pPr>
            <w:r w:rsidRPr="000F3267">
              <w:rPr>
                <w:rFonts w:asciiTheme="majorHAnsi" w:hAnsiTheme="majorHAnsi" w:cstheme="majorHAnsi"/>
              </w:rPr>
              <w:t xml:space="preserve">Through GDF pooled procurement mechanism, the country plans to purchase 3-years extended warranty package for a total of 128 pieces of GeneXpert equipment: 31 GeneXpert systems in a 4-module configuration and 97 two-module Xpert machines. The standard </w:t>
            </w:r>
            <w:r w:rsidR="009976FD">
              <w:rPr>
                <w:rFonts w:asciiTheme="majorHAnsi" w:hAnsiTheme="majorHAnsi" w:cstheme="majorHAnsi"/>
              </w:rPr>
              <w:t>GD</w:t>
            </w:r>
            <w:r w:rsidRPr="000F3267">
              <w:rPr>
                <w:rFonts w:asciiTheme="majorHAnsi" w:hAnsiTheme="majorHAnsi" w:cstheme="majorHAnsi"/>
              </w:rPr>
              <w:t xml:space="preserve">F package covers Xpert check kits: calibration cartridges and module or computer replacement; maintenance and minor repairs expenses beyond the warranty period. Other services not included in the warranty package, such as costs for engineer visits in territories for modules replacement, were added to the budget under the assumption driven from the past practices that approximately 7% of the modules will need to be replaced annually. In addition, following </w:t>
            </w:r>
            <w:r w:rsidR="00DD2FB2">
              <w:rPr>
                <w:rFonts w:asciiTheme="majorHAnsi" w:hAnsiTheme="majorHAnsi" w:cstheme="majorHAnsi"/>
              </w:rPr>
              <w:t xml:space="preserve">Supra-national </w:t>
            </w:r>
            <w:r w:rsidR="002B24F2">
              <w:rPr>
                <w:rFonts w:asciiTheme="majorHAnsi" w:hAnsiTheme="majorHAnsi" w:cstheme="majorHAnsi"/>
              </w:rPr>
              <w:t xml:space="preserve">TB </w:t>
            </w:r>
            <w:r w:rsidR="00DD2FB2">
              <w:rPr>
                <w:rFonts w:asciiTheme="majorHAnsi" w:hAnsiTheme="majorHAnsi" w:cstheme="majorHAnsi"/>
              </w:rPr>
              <w:t>reference laboratory (</w:t>
            </w:r>
            <w:r w:rsidRPr="000F3267">
              <w:rPr>
                <w:rFonts w:asciiTheme="majorHAnsi" w:hAnsiTheme="majorHAnsi" w:cstheme="majorHAnsi"/>
              </w:rPr>
              <w:t>SNRL</w:t>
            </w:r>
            <w:r w:rsidR="00DD2FB2">
              <w:rPr>
                <w:rFonts w:asciiTheme="majorHAnsi" w:hAnsiTheme="majorHAnsi" w:cstheme="majorHAnsi"/>
              </w:rPr>
              <w:t>)</w:t>
            </w:r>
            <w:r w:rsidRPr="000F3267">
              <w:rPr>
                <w:rFonts w:asciiTheme="majorHAnsi" w:hAnsiTheme="majorHAnsi" w:cstheme="majorHAnsi"/>
              </w:rPr>
              <w:t xml:space="preserve"> recommendations, the buffer stock of the modules, estimated at 10% from the available number, will be created at the NRL and renewed annually at a rate of 5%. Creating the Xpert modules' buffer at the NRL level is necessary to prevent</w:t>
            </w:r>
            <w:r w:rsidR="00F15FAC" w:rsidRPr="000F3267">
              <w:rPr>
                <w:rFonts w:asciiTheme="majorHAnsi" w:hAnsiTheme="majorHAnsi" w:cstheme="majorHAnsi"/>
              </w:rPr>
              <w:t xml:space="preserve"> the system interruption</w:t>
            </w:r>
            <w:r w:rsidRPr="000F3267">
              <w:rPr>
                <w:rFonts w:asciiTheme="majorHAnsi" w:hAnsiTheme="majorHAnsi" w:cstheme="majorHAnsi"/>
              </w:rPr>
              <w:t>, as replacing the non-func</w:t>
            </w:r>
            <w:r w:rsidR="00365D9B" w:rsidRPr="000F3267">
              <w:rPr>
                <w:rFonts w:asciiTheme="majorHAnsi" w:hAnsiTheme="majorHAnsi" w:cstheme="majorHAnsi"/>
              </w:rPr>
              <w:t>tional modules ta</w:t>
            </w:r>
            <w:r w:rsidR="00F15FAC" w:rsidRPr="000F3267">
              <w:rPr>
                <w:rFonts w:asciiTheme="majorHAnsi" w:hAnsiTheme="majorHAnsi" w:cstheme="majorHAnsi"/>
              </w:rPr>
              <w:t>k</w:t>
            </w:r>
            <w:r w:rsidR="00365D9B" w:rsidRPr="000F3267">
              <w:rPr>
                <w:rFonts w:asciiTheme="majorHAnsi" w:hAnsiTheme="majorHAnsi" w:cstheme="majorHAnsi"/>
              </w:rPr>
              <w:t>es</w:t>
            </w:r>
            <w:r w:rsidR="00A66D63" w:rsidRPr="000F3267">
              <w:rPr>
                <w:rFonts w:asciiTheme="majorHAnsi" w:hAnsiTheme="majorHAnsi" w:cstheme="majorHAnsi"/>
              </w:rPr>
              <w:t xml:space="preserve"> a long time. It was spent around two</w:t>
            </w:r>
            <w:r w:rsidR="00365D9B" w:rsidRPr="000F3267">
              <w:rPr>
                <w:rFonts w:asciiTheme="majorHAnsi" w:hAnsiTheme="majorHAnsi" w:cstheme="majorHAnsi"/>
              </w:rPr>
              <w:t xml:space="preserve"> months </w:t>
            </w:r>
            <w:r w:rsidRPr="000F3267">
              <w:rPr>
                <w:rFonts w:asciiTheme="majorHAnsi" w:hAnsiTheme="majorHAnsi" w:cstheme="majorHAnsi"/>
              </w:rPr>
              <w:t>during the past years due to t</w:t>
            </w:r>
            <w:r w:rsidR="00F15FAC" w:rsidRPr="000F3267">
              <w:rPr>
                <w:rFonts w:asciiTheme="majorHAnsi" w:hAnsiTheme="majorHAnsi" w:cstheme="majorHAnsi"/>
              </w:rPr>
              <w:t>he country's regulation for re-export of goods.</w:t>
            </w:r>
            <w:r w:rsidRPr="000F3267">
              <w:rPr>
                <w:rFonts w:asciiTheme="majorHAnsi" w:hAnsiTheme="majorHAnsi" w:cstheme="majorHAnsi"/>
              </w:rPr>
              <w:t xml:space="preserve">   </w:t>
            </w:r>
          </w:p>
          <w:p w14:paraId="2D18B539" w14:textId="77777777" w:rsidR="005051C1" w:rsidRPr="000F3267" w:rsidRDefault="005051C1" w:rsidP="00F47032">
            <w:pPr>
              <w:pStyle w:val="affff3"/>
              <w:spacing w:after="0" w:line="240" w:lineRule="auto"/>
              <w:jc w:val="both"/>
              <w:rPr>
                <w:rFonts w:asciiTheme="majorHAnsi" w:hAnsiTheme="majorHAnsi" w:cstheme="majorHAnsi"/>
              </w:rPr>
            </w:pPr>
          </w:p>
          <w:p w14:paraId="27ED2672" w14:textId="77777777" w:rsidR="005051C1" w:rsidRPr="000F3267" w:rsidRDefault="005051C1" w:rsidP="006A0E08">
            <w:pPr>
              <w:pStyle w:val="affff3"/>
              <w:numPr>
                <w:ilvl w:val="2"/>
                <w:numId w:val="27"/>
              </w:numPr>
              <w:spacing w:after="0" w:line="240" w:lineRule="auto"/>
              <w:jc w:val="both"/>
              <w:rPr>
                <w:rFonts w:asciiTheme="majorHAnsi" w:hAnsiTheme="majorHAnsi" w:cstheme="majorHAnsi"/>
              </w:rPr>
            </w:pPr>
            <w:r w:rsidRPr="000F3267">
              <w:rPr>
                <w:rFonts w:asciiTheme="majorHAnsi" w:hAnsiTheme="majorHAnsi" w:cstheme="majorHAnsi"/>
              </w:rPr>
              <w:t>Procurement of pure substance for DST to SLD</w:t>
            </w:r>
          </w:p>
          <w:p w14:paraId="4FE8BBFB" w14:textId="77777777" w:rsidR="005051C1" w:rsidRPr="000F3267" w:rsidRDefault="005051C1" w:rsidP="00F47032">
            <w:pPr>
              <w:spacing w:after="0" w:line="240" w:lineRule="auto"/>
              <w:jc w:val="both"/>
              <w:rPr>
                <w:rFonts w:asciiTheme="majorHAnsi" w:hAnsiTheme="majorHAnsi" w:cstheme="majorHAnsi"/>
              </w:rPr>
            </w:pPr>
          </w:p>
          <w:p w14:paraId="78B70B7F" w14:textId="3742BB82" w:rsidR="00406563" w:rsidRDefault="00406563" w:rsidP="00F47032">
            <w:pPr>
              <w:spacing w:after="0" w:line="240" w:lineRule="auto"/>
              <w:jc w:val="both"/>
              <w:rPr>
                <w:rFonts w:asciiTheme="majorHAnsi" w:hAnsiTheme="majorHAnsi" w:cstheme="majorHAnsi"/>
              </w:rPr>
            </w:pPr>
            <w:r w:rsidRPr="000F3267">
              <w:rPr>
                <w:rFonts w:asciiTheme="majorHAnsi" w:hAnsiTheme="majorHAnsi" w:cstheme="majorHAnsi"/>
              </w:rPr>
              <w:t xml:space="preserve">In line with the revised WHO recommendations for DR-TB management, the project will procure pure substances for DST to SLD at reference laboratories using MGIT 960 equipment, including for repurposed drugs. The GF support will cover 100% of countrywide needs in </w:t>
            </w:r>
            <w:r w:rsidR="0065395B">
              <w:rPr>
                <w:rFonts w:asciiTheme="majorHAnsi" w:hAnsiTheme="majorHAnsi" w:cstheme="majorHAnsi"/>
              </w:rPr>
              <w:t>2025</w:t>
            </w:r>
            <w:r w:rsidRPr="000F3267">
              <w:rPr>
                <w:rFonts w:asciiTheme="majorHAnsi" w:hAnsiTheme="majorHAnsi" w:cstheme="majorHAnsi"/>
              </w:rPr>
              <w:t xml:space="preserve"> of the </w:t>
            </w:r>
            <w:proofErr w:type="gramStart"/>
            <w:r w:rsidRPr="000F3267">
              <w:rPr>
                <w:rFonts w:asciiTheme="majorHAnsi" w:hAnsiTheme="majorHAnsi" w:cstheme="majorHAnsi"/>
              </w:rPr>
              <w:t>grant</w:t>
            </w:r>
            <w:proofErr w:type="gramEnd"/>
            <w:r w:rsidRPr="000F3267">
              <w:rPr>
                <w:rFonts w:asciiTheme="majorHAnsi" w:hAnsiTheme="majorHAnsi" w:cstheme="majorHAnsi"/>
              </w:rPr>
              <w:t xml:space="preserve"> at once, and the government will ensure full takeover </w:t>
            </w:r>
            <w:r w:rsidR="0065395B">
              <w:rPr>
                <w:rFonts w:asciiTheme="majorHAnsi" w:hAnsiTheme="majorHAnsi" w:cstheme="majorHAnsi"/>
              </w:rPr>
              <w:t>starting from</w:t>
            </w:r>
            <w:r w:rsidRPr="000F3267">
              <w:rPr>
                <w:rFonts w:asciiTheme="majorHAnsi" w:hAnsiTheme="majorHAnsi" w:cstheme="majorHAnsi"/>
              </w:rPr>
              <w:t xml:space="preserve"> 2026. </w:t>
            </w:r>
          </w:p>
          <w:p w14:paraId="589107AC" w14:textId="77777777" w:rsidR="000F3267" w:rsidRPr="000F3267" w:rsidRDefault="000F3267" w:rsidP="00F47032">
            <w:pPr>
              <w:spacing w:after="0" w:line="240" w:lineRule="auto"/>
              <w:jc w:val="both"/>
              <w:rPr>
                <w:rFonts w:asciiTheme="majorHAnsi" w:hAnsiTheme="majorHAnsi" w:cstheme="majorHAnsi"/>
              </w:rPr>
            </w:pPr>
          </w:p>
          <w:p w14:paraId="0A15626D" w14:textId="42E36258" w:rsidR="005051C1" w:rsidRPr="000F3267" w:rsidRDefault="005051C1" w:rsidP="006A0E08">
            <w:pPr>
              <w:pStyle w:val="affff3"/>
              <w:numPr>
                <w:ilvl w:val="2"/>
                <w:numId w:val="27"/>
              </w:numPr>
              <w:spacing w:after="0" w:line="240" w:lineRule="auto"/>
              <w:jc w:val="both"/>
              <w:rPr>
                <w:rFonts w:asciiTheme="majorHAnsi" w:hAnsiTheme="majorHAnsi" w:cstheme="majorHAnsi"/>
                <w:i/>
              </w:rPr>
            </w:pPr>
            <w:r w:rsidRPr="000F3267">
              <w:rPr>
                <w:rFonts w:asciiTheme="majorHAnsi" w:hAnsiTheme="majorHAnsi" w:cstheme="majorHAnsi"/>
                <w:i/>
              </w:rPr>
              <w:t xml:space="preserve">Isolation of strains in liquid culture and DST (automated MGIT) investigations </w:t>
            </w:r>
            <w:r w:rsidRPr="000F3267">
              <w:rPr>
                <w:rFonts w:asciiTheme="majorHAnsi" w:hAnsiTheme="majorHAnsi" w:cstheme="majorHAnsi"/>
              </w:rPr>
              <w:t>(</w:t>
            </w:r>
            <w:r w:rsidR="00F33D8A" w:rsidRPr="000F3267">
              <w:rPr>
                <w:rFonts w:asciiTheme="majorHAnsi" w:hAnsiTheme="majorHAnsi" w:cstheme="majorHAnsi"/>
              </w:rPr>
              <w:t>please refer to the PAAR template for description)</w:t>
            </w:r>
            <w:r w:rsidR="001A7668" w:rsidRPr="000F3267">
              <w:rPr>
                <w:rFonts w:asciiTheme="majorHAnsi" w:hAnsiTheme="majorHAnsi" w:cstheme="majorHAnsi"/>
              </w:rPr>
              <w:t>.</w:t>
            </w:r>
          </w:p>
          <w:p w14:paraId="173274C6" w14:textId="2D087B39" w:rsidR="005051C1" w:rsidRPr="000F3267" w:rsidRDefault="005051C1" w:rsidP="006A0E08">
            <w:pPr>
              <w:pStyle w:val="affff3"/>
              <w:numPr>
                <w:ilvl w:val="2"/>
                <w:numId w:val="27"/>
              </w:numPr>
              <w:spacing w:after="0" w:line="240" w:lineRule="auto"/>
              <w:jc w:val="both"/>
              <w:rPr>
                <w:rFonts w:asciiTheme="majorHAnsi" w:hAnsiTheme="majorHAnsi" w:cstheme="majorHAnsi"/>
                <w:i/>
              </w:rPr>
            </w:pPr>
            <w:r w:rsidRPr="000F3267">
              <w:rPr>
                <w:rFonts w:asciiTheme="majorHAnsi" w:hAnsiTheme="majorHAnsi" w:cstheme="majorHAnsi"/>
                <w:i/>
              </w:rPr>
              <w:t>Storage of the M. Tuberculosis strains in proper conditions (</w:t>
            </w:r>
            <w:r w:rsidR="00F33D8A" w:rsidRPr="000F3267">
              <w:rPr>
                <w:rFonts w:asciiTheme="majorHAnsi" w:hAnsiTheme="majorHAnsi" w:cstheme="majorHAnsi"/>
              </w:rPr>
              <w:t>please refer to the PAAR template for description)</w:t>
            </w:r>
            <w:r w:rsidR="001A7668" w:rsidRPr="000F3267">
              <w:rPr>
                <w:rFonts w:asciiTheme="majorHAnsi" w:hAnsiTheme="majorHAnsi" w:cstheme="majorHAnsi"/>
              </w:rPr>
              <w:t>.</w:t>
            </w:r>
          </w:p>
          <w:p w14:paraId="0EF6BA07" w14:textId="77777777" w:rsidR="001A7668" w:rsidRPr="000F3267" w:rsidRDefault="001A7668" w:rsidP="00F47032">
            <w:pPr>
              <w:spacing w:after="0" w:line="240" w:lineRule="auto"/>
              <w:jc w:val="both"/>
              <w:rPr>
                <w:rFonts w:asciiTheme="majorHAnsi" w:hAnsiTheme="majorHAnsi" w:cstheme="majorHAnsi"/>
                <w:i/>
              </w:rPr>
            </w:pPr>
          </w:p>
          <w:p w14:paraId="71AD9FD6" w14:textId="77B4C733" w:rsidR="00406563" w:rsidRPr="000F3267" w:rsidRDefault="005051C1" w:rsidP="006A0E08">
            <w:pPr>
              <w:pStyle w:val="affff3"/>
              <w:numPr>
                <w:ilvl w:val="2"/>
                <w:numId w:val="27"/>
              </w:numPr>
              <w:spacing w:after="0" w:line="240" w:lineRule="auto"/>
              <w:jc w:val="both"/>
              <w:rPr>
                <w:rFonts w:asciiTheme="majorHAnsi" w:hAnsiTheme="majorHAnsi" w:cstheme="majorHAnsi"/>
              </w:rPr>
            </w:pPr>
            <w:r w:rsidRPr="000F3267">
              <w:rPr>
                <w:rFonts w:asciiTheme="majorHAnsi" w:hAnsiTheme="majorHAnsi" w:cstheme="majorHAnsi"/>
              </w:rPr>
              <w:t>Sequencing of Mycobacterium tuberculosis complex</w:t>
            </w:r>
          </w:p>
          <w:p w14:paraId="47E726EA" w14:textId="77777777" w:rsidR="005051C1" w:rsidRPr="000F3267" w:rsidRDefault="005051C1" w:rsidP="006A0E08">
            <w:pPr>
              <w:pStyle w:val="affff3"/>
              <w:numPr>
                <w:ilvl w:val="2"/>
                <w:numId w:val="27"/>
              </w:numPr>
              <w:spacing w:after="0" w:line="240" w:lineRule="auto"/>
              <w:jc w:val="both"/>
              <w:rPr>
                <w:rFonts w:asciiTheme="majorHAnsi" w:hAnsiTheme="majorHAnsi" w:cstheme="majorHAnsi"/>
              </w:rPr>
            </w:pPr>
            <w:r w:rsidRPr="000F3267">
              <w:rPr>
                <w:rFonts w:asciiTheme="majorHAnsi" w:hAnsiTheme="majorHAnsi" w:cstheme="majorHAnsi"/>
              </w:rPr>
              <w:t>Maintenance and servicing of WGS laboratory equipment</w:t>
            </w:r>
          </w:p>
          <w:p w14:paraId="09CCC9A2" w14:textId="77777777" w:rsidR="005051C1" w:rsidRPr="000F3267" w:rsidRDefault="005051C1" w:rsidP="00F47032">
            <w:pPr>
              <w:spacing w:after="0" w:line="240" w:lineRule="auto"/>
              <w:rPr>
                <w:rFonts w:asciiTheme="majorHAnsi" w:hAnsiTheme="majorHAnsi" w:cstheme="majorHAnsi"/>
              </w:rPr>
            </w:pPr>
          </w:p>
          <w:p w14:paraId="508D8BC3" w14:textId="0D88B51D" w:rsidR="005051C1" w:rsidRPr="000F3267" w:rsidRDefault="001A7668" w:rsidP="00F47032">
            <w:pPr>
              <w:spacing w:after="0" w:line="240" w:lineRule="auto"/>
              <w:jc w:val="both"/>
              <w:rPr>
                <w:rFonts w:asciiTheme="majorHAnsi" w:hAnsiTheme="majorHAnsi" w:cstheme="majorHAnsi"/>
              </w:rPr>
            </w:pPr>
            <w:r w:rsidRPr="000F3267">
              <w:rPr>
                <w:rFonts w:asciiTheme="majorHAnsi" w:hAnsiTheme="majorHAnsi" w:cstheme="majorHAnsi"/>
              </w:rPr>
              <w:t>For the activities (1.1.7&amp;</w:t>
            </w:r>
            <w:r w:rsidR="000056EB" w:rsidRPr="000F3267">
              <w:rPr>
                <w:rFonts w:asciiTheme="majorHAnsi" w:hAnsiTheme="majorHAnsi" w:cstheme="majorHAnsi"/>
              </w:rPr>
              <w:t>1.1.8), it is planned to procure (i) reagents and consumables for implementation of the WGS investigations at the NRL and (ii) 3</w:t>
            </w:r>
            <w:r w:rsidR="00016305">
              <w:rPr>
                <w:rFonts w:asciiTheme="majorHAnsi" w:hAnsiTheme="majorHAnsi" w:cstheme="majorHAnsi"/>
              </w:rPr>
              <w:t>-</w:t>
            </w:r>
            <w:r w:rsidR="000056EB" w:rsidRPr="000F3267">
              <w:rPr>
                <w:rFonts w:asciiTheme="majorHAnsi" w:hAnsiTheme="majorHAnsi" w:cstheme="majorHAnsi"/>
              </w:rPr>
              <w:t>years extended warranty package for WGS equipment. Nearly 600 tests are expected to conduct in each Year 1 and Year 2 of the grant under base allocation portion</w:t>
            </w:r>
            <w:r w:rsidR="00B42D11" w:rsidRPr="000F3267">
              <w:rPr>
                <w:rFonts w:asciiTheme="majorHAnsi" w:hAnsiTheme="majorHAnsi" w:cstheme="majorHAnsi"/>
              </w:rPr>
              <w:t>. T</w:t>
            </w:r>
            <w:r w:rsidR="000056EB" w:rsidRPr="000F3267">
              <w:rPr>
                <w:rFonts w:asciiTheme="majorHAnsi" w:hAnsiTheme="majorHAnsi" w:cstheme="majorHAnsi"/>
              </w:rPr>
              <w:t>he expenses related to</w:t>
            </w:r>
            <w:r w:rsidR="00B42D11" w:rsidRPr="000F3267">
              <w:rPr>
                <w:rFonts w:asciiTheme="majorHAnsi" w:hAnsiTheme="majorHAnsi" w:cstheme="majorHAnsi"/>
              </w:rPr>
              <w:t xml:space="preserve"> 300 tests in the last year of the grant</w:t>
            </w:r>
            <w:r w:rsidR="000056EB" w:rsidRPr="000F3267">
              <w:rPr>
                <w:rFonts w:asciiTheme="majorHAnsi" w:hAnsiTheme="majorHAnsi" w:cstheme="majorHAnsi"/>
              </w:rPr>
              <w:t xml:space="preserve"> </w:t>
            </w:r>
            <w:r w:rsidR="00B42D11" w:rsidRPr="000F3267">
              <w:rPr>
                <w:rFonts w:asciiTheme="majorHAnsi" w:hAnsiTheme="majorHAnsi" w:cstheme="majorHAnsi"/>
              </w:rPr>
              <w:t>are budgeted under</w:t>
            </w:r>
            <w:r w:rsidR="000056EB" w:rsidRPr="000F3267">
              <w:rPr>
                <w:rFonts w:asciiTheme="majorHAnsi" w:hAnsiTheme="majorHAnsi" w:cstheme="majorHAnsi"/>
              </w:rPr>
              <w:t xml:space="preserve"> the PAAR.</w:t>
            </w:r>
            <w:r w:rsidR="0055342D" w:rsidRPr="000F3267">
              <w:rPr>
                <w:rFonts w:asciiTheme="majorHAnsi" w:hAnsiTheme="majorHAnsi" w:cstheme="majorHAnsi"/>
              </w:rPr>
              <w:t xml:space="preserve"> The open tender will be announced for procurement of </w:t>
            </w:r>
            <w:r w:rsidR="005051C1" w:rsidRPr="000F3267">
              <w:rPr>
                <w:rFonts w:asciiTheme="majorHAnsi" w:hAnsiTheme="majorHAnsi" w:cstheme="majorHAnsi"/>
              </w:rPr>
              <w:t>reagents and tests</w:t>
            </w:r>
            <w:r w:rsidR="0055342D" w:rsidRPr="000F3267">
              <w:rPr>
                <w:rFonts w:asciiTheme="majorHAnsi" w:hAnsiTheme="majorHAnsi" w:cstheme="majorHAnsi"/>
              </w:rPr>
              <w:t>.</w:t>
            </w:r>
            <w:r w:rsidR="00B42D11" w:rsidRPr="000F3267">
              <w:rPr>
                <w:rFonts w:asciiTheme="majorHAnsi" w:hAnsiTheme="majorHAnsi" w:cstheme="majorHAnsi"/>
              </w:rPr>
              <w:t xml:space="preserve"> </w:t>
            </w:r>
            <w:proofErr w:type="gramStart"/>
            <w:r w:rsidR="00B42D11" w:rsidRPr="000F3267">
              <w:rPr>
                <w:rFonts w:asciiTheme="majorHAnsi" w:hAnsiTheme="majorHAnsi" w:cstheme="majorHAnsi"/>
              </w:rPr>
              <w:t>And,</w:t>
            </w:r>
            <w:proofErr w:type="gramEnd"/>
            <w:r w:rsidR="00B42D11" w:rsidRPr="000F3267">
              <w:rPr>
                <w:rFonts w:asciiTheme="majorHAnsi" w:hAnsiTheme="majorHAnsi" w:cstheme="majorHAnsi"/>
              </w:rPr>
              <w:t xml:space="preserve"> </w:t>
            </w:r>
            <w:r w:rsidR="005051C1" w:rsidRPr="000F3267">
              <w:rPr>
                <w:rFonts w:asciiTheme="majorHAnsi" w:hAnsiTheme="majorHAnsi" w:cstheme="majorHAnsi"/>
              </w:rPr>
              <w:t xml:space="preserve">the </w:t>
            </w:r>
            <w:r w:rsidR="001D3DFF" w:rsidRPr="000F3267">
              <w:rPr>
                <w:rFonts w:asciiTheme="majorHAnsi" w:hAnsiTheme="majorHAnsi" w:cstheme="majorHAnsi"/>
              </w:rPr>
              <w:t xml:space="preserve">equipment’ </w:t>
            </w:r>
            <w:r w:rsidR="005051C1" w:rsidRPr="000F3267">
              <w:rPr>
                <w:rFonts w:asciiTheme="majorHAnsi" w:hAnsiTheme="majorHAnsi" w:cstheme="majorHAnsi"/>
              </w:rPr>
              <w:t xml:space="preserve">supplier will </w:t>
            </w:r>
            <w:r w:rsidR="001D3DFF" w:rsidRPr="000F3267">
              <w:rPr>
                <w:rFonts w:asciiTheme="majorHAnsi" w:hAnsiTheme="majorHAnsi" w:cstheme="majorHAnsi"/>
              </w:rPr>
              <w:t>assure</w:t>
            </w:r>
            <w:r w:rsidR="005051C1" w:rsidRPr="000F3267">
              <w:rPr>
                <w:rFonts w:asciiTheme="majorHAnsi" w:hAnsiTheme="majorHAnsi" w:cstheme="majorHAnsi"/>
              </w:rPr>
              <w:t xml:space="preserve"> the warranty package, as the company has the exclusivity in Kazakhstan </w:t>
            </w:r>
            <w:r w:rsidR="001D3DFF" w:rsidRPr="000F3267">
              <w:rPr>
                <w:rFonts w:asciiTheme="majorHAnsi" w:hAnsiTheme="majorHAnsi" w:cstheme="majorHAnsi"/>
              </w:rPr>
              <w:t>for the servise</w:t>
            </w:r>
            <w:r w:rsidR="005051C1" w:rsidRPr="000F3267">
              <w:rPr>
                <w:rFonts w:asciiTheme="majorHAnsi" w:hAnsiTheme="majorHAnsi" w:cstheme="majorHAnsi"/>
              </w:rPr>
              <w:t>. In year 2025, 50% of the test</w:t>
            </w:r>
            <w:r w:rsidR="0055342D" w:rsidRPr="000F3267">
              <w:rPr>
                <w:rFonts w:asciiTheme="majorHAnsi" w:hAnsiTheme="majorHAnsi" w:cstheme="majorHAnsi"/>
              </w:rPr>
              <w:t>s</w:t>
            </w:r>
            <w:r w:rsidR="005051C1" w:rsidRPr="000F3267">
              <w:rPr>
                <w:rFonts w:asciiTheme="majorHAnsi" w:hAnsiTheme="majorHAnsi" w:cstheme="majorHAnsi"/>
              </w:rPr>
              <w:t xml:space="preserve"> and reagents will be procured through the domestic source</w:t>
            </w:r>
            <w:r w:rsidR="00095BEC" w:rsidRPr="000F3267">
              <w:rPr>
                <w:rFonts w:asciiTheme="majorHAnsi" w:hAnsiTheme="majorHAnsi" w:cstheme="majorHAnsi"/>
              </w:rPr>
              <w:t xml:space="preserve">s and the government will </w:t>
            </w:r>
            <w:r w:rsidR="00B42D11" w:rsidRPr="000F3267">
              <w:rPr>
                <w:rFonts w:asciiTheme="majorHAnsi" w:hAnsiTheme="majorHAnsi" w:cstheme="majorHAnsi"/>
              </w:rPr>
              <w:t>guarantee</w:t>
            </w:r>
            <w:r w:rsidR="005051C1" w:rsidRPr="000F3267">
              <w:rPr>
                <w:rFonts w:asciiTheme="majorHAnsi" w:hAnsiTheme="majorHAnsi" w:cstheme="majorHAnsi"/>
              </w:rPr>
              <w:t xml:space="preserve"> full takeover since 2026.</w:t>
            </w:r>
          </w:p>
          <w:p w14:paraId="61378D42" w14:textId="77777777" w:rsidR="005051C1" w:rsidRPr="000F3267" w:rsidRDefault="005051C1" w:rsidP="00F47032">
            <w:pPr>
              <w:spacing w:after="0" w:line="240" w:lineRule="auto"/>
              <w:rPr>
                <w:rFonts w:asciiTheme="majorHAnsi" w:hAnsiTheme="majorHAnsi" w:cstheme="majorHAnsi"/>
              </w:rPr>
            </w:pPr>
          </w:p>
          <w:p w14:paraId="2B32F984" w14:textId="77777777" w:rsidR="005051C1" w:rsidRPr="000F3267" w:rsidRDefault="005051C1" w:rsidP="00F47032">
            <w:pPr>
              <w:spacing w:after="0" w:line="240" w:lineRule="auto"/>
              <w:jc w:val="both"/>
              <w:rPr>
                <w:rFonts w:asciiTheme="majorHAnsi" w:hAnsiTheme="majorHAnsi" w:cstheme="majorHAnsi"/>
                <w:i/>
              </w:rPr>
            </w:pPr>
            <w:r w:rsidRPr="000F3267">
              <w:rPr>
                <w:rFonts w:asciiTheme="majorHAnsi" w:hAnsiTheme="majorHAnsi" w:cstheme="majorHAnsi"/>
                <w:i/>
              </w:rPr>
              <w:t>Intervention: Treatment: MDR-TB</w:t>
            </w:r>
          </w:p>
          <w:p w14:paraId="5D9AFCF1" w14:textId="77777777" w:rsidR="005051C1" w:rsidRPr="000F3267" w:rsidRDefault="005051C1" w:rsidP="00F47032">
            <w:pPr>
              <w:spacing w:after="0" w:line="240" w:lineRule="auto"/>
              <w:jc w:val="both"/>
              <w:rPr>
                <w:rFonts w:asciiTheme="majorHAnsi" w:hAnsiTheme="majorHAnsi" w:cstheme="majorHAnsi"/>
                <w:i/>
              </w:rPr>
            </w:pPr>
          </w:p>
          <w:p w14:paraId="1DE6880A" w14:textId="77777777" w:rsidR="005051C1" w:rsidRPr="000F3267" w:rsidRDefault="005051C1" w:rsidP="00F47032">
            <w:pPr>
              <w:spacing w:after="0" w:line="240" w:lineRule="auto"/>
              <w:jc w:val="both"/>
              <w:rPr>
                <w:rFonts w:asciiTheme="majorHAnsi" w:hAnsiTheme="majorHAnsi" w:cstheme="majorHAnsi"/>
              </w:rPr>
            </w:pPr>
            <w:r w:rsidRPr="000F3267">
              <w:rPr>
                <w:rFonts w:asciiTheme="majorHAnsi" w:hAnsiTheme="majorHAnsi" w:cstheme="majorHAnsi"/>
              </w:rPr>
              <w:t>Activities:</w:t>
            </w:r>
          </w:p>
          <w:p w14:paraId="2FFD9CFC" w14:textId="77777777" w:rsidR="005051C1" w:rsidRPr="000F3267" w:rsidRDefault="005051C1" w:rsidP="00F47032">
            <w:pPr>
              <w:spacing w:after="0" w:line="240" w:lineRule="auto"/>
              <w:jc w:val="both"/>
              <w:rPr>
                <w:rFonts w:asciiTheme="majorHAnsi" w:hAnsiTheme="majorHAnsi" w:cstheme="majorHAnsi"/>
              </w:rPr>
            </w:pPr>
          </w:p>
          <w:p w14:paraId="2F7C2F9D" w14:textId="22095375" w:rsidR="005051C1" w:rsidRPr="000F3267" w:rsidRDefault="00005C39" w:rsidP="006A0E08">
            <w:pPr>
              <w:pStyle w:val="affff3"/>
              <w:numPr>
                <w:ilvl w:val="2"/>
                <w:numId w:val="28"/>
              </w:numPr>
              <w:spacing w:after="0" w:line="240" w:lineRule="auto"/>
              <w:jc w:val="both"/>
              <w:rPr>
                <w:rFonts w:asciiTheme="majorHAnsi" w:hAnsiTheme="majorHAnsi" w:cstheme="majorHAnsi"/>
              </w:rPr>
            </w:pPr>
            <w:r w:rsidRPr="000F3267">
              <w:rPr>
                <w:rFonts w:asciiTheme="majorHAnsi" w:hAnsiTheme="majorHAnsi" w:cstheme="majorHAnsi"/>
              </w:rPr>
              <w:t>Extension of the O</w:t>
            </w:r>
            <w:r w:rsidR="002B24F2">
              <w:rPr>
                <w:rFonts w:asciiTheme="majorHAnsi" w:hAnsiTheme="majorHAnsi" w:cstheme="majorHAnsi"/>
              </w:rPr>
              <w:t>perational Research</w:t>
            </w:r>
            <w:r w:rsidR="00F5716A" w:rsidRPr="000F3267">
              <w:rPr>
                <w:rFonts w:asciiTheme="majorHAnsi" w:hAnsiTheme="majorHAnsi" w:cstheme="majorHAnsi"/>
              </w:rPr>
              <w:t xml:space="preserve"> </w:t>
            </w:r>
            <w:r w:rsidR="00DE0413" w:rsidRPr="000F3267">
              <w:rPr>
                <w:rFonts w:asciiTheme="majorHAnsi" w:hAnsiTheme="majorHAnsi" w:cstheme="majorHAnsi"/>
              </w:rPr>
              <w:t>on modified shorter all-oral treatment r</w:t>
            </w:r>
            <w:r w:rsidR="005051C1" w:rsidRPr="000F3267">
              <w:rPr>
                <w:rFonts w:asciiTheme="majorHAnsi" w:hAnsiTheme="majorHAnsi" w:cstheme="majorHAnsi"/>
              </w:rPr>
              <w:t>egimens for RR-TB to new regions</w:t>
            </w:r>
          </w:p>
          <w:p w14:paraId="06C43C57" w14:textId="77777777" w:rsidR="005215CA" w:rsidRPr="000F3267" w:rsidRDefault="005215CA" w:rsidP="00F47032">
            <w:pPr>
              <w:spacing w:after="0" w:line="240" w:lineRule="auto"/>
              <w:jc w:val="both"/>
              <w:rPr>
                <w:rFonts w:asciiTheme="majorHAnsi" w:hAnsiTheme="majorHAnsi" w:cstheme="majorHAnsi"/>
              </w:rPr>
            </w:pPr>
          </w:p>
          <w:p w14:paraId="4A481D94" w14:textId="0EED0759" w:rsidR="00F44DCA" w:rsidRPr="000F3267" w:rsidRDefault="007C30EE" w:rsidP="00F47032">
            <w:pPr>
              <w:spacing w:after="0" w:line="240" w:lineRule="auto"/>
              <w:jc w:val="both"/>
              <w:rPr>
                <w:rFonts w:asciiTheme="majorHAnsi" w:eastAsia="Times New Roman" w:hAnsiTheme="majorHAnsi" w:cstheme="majorHAnsi"/>
              </w:rPr>
            </w:pPr>
            <w:r w:rsidRPr="000F3267">
              <w:rPr>
                <w:rFonts w:asciiTheme="majorHAnsi" w:hAnsiTheme="majorHAnsi" w:cstheme="majorHAnsi"/>
              </w:rPr>
              <w:t xml:space="preserve">The funds are requested to expand the cohort of </w:t>
            </w:r>
            <w:r w:rsidR="00130CEE" w:rsidRPr="000F3267">
              <w:rPr>
                <w:rFonts w:asciiTheme="majorHAnsi" w:hAnsiTheme="majorHAnsi" w:cstheme="majorHAnsi"/>
              </w:rPr>
              <w:t>RR/MDR</w:t>
            </w:r>
            <w:r w:rsidRPr="000F3267">
              <w:rPr>
                <w:rFonts w:asciiTheme="majorHAnsi" w:hAnsiTheme="majorHAnsi" w:cstheme="majorHAnsi"/>
              </w:rPr>
              <w:t>-TB patients w</w:t>
            </w:r>
            <w:r w:rsidR="00131219" w:rsidRPr="000F3267">
              <w:rPr>
                <w:rFonts w:asciiTheme="majorHAnsi" w:hAnsiTheme="majorHAnsi" w:cstheme="majorHAnsi"/>
              </w:rPr>
              <w:t>ho will begin treatment with fully oral</w:t>
            </w:r>
            <w:r w:rsidRPr="000F3267">
              <w:rPr>
                <w:rFonts w:asciiTheme="majorHAnsi" w:hAnsiTheme="majorHAnsi" w:cstheme="majorHAnsi"/>
              </w:rPr>
              <w:t xml:space="preserve"> </w:t>
            </w:r>
            <w:r w:rsidR="00131219" w:rsidRPr="000F3267">
              <w:rPr>
                <w:rFonts w:asciiTheme="majorHAnsi" w:eastAsia="Times New Roman" w:hAnsiTheme="majorHAnsi" w:cstheme="majorHAnsi"/>
                <w:shd w:val="clear" w:color="auto" w:fill="FFFFFF"/>
              </w:rPr>
              <w:t>modified shorter </w:t>
            </w:r>
            <w:r w:rsidR="00131219" w:rsidRPr="000F3267">
              <w:rPr>
                <w:rFonts w:asciiTheme="majorHAnsi" w:eastAsia="Times New Roman" w:hAnsiTheme="majorHAnsi" w:cstheme="majorHAnsi"/>
                <w:bCs/>
              </w:rPr>
              <w:t>treatment</w:t>
            </w:r>
            <w:r w:rsidR="002B24F2">
              <w:rPr>
                <w:rFonts w:asciiTheme="majorHAnsi" w:eastAsia="Times New Roman" w:hAnsiTheme="majorHAnsi" w:cstheme="majorHAnsi"/>
                <w:shd w:val="clear" w:color="auto" w:fill="FFFFFF"/>
              </w:rPr>
              <w:t> regimen</w:t>
            </w:r>
            <w:r w:rsidR="00131219" w:rsidRPr="000F3267">
              <w:rPr>
                <w:rFonts w:asciiTheme="majorHAnsi" w:eastAsia="Times New Roman" w:hAnsiTheme="majorHAnsi" w:cstheme="majorHAnsi"/>
                <w:shd w:val="clear" w:color="auto" w:fill="FFFFFF"/>
              </w:rPr>
              <w:t>. </w:t>
            </w:r>
            <w:r w:rsidRPr="000F3267">
              <w:rPr>
                <w:rFonts w:asciiTheme="majorHAnsi" w:hAnsiTheme="majorHAnsi" w:cstheme="majorHAnsi"/>
              </w:rPr>
              <w:t xml:space="preserve"> It is assumed that 1,800 patients will be enrolled in the OR in 2023-2025. The grant will finance the support of the technical team </w:t>
            </w:r>
            <w:r w:rsidR="00A855E1" w:rsidRPr="000F3267">
              <w:rPr>
                <w:rFonts w:asciiTheme="majorHAnsi" w:hAnsiTheme="majorHAnsi" w:cstheme="majorHAnsi"/>
              </w:rPr>
              <w:t xml:space="preserve">to be </w:t>
            </w:r>
            <w:r w:rsidRPr="000F3267">
              <w:rPr>
                <w:rFonts w:asciiTheme="majorHAnsi" w:hAnsiTheme="majorHAnsi" w:cstheme="majorHAnsi"/>
              </w:rPr>
              <w:t xml:space="preserve">involved in the operational research, including patients’ treatment monitoring and follow-up appointments after 12 months of treatment, also covering those included in the study at the end of 2021 and in 2022, visits and administrative expenses. </w:t>
            </w:r>
            <w:r w:rsidR="00D4271F" w:rsidRPr="000F3267">
              <w:rPr>
                <w:rFonts w:asciiTheme="majorHAnsi" w:hAnsiTheme="majorHAnsi" w:cstheme="majorHAnsi"/>
              </w:rPr>
              <w:t xml:space="preserve">For </w:t>
            </w:r>
            <w:r w:rsidR="00FD28C2" w:rsidRPr="000F3267">
              <w:rPr>
                <w:rFonts w:asciiTheme="majorHAnsi" w:eastAsia="Times New Roman" w:hAnsiTheme="majorHAnsi" w:cstheme="majorHAnsi"/>
                <w:bCs/>
              </w:rPr>
              <w:t>mSTR</w:t>
            </w:r>
            <w:r w:rsidR="00D4271F" w:rsidRPr="000F3267">
              <w:rPr>
                <w:rFonts w:asciiTheme="majorHAnsi" w:hAnsiTheme="majorHAnsi" w:cstheme="majorHAnsi"/>
              </w:rPr>
              <w:t xml:space="preserve"> treatment expansion under operational research conditions, the NSCP will sign a sub-contract with the Partners in Health in Kazakhstan. The PIH had been implemented the OR under the End TB Project since 2016. Moreover, the organization has participated in the WHO EURO </w:t>
            </w:r>
            <w:r w:rsidR="00F44DCA" w:rsidRPr="000F3267">
              <w:rPr>
                <w:rFonts w:asciiTheme="majorHAnsi" w:eastAsia="Times New Roman" w:hAnsiTheme="majorHAnsi" w:cstheme="majorHAnsi"/>
                <w:shd w:val="clear" w:color="auto" w:fill="FFFFFF"/>
              </w:rPr>
              <w:t xml:space="preserve">regional operational research on the inclusion of modified short-term regimens for the treatment of rifampicin-resistant tuberculosis with </w:t>
            </w:r>
            <w:r w:rsidR="009D7F1A" w:rsidRPr="000F3267">
              <w:rPr>
                <w:rFonts w:asciiTheme="majorHAnsi" w:eastAsia="Times New Roman" w:hAnsiTheme="majorHAnsi" w:cstheme="majorHAnsi"/>
                <w:shd w:val="clear" w:color="auto" w:fill="FFFFFF"/>
              </w:rPr>
              <w:t xml:space="preserve">fully </w:t>
            </w:r>
            <w:r w:rsidR="00F44DCA" w:rsidRPr="000F3267">
              <w:rPr>
                <w:rFonts w:asciiTheme="majorHAnsi" w:eastAsia="Times New Roman" w:hAnsiTheme="majorHAnsi" w:cstheme="majorHAnsi"/>
                <w:shd w:val="clear" w:color="auto" w:fill="FFFFFF"/>
              </w:rPr>
              <w:t xml:space="preserve">oral drugs </w:t>
            </w:r>
            <w:r w:rsidR="00D4271F" w:rsidRPr="000F3267">
              <w:rPr>
                <w:rFonts w:asciiTheme="majorHAnsi" w:hAnsiTheme="majorHAnsi" w:cstheme="majorHAnsi"/>
              </w:rPr>
              <w:t xml:space="preserve">and the OR under the current GF grant since 2019. The cost of anti-tuberculosis drugs and treatment of patients in hospital and outpatient facilities will be paid through </w:t>
            </w:r>
            <w:r w:rsidR="009D7F1A" w:rsidRPr="000F3267">
              <w:rPr>
                <w:rFonts w:asciiTheme="majorHAnsi" w:hAnsiTheme="majorHAnsi" w:cstheme="majorHAnsi"/>
              </w:rPr>
              <w:t xml:space="preserve">the </w:t>
            </w:r>
            <w:r w:rsidR="00D4271F" w:rsidRPr="000F3267">
              <w:rPr>
                <w:rFonts w:asciiTheme="majorHAnsi" w:hAnsiTheme="majorHAnsi" w:cstheme="majorHAnsi"/>
              </w:rPr>
              <w:t>local funds.</w:t>
            </w:r>
          </w:p>
          <w:p w14:paraId="4BA39A1F" w14:textId="77777777" w:rsidR="00F44DCA" w:rsidRPr="00974FD7" w:rsidRDefault="00F44DCA" w:rsidP="00F47032">
            <w:pPr>
              <w:spacing w:after="0" w:line="240" w:lineRule="auto"/>
              <w:jc w:val="both"/>
              <w:rPr>
                <w:rFonts w:asciiTheme="majorHAnsi" w:hAnsiTheme="majorHAnsi" w:cstheme="majorHAnsi"/>
              </w:rPr>
            </w:pPr>
          </w:p>
          <w:p w14:paraId="18E861BA" w14:textId="2CA6E053" w:rsidR="008A084B" w:rsidRPr="000F3267" w:rsidRDefault="00F44DCA" w:rsidP="006A0E08">
            <w:pPr>
              <w:pStyle w:val="affff3"/>
              <w:numPr>
                <w:ilvl w:val="2"/>
                <w:numId w:val="28"/>
              </w:numPr>
              <w:spacing w:after="0" w:line="240" w:lineRule="auto"/>
              <w:jc w:val="both"/>
              <w:rPr>
                <w:rFonts w:asciiTheme="majorHAnsi" w:hAnsiTheme="majorHAnsi" w:cstheme="majorHAnsi"/>
              </w:rPr>
            </w:pPr>
            <w:r w:rsidRPr="000F3267">
              <w:rPr>
                <w:rFonts w:asciiTheme="majorHAnsi" w:hAnsiTheme="majorHAnsi" w:cstheme="majorHAnsi"/>
              </w:rPr>
              <w:t>Operational Research on BPaL treatment regimen for pre- and XDR-TB patients in pilot regions</w:t>
            </w:r>
          </w:p>
          <w:p w14:paraId="18F8A13A" w14:textId="77777777" w:rsidR="008A084B" w:rsidRPr="000F3267" w:rsidRDefault="008A084B" w:rsidP="00F47032">
            <w:pPr>
              <w:spacing w:after="0" w:line="240" w:lineRule="auto"/>
              <w:jc w:val="both"/>
              <w:rPr>
                <w:rFonts w:asciiTheme="majorHAnsi" w:hAnsiTheme="majorHAnsi" w:cstheme="majorHAnsi"/>
              </w:rPr>
            </w:pPr>
          </w:p>
          <w:p w14:paraId="1A970DB1" w14:textId="438F7497" w:rsidR="00F44DCA" w:rsidRPr="000F3267" w:rsidRDefault="008A084B" w:rsidP="00F47032">
            <w:pPr>
              <w:spacing w:after="0" w:line="240" w:lineRule="auto"/>
              <w:jc w:val="both"/>
              <w:rPr>
                <w:rFonts w:asciiTheme="majorHAnsi" w:hAnsiTheme="majorHAnsi" w:cstheme="majorHAnsi"/>
              </w:rPr>
            </w:pPr>
            <w:r w:rsidRPr="000F3267">
              <w:rPr>
                <w:rFonts w:asciiTheme="majorHAnsi" w:hAnsiTheme="majorHAnsi" w:cstheme="majorHAnsi"/>
              </w:rPr>
              <w:t>The grant funds will be used to pilot the BPaL scheme for 70 patients with pre- and XDR-TB in three country regions. It will finance the support to the technical team involved in OR, technical assistance from external experts, the costs of staff training, patients’ treatment monitoring and follow-up appointments after 12 months of treatment, conducting aDSM, visits, and administrative cos</w:t>
            </w:r>
            <w:r w:rsidR="002B24F2">
              <w:rPr>
                <w:rFonts w:asciiTheme="majorHAnsi" w:hAnsiTheme="majorHAnsi" w:cstheme="majorHAnsi"/>
              </w:rPr>
              <w:t>ts. The principal recipient</w:t>
            </w:r>
            <w:r w:rsidRPr="000F3267">
              <w:rPr>
                <w:rFonts w:asciiTheme="majorHAnsi" w:hAnsiTheme="majorHAnsi" w:cstheme="majorHAnsi"/>
              </w:rPr>
              <w:t xml:space="preserve"> will sign a sub-c</w:t>
            </w:r>
            <w:r w:rsidR="00355A94">
              <w:rPr>
                <w:rFonts w:asciiTheme="majorHAnsi" w:hAnsiTheme="majorHAnsi" w:cstheme="majorHAnsi"/>
              </w:rPr>
              <w:t>ontract with the KNCV</w:t>
            </w:r>
            <w:r w:rsidRPr="000F3267">
              <w:rPr>
                <w:rFonts w:asciiTheme="majorHAnsi" w:hAnsiTheme="majorHAnsi" w:cstheme="majorHAnsi"/>
              </w:rPr>
              <w:t xml:space="preserve"> representation i</w:t>
            </w:r>
            <w:r w:rsidR="00042FE2" w:rsidRPr="000F3267">
              <w:rPr>
                <w:rFonts w:asciiTheme="majorHAnsi" w:hAnsiTheme="majorHAnsi" w:cstheme="majorHAnsi"/>
              </w:rPr>
              <w:t xml:space="preserve">n Kazakhstan, which since 2020 </w:t>
            </w:r>
            <w:r w:rsidRPr="000F3267">
              <w:rPr>
                <w:rFonts w:asciiTheme="majorHAnsi" w:hAnsiTheme="majorHAnsi" w:cstheme="majorHAnsi"/>
              </w:rPr>
              <w:t>has begun preparatory activities to inform new recommendations regarding the use of BPaL for patients</w:t>
            </w:r>
            <w:r w:rsidR="0058269C" w:rsidRPr="000F3267">
              <w:rPr>
                <w:rFonts w:asciiTheme="majorHAnsi" w:hAnsiTheme="majorHAnsi" w:cstheme="majorHAnsi"/>
              </w:rPr>
              <w:t xml:space="preserve"> with drug-resistant TB for the</w:t>
            </w:r>
            <w:r w:rsidRPr="000F3267">
              <w:rPr>
                <w:rFonts w:asciiTheme="majorHAnsi" w:hAnsiTheme="majorHAnsi" w:cstheme="majorHAnsi"/>
              </w:rPr>
              <w:t xml:space="preserve"> introduction of the BPaL regimen</w:t>
            </w:r>
            <w:r w:rsidR="0058269C" w:rsidRPr="000F3267">
              <w:rPr>
                <w:rFonts w:asciiTheme="majorHAnsi" w:hAnsiTheme="majorHAnsi" w:cstheme="majorHAnsi"/>
              </w:rPr>
              <w:t xml:space="preserve"> in nationwide practices</w:t>
            </w:r>
            <w:r w:rsidRPr="000F3267">
              <w:rPr>
                <w:rFonts w:asciiTheme="majorHAnsi" w:hAnsiTheme="majorHAnsi" w:cstheme="majorHAnsi"/>
              </w:rPr>
              <w:t>. The procurement of all drugs used in a new treatment option for patients enrolled will be made through the GDF platform at preferential prices.</w:t>
            </w:r>
          </w:p>
          <w:p w14:paraId="75D37975" w14:textId="77777777" w:rsidR="00BC28F9" w:rsidRPr="00974FD7" w:rsidRDefault="00BC28F9" w:rsidP="00F47032">
            <w:pPr>
              <w:pStyle w:val="affff3"/>
              <w:spacing w:after="0" w:line="240" w:lineRule="auto"/>
              <w:rPr>
                <w:rFonts w:asciiTheme="majorHAnsi" w:hAnsiTheme="majorHAnsi" w:cstheme="majorHAnsi"/>
              </w:rPr>
            </w:pPr>
          </w:p>
          <w:p w14:paraId="03ACE673" w14:textId="1072465F" w:rsidR="001A7668" w:rsidRPr="000F3267" w:rsidRDefault="00BC28F9" w:rsidP="006A0E08">
            <w:pPr>
              <w:pStyle w:val="affff3"/>
              <w:numPr>
                <w:ilvl w:val="2"/>
                <w:numId w:val="28"/>
              </w:numPr>
              <w:spacing w:after="0" w:line="240" w:lineRule="auto"/>
              <w:jc w:val="both"/>
              <w:rPr>
                <w:rFonts w:asciiTheme="majorHAnsi" w:hAnsiTheme="majorHAnsi" w:cstheme="majorHAnsi"/>
              </w:rPr>
            </w:pPr>
            <w:r w:rsidRPr="000F3267">
              <w:rPr>
                <w:rFonts w:asciiTheme="majorHAnsi" w:hAnsiTheme="majorHAnsi" w:cstheme="majorHAnsi"/>
                <w:i/>
              </w:rPr>
              <w:t>Operational Research on treatment regimen for MDR-TB patients coinfected with Hepatitis “C” in pilot regions</w:t>
            </w:r>
            <w:r w:rsidRPr="000F3267">
              <w:rPr>
                <w:rFonts w:asciiTheme="majorHAnsi" w:hAnsiTheme="majorHAnsi" w:cstheme="majorHAnsi"/>
                <w:color w:val="FF0000"/>
              </w:rPr>
              <w:t xml:space="preserve"> </w:t>
            </w:r>
            <w:r w:rsidR="001A7668" w:rsidRPr="000F3267">
              <w:rPr>
                <w:rFonts w:asciiTheme="majorHAnsi" w:hAnsiTheme="majorHAnsi" w:cstheme="majorHAnsi"/>
              </w:rPr>
              <w:t>(please refer to the PAAR template for description).</w:t>
            </w:r>
          </w:p>
          <w:p w14:paraId="7E7A8AA5" w14:textId="77777777" w:rsidR="00BC28F9" w:rsidRPr="000F3267" w:rsidRDefault="00BC28F9" w:rsidP="00F47032">
            <w:pPr>
              <w:spacing w:after="0" w:line="240" w:lineRule="auto"/>
              <w:rPr>
                <w:rFonts w:asciiTheme="majorHAnsi" w:hAnsiTheme="majorHAnsi" w:cstheme="majorHAnsi"/>
              </w:rPr>
            </w:pPr>
          </w:p>
          <w:p w14:paraId="3E25C5D1" w14:textId="77777777" w:rsidR="00BC28F9" w:rsidRPr="000F3267" w:rsidRDefault="00BC28F9" w:rsidP="00F47032">
            <w:pPr>
              <w:spacing w:after="0" w:line="240" w:lineRule="auto"/>
              <w:jc w:val="both"/>
              <w:rPr>
                <w:rFonts w:asciiTheme="majorHAnsi" w:hAnsiTheme="majorHAnsi" w:cstheme="majorHAnsi"/>
                <w:i/>
              </w:rPr>
            </w:pPr>
            <w:r w:rsidRPr="000F3267">
              <w:rPr>
                <w:rFonts w:asciiTheme="majorHAnsi" w:hAnsiTheme="majorHAnsi" w:cstheme="majorHAnsi"/>
                <w:i/>
              </w:rPr>
              <w:t>Intervention: Engaging all care providers</w:t>
            </w:r>
          </w:p>
          <w:p w14:paraId="4A22AFBA" w14:textId="77777777" w:rsidR="00BC28F9" w:rsidRPr="000F3267" w:rsidRDefault="00BC28F9" w:rsidP="00F47032">
            <w:pPr>
              <w:spacing w:after="0" w:line="240" w:lineRule="auto"/>
              <w:jc w:val="both"/>
              <w:rPr>
                <w:rFonts w:asciiTheme="majorHAnsi" w:hAnsiTheme="majorHAnsi" w:cstheme="majorHAnsi"/>
                <w:i/>
              </w:rPr>
            </w:pPr>
          </w:p>
          <w:p w14:paraId="2FBC5361" w14:textId="77777777" w:rsidR="00BC28F9" w:rsidRPr="000F3267" w:rsidRDefault="00BC28F9" w:rsidP="00F47032">
            <w:pPr>
              <w:spacing w:after="0" w:line="240" w:lineRule="auto"/>
              <w:jc w:val="both"/>
              <w:rPr>
                <w:rFonts w:asciiTheme="majorHAnsi" w:hAnsiTheme="majorHAnsi" w:cstheme="majorHAnsi"/>
              </w:rPr>
            </w:pPr>
            <w:r w:rsidRPr="000F3267">
              <w:rPr>
                <w:rFonts w:asciiTheme="majorHAnsi" w:hAnsiTheme="majorHAnsi" w:cstheme="majorHAnsi"/>
              </w:rPr>
              <w:t>Activities:</w:t>
            </w:r>
          </w:p>
          <w:p w14:paraId="66D77DC9" w14:textId="77777777" w:rsidR="00BC28F9" w:rsidRPr="000F3267" w:rsidRDefault="00BC28F9" w:rsidP="00F47032">
            <w:pPr>
              <w:spacing w:after="0" w:line="240" w:lineRule="auto"/>
              <w:rPr>
                <w:rFonts w:asciiTheme="majorHAnsi" w:hAnsiTheme="majorHAnsi" w:cstheme="majorHAnsi"/>
              </w:rPr>
            </w:pPr>
          </w:p>
          <w:p w14:paraId="74018825" w14:textId="77777777" w:rsidR="00BC28F9" w:rsidRPr="000F3267" w:rsidRDefault="00BC28F9" w:rsidP="006A0E08">
            <w:pPr>
              <w:pStyle w:val="affff3"/>
              <w:numPr>
                <w:ilvl w:val="2"/>
                <w:numId w:val="29"/>
              </w:numPr>
              <w:spacing w:after="0" w:line="240" w:lineRule="auto"/>
              <w:jc w:val="both"/>
              <w:rPr>
                <w:rFonts w:asciiTheme="majorHAnsi" w:hAnsiTheme="majorHAnsi" w:cstheme="majorHAnsi"/>
              </w:rPr>
            </w:pPr>
            <w:r w:rsidRPr="000F3267">
              <w:rPr>
                <w:rFonts w:asciiTheme="majorHAnsi" w:hAnsiTheme="majorHAnsi" w:cstheme="majorHAnsi"/>
              </w:rPr>
              <w:t>Support to the Working Group on health system strengthening for TB control</w:t>
            </w:r>
          </w:p>
          <w:p w14:paraId="79D0E481" w14:textId="77777777" w:rsidR="00BC28F9" w:rsidRPr="000F3267" w:rsidRDefault="00BC28F9" w:rsidP="00F47032">
            <w:pPr>
              <w:spacing w:after="0" w:line="240" w:lineRule="auto"/>
              <w:rPr>
                <w:rFonts w:asciiTheme="majorHAnsi" w:hAnsiTheme="majorHAnsi" w:cstheme="majorHAnsi"/>
              </w:rPr>
            </w:pPr>
          </w:p>
          <w:p w14:paraId="4758406E" w14:textId="7E9DFFB6" w:rsidR="00007BFF" w:rsidRPr="000F3267" w:rsidRDefault="00BC28F9" w:rsidP="00F47032">
            <w:pPr>
              <w:spacing w:after="0" w:line="240" w:lineRule="auto"/>
              <w:jc w:val="both"/>
              <w:rPr>
                <w:rFonts w:asciiTheme="majorHAnsi" w:hAnsiTheme="majorHAnsi" w:cstheme="majorHAnsi"/>
              </w:rPr>
            </w:pPr>
            <w:r w:rsidRPr="000F3267">
              <w:rPr>
                <w:rFonts w:asciiTheme="majorHAnsi" w:hAnsiTheme="majorHAnsi" w:cstheme="majorHAnsi"/>
              </w:rPr>
              <w:t xml:space="preserve">The multisectoral working group, established under the previous grant, will be further supported to perform high-level </w:t>
            </w:r>
            <w:proofErr w:type="gramStart"/>
            <w:r w:rsidRPr="000F3267">
              <w:rPr>
                <w:rFonts w:asciiTheme="majorHAnsi" w:hAnsiTheme="majorHAnsi" w:cstheme="majorHAnsi"/>
              </w:rPr>
              <w:t>advocacy</w:t>
            </w:r>
            <w:proofErr w:type="gramEnd"/>
            <w:r w:rsidRPr="000F3267">
              <w:rPr>
                <w:rFonts w:asciiTheme="majorHAnsi" w:hAnsiTheme="majorHAnsi" w:cstheme="majorHAnsi"/>
              </w:rPr>
              <w:t xml:space="preserve"> and enhance the political commitment for effective governance and sustainable financing of TB interventions, including strengthening and coordinating, multisectoral involvement and communities’ engagement. The new grant will allocate f</w:t>
            </w:r>
            <w:r w:rsidR="003808BA" w:rsidRPr="000F3267">
              <w:rPr>
                <w:rFonts w:asciiTheme="majorHAnsi" w:hAnsiTheme="majorHAnsi" w:cstheme="majorHAnsi"/>
              </w:rPr>
              <w:t xml:space="preserve">unds to support the development and/or </w:t>
            </w:r>
            <w:r w:rsidRPr="000F3267">
              <w:rPr>
                <w:rFonts w:asciiTheme="majorHAnsi" w:hAnsiTheme="majorHAnsi" w:cstheme="majorHAnsi"/>
              </w:rPr>
              <w:t>revision of the relevant regulations and guidelines, i</w:t>
            </w:r>
            <w:r w:rsidR="003808BA" w:rsidRPr="000F3267">
              <w:rPr>
                <w:rFonts w:asciiTheme="majorHAnsi" w:hAnsiTheme="majorHAnsi" w:cstheme="majorHAnsi"/>
              </w:rPr>
              <w:t>ncluding a guide for community-based</w:t>
            </w:r>
            <w:r w:rsidRPr="000F3267">
              <w:rPr>
                <w:rFonts w:asciiTheme="majorHAnsi" w:hAnsiTheme="majorHAnsi" w:cstheme="majorHAnsi"/>
              </w:rPr>
              <w:t xml:space="preserve"> organizations</w:t>
            </w:r>
            <w:r w:rsidR="003808BA" w:rsidRPr="000F3267">
              <w:rPr>
                <w:rFonts w:asciiTheme="majorHAnsi" w:hAnsiTheme="majorHAnsi" w:cstheme="majorHAnsi"/>
              </w:rPr>
              <w:t>, in line</w:t>
            </w:r>
            <w:r w:rsidRPr="000F3267">
              <w:rPr>
                <w:rFonts w:asciiTheme="majorHAnsi" w:hAnsiTheme="majorHAnsi" w:cstheme="majorHAnsi"/>
              </w:rPr>
              <w:t xml:space="preserve"> with </w:t>
            </w:r>
            <w:r w:rsidR="003808BA" w:rsidRPr="000F3267">
              <w:rPr>
                <w:rFonts w:asciiTheme="majorHAnsi" w:hAnsiTheme="majorHAnsi" w:cstheme="majorHAnsi"/>
              </w:rPr>
              <w:t>the WHO and technical Pratners’</w:t>
            </w:r>
            <w:r w:rsidRPr="000F3267">
              <w:rPr>
                <w:rFonts w:asciiTheme="majorHAnsi" w:hAnsiTheme="majorHAnsi" w:cstheme="majorHAnsi"/>
              </w:rPr>
              <w:t xml:space="preserve"> recommendations and </w:t>
            </w:r>
            <w:r w:rsidR="003808BA" w:rsidRPr="000F3267">
              <w:rPr>
                <w:rFonts w:asciiTheme="majorHAnsi" w:hAnsiTheme="majorHAnsi" w:cstheme="majorHAnsi"/>
              </w:rPr>
              <w:t xml:space="preserve">available </w:t>
            </w:r>
            <w:r w:rsidRPr="000F3267">
              <w:rPr>
                <w:rFonts w:asciiTheme="majorHAnsi" w:hAnsiTheme="majorHAnsi" w:cstheme="majorHAnsi"/>
              </w:rPr>
              <w:t>best practices. Four performance</w:t>
            </w:r>
            <w:r w:rsidR="00BC6A55">
              <w:rPr>
                <w:rFonts w:asciiTheme="majorHAnsi" w:hAnsiTheme="majorHAnsi" w:cstheme="majorHAnsi"/>
              </w:rPr>
              <w:t>-based consultancies in each first and second years of the grant will be implemented</w:t>
            </w:r>
            <w:r w:rsidRPr="000F3267">
              <w:rPr>
                <w:rFonts w:asciiTheme="majorHAnsi" w:hAnsiTheme="majorHAnsi" w:cstheme="majorHAnsi"/>
              </w:rPr>
              <w:t xml:space="preserve">. </w:t>
            </w:r>
            <w:r w:rsidR="0058269C" w:rsidRPr="00D253EF">
              <w:rPr>
                <w:rFonts w:asciiTheme="majorHAnsi" w:hAnsiTheme="majorHAnsi" w:cstheme="majorHAnsi"/>
              </w:rPr>
              <w:t xml:space="preserve">The </w:t>
            </w:r>
            <w:r w:rsidRPr="00D253EF">
              <w:rPr>
                <w:rFonts w:asciiTheme="majorHAnsi" w:hAnsiTheme="majorHAnsi" w:cstheme="majorHAnsi"/>
              </w:rPr>
              <w:t xml:space="preserve">GF regulation </w:t>
            </w:r>
            <w:r w:rsidR="00D253EF">
              <w:rPr>
                <w:rFonts w:asciiTheme="majorHAnsi" w:hAnsiTheme="majorHAnsi" w:cstheme="majorHAnsi"/>
              </w:rPr>
              <w:t xml:space="preserve">on incentives payments </w:t>
            </w:r>
            <w:r w:rsidRPr="00D253EF">
              <w:rPr>
                <w:rFonts w:asciiTheme="majorHAnsi" w:hAnsiTheme="majorHAnsi" w:cstheme="majorHAnsi"/>
              </w:rPr>
              <w:t>has been taken into consideration.</w:t>
            </w:r>
            <w:r w:rsidRPr="000F3267">
              <w:rPr>
                <w:rFonts w:asciiTheme="majorHAnsi" w:hAnsiTheme="majorHAnsi" w:cstheme="majorHAnsi"/>
              </w:rPr>
              <w:t xml:space="preserve"> Also, the project will finance the costs of TWG meetings and the visits of experts to regions.</w:t>
            </w:r>
          </w:p>
          <w:p w14:paraId="3DB90B97" w14:textId="77777777" w:rsidR="00345796" w:rsidRPr="000F3267" w:rsidRDefault="00345796" w:rsidP="00F47032">
            <w:pPr>
              <w:spacing w:after="0" w:line="240" w:lineRule="auto"/>
              <w:rPr>
                <w:rFonts w:asciiTheme="majorHAnsi" w:hAnsiTheme="majorHAnsi" w:cstheme="majorHAnsi"/>
              </w:rPr>
            </w:pPr>
          </w:p>
          <w:p w14:paraId="7EFE7126" w14:textId="77777777" w:rsidR="00345796" w:rsidRPr="000F3267" w:rsidRDefault="00345796" w:rsidP="006A0E08">
            <w:pPr>
              <w:pStyle w:val="affff3"/>
              <w:numPr>
                <w:ilvl w:val="2"/>
                <w:numId w:val="29"/>
              </w:numPr>
              <w:spacing w:after="0" w:line="240" w:lineRule="auto"/>
              <w:jc w:val="both"/>
              <w:rPr>
                <w:rFonts w:asciiTheme="majorHAnsi" w:hAnsiTheme="majorHAnsi" w:cstheme="majorHAnsi"/>
              </w:rPr>
            </w:pPr>
            <w:r w:rsidRPr="000F3267">
              <w:rPr>
                <w:rFonts w:asciiTheme="majorHAnsi" w:hAnsiTheme="majorHAnsi" w:cstheme="majorHAnsi"/>
              </w:rPr>
              <w:t>NTP program coordination meetings</w:t>
            </w:r>
          </w:p>
          <w:p w14:paraId="0247C215" w14:textId="77777777" w:rsidR="00345796" w:rsidRPr="000F3267" w:rsidRDefault="00345796" w:rsidP="00F47032">
            <w:pPr>
              <w:spacing w:after="0" w:line="240" w:lineRule="auto"/>
              <w:rPr>
                <w:rFonts w:asciiTheme="majorHAnsi" w:hAnsiTheme="majorHAnsi" w:cstheme="majorHAnsi"/>
              </w:rPr>
            </w:pPr>
          </w:p>
          <w:p w14:paraId="5DAA5371" w14:textId="1170B898" w:rsidR="00034567" w:rsidRPr="000F3267" w:rsidRDefault="00220885" w:rsidP="00F47032">
            <w:pPr>
              <w:spacing w:after="0" w:line="240" w:lineRule="auto"/>
              <w:jc w:val="both"/>
              <w:rPr>
                <w:rFonts w:asciiTheme="majorHAnsi" w:hAnsiTheme="majorHAnsi" w:cstheme="majorHAnsi"/>
                <w:bCs/>
              </w:rPr>
            </w:pPr>
            <w:r w:rsidRPr="000F3267">
              <w:rPr>
                <w:rFonts w:asciiTheme="majorHAnsi" w:hAnsiTheme="majorHAnsi" w:cstheme="majorHAnsi"/>
                <w:bCs/>
              </w:rPr>
              <w:t>The project will support annual coordination meetings of the NTP wi</w:t>
            </w:r>
            <w:r w:rsidR="007C650C" w:rsidRPr="000F3267">
              <w:rPr>
                <w:rFonts w:asciiTheme="majorHAnsi" w:hAnsiTheme="majorHAnsi" w:cstheme="majorHAnsi"/>
                <w:bCs/>
              </w:rPr>
              <w:t xml:space="preserve">th broader participation of the decsions-makers from </w:t>
            </w:r>
            <w:r w:rsidRPr="000F3267">
              <w:rPr>
                <w:rFonts w:asciiTheme="majorHAnsi" w:hAnsiTheme="majorHAnsi" w:cstheme="majorHAnsi"/>
                <w:bCs/>
              </w:rPr>
              <w:t>governmental agencies, including MoH, MoF, and the CCES, health care providers and those involved in TB and</w:t>
            </w:r>
            <w:r w:rsidR="00016305">
              <w:rPr>
                <w:rFonts w:asciiTheme="majorHAnsi" w:hAnsiTheme="majorHAnsi" w:cstheme="majorHAnsi"/>
                <w:bCs/>
              </w:rPr>
              <w:t xml:space="preserve"> </w:t>
            </w:r>
            <w:r w:rsidRPr="000F3267">
              <w:rPr>
                <w:rFonts w:asciiTheme="majorHAnsi" w:hAnsiTheme="majorHAnsi" w:cstheme="majorHAnsi"/>
                <w:bCs/>
              </w:rPr>
              <w:t>HIV control, representative of academia, CSO, and other non-state actors. Pooling information, presenting challenges and barriers in NTP components implementation, sharing the lessons learned</w:t>
            </w:r>
            <w:r w:rsidR="00130CEE" w:rsidRPr="000F3267">
              <w:rPr>
                <w:rFonts w:asciiTheme="majorHAnsi" w:hAnsiTheme="majorHAnsi" w:cstheme="majorHAnsi"/>
                <w:bCs/>
              </w:rPr>
              <w:t xml:space="preserve"> and good practic</w:t>
            </w:r>
            <w:r w:rsidRPr="000F3267">
              <w:rPr>
                <w:rFonts w:asciiTheme="majorHAnsi" w:hAnsiTheme="majorHAnsi" w:cstheme="majorHAnsi"/>
                <w:bCs/>
              </w:rPr>
              <w:t>es, and coordinating further activities will contribute towards achieving milestones and targets of the Comprehensive Plan. During the grant implementation period, it is expected to conduct one meeting annually.</w:t>
            </w:r>
          </w:p>
          <w:p w14:paraId="3DDB615A" w14:textId="77777777" w:rsidR="00220885" w:rsidRPr="000F3267" w:rsidRDefault="00220885" w:rsidP="00F47032">
            <w:pPr>
              <w:spacing w:after="0" w:line="240" w:lineRule="auto"/>
              <w:jc w:val="both"/>
              <w:rPr>
                <w:rFonts w:asciiTheme="majorHAnsi" w:hAnsiTheme="majorHAnsi" w:cstheme="majorHAnsi"/>
              </w:rPr>
            </w:pPr>
          </w:p>
          <w:p w14:paraId="7CAC75F4" w14:textId="7CE0424C" w:rsidR="00345796" w:rsidRPr="000F3267" w:rsidRDefault="003D4325" w:rsidP="006A0E08">
            <w:pPr>
              <w:pStyle w:val="affff3"/>
              <w:numPr>
                <w:ilvl w:val="2"/>
                <w:numId w:val="29"/>
              </w:numPr>
              <w:spacing w:after="0" w:line="240" w:lineRule="auto"/>
              <w:jc w:val="both"/>
              <w:rPr>
                <w:rFonts w:asciiTheme="majorHAnsi" w:hAnsiTheme="majorHAnsi" w:cstheme="majorHAnsi"/>
              </w:rPr>
            </w:pPr>
            <w:r w:rsidRPr="000F3267">
              <w:rPr>
                <w:rFonts w:asciiTheme="majorHAnsi" w:hAnsiTheme="majorHAnsi" w:cstheme="majorHAnsi"/>
              </w:rPr>
              <w:t xml:space="preserve">TB round tables at central and </w:t>
            </w:r>
            <w:r w:rsidR="00345796" w:rsidRPr="000F3267">
              <w:rPr>
                <w:rFonts w:asciiTheme="majorHAnsi" w:hAnsiTheme="majorHAnsi" w:cstheme="majorHAnsi"/>
              </w:rPr>
              <w:t>regional level</w:t>
            </w:r>
            <w:r w:rsidRPr="000F3267">
              <w:rPr>
                <w:rFonts w:asciiTheme="majorHAnsi" w:hAnsiTheme="majorHAnsi" w:cstheme="majorHAnsi"/>
              </w:rPr>
              <w:t>s</w:t>
            </w:r>
            <w:r w:rsidR="00345796" w:rsidRPr="000F3267">
              <w:rPr>
                <w:rFonts w:asciiTheme="majorHAnsi" w:hAnsiTheme="majorHAnsi" w:cstheme="majorHAnsi"/>
              </w:rPr>
              <w:t xml:space="preserve"> for high-level decision makers</w:t>
            </w:r>
          </w:p>
          <w:p w14:paraId="7F3603C1" w14:textId="77777777" w:rsidR="00345796" w:rsidRPr="000F3267" w:rsidRDefault="00345796" w:rsidP="00F47032">
            <w:pPr>
              <w:pStyle w:val="affff3"/>
              <w:spacing w:after="0" w:line="240" w:lineRule="auto"/>
              <w:jc w:val="both"/>
              <w:rPr>
                <w:rFonts w:asciiTheme="majorHAnsi" w:hAnsiTheme="majorHAnsi" w:cstheme="majorHAnsi"/>
              </w:rPr>
            </w:pPr>
          </w:p>
          <w:p w14:paraId="1118BD83" w14:textId="3EE55F73" w:rsidR="003579B6" w:rsidRPr="000F3267" w:rsidRDefault="00331DC3" w:rsidP="00F47032">
            <w:pPr>
              <w:spacing w:after="0" w:line="240" w:lineRule="auto"/>
              <w:jc w:val="both"/>
              <w:rPr>
                <w:rFonts w:asciiTheme="majorHAnsi" w:hAnsiTheme="majorHAnsi" w:cstheme="majorHAnsi"/>
              </w:rPr>
            </w:pPr>
            <w:r w:rsidRPr="000F3267">
              <w:rPr>
                <w:rFonts w:asciiTheme="majorHAnsi" w:hAnsiTheme="majorHAnsi" w:cstheme="majorHAnsi"/>
              </w:rPr>
              <w:t>The project will continue the conduction of training sessions and round tables at the central level with local governments, partners, public and private providers</w:t>
            </w:r>
            <w:r w:rsidR="002B3E78" w:rsidRPr="000F3267">
              <w:rPr>
                <w:rFonts w:asciiTheme="majorHAnsi" w:hAnsiTheme="majorHAnsi" w:cstheme="majorHAnsi"/>
              </w:rPr>
              <w:t xml:space="preserve"> participation</w:t>
            </w:r>
            <w:r w:rsidRPr="000F3267">
              <w:rPr>
                <w:rFonts w:asciiTheme="majorHAnsi" w:hAnsiTheme="majorHAnsi" w:cstheme="majorHAnsi"/>
              </w:rPr>
              <w:t xml:space="preserve">. It will hold a close discussion on topics related to the implementation of the components of the Comprehensive Plan, patient-centered TB care delivery and organizational and payment models, DR-TB case management, establishing functional local partnerships to end TB, mobilizing additional and alternative sources of funding for priority TB interventions, including social contracting, </w:t>
            </w:r>
            <w:r w:rsidR="00ED06D1" w:rsidRPr="000F3267">
              <w:rPr>
                <w:rFonts w:asciiTheme="majorHAnsi" w:hAnsiTheme="majorHAnsi" w:cstheme="majorHAnsi"/>
              </w:rPr>
              <w:t xml:space="preserve">business community support </w:t>
            </w:r>
            <w:r w:rsidRPr="000F3267">
              <w:rPr>
                <w:rFonts w:asciiTheme="majorHAnsi" w:hAnsiTheme="majorHAnsi" w:cstheme="majorHAnsi"/>
              </w:rPr>
              <w:t>and results achieved towards the country targets established by the UNGA High-Level Meeting on TB. During the grant implementation period, it is expected to conduct one meeting annually.</w:t>
            </w:r>
          </w:p>
          <w:p w14:paraId="3B743CE1" w14:textId="77777777" w:rsidR="003579B6" w:rsidRPr="000F3267" w:rsidRDefault="003579B6" w:rsidP="00F47032">
            <w:pPr>
              <w:spacing w:after="0" w:line="240" w:lineRule="auto"/>
              <w:jc w:val="both"/>
              <w:rPr>
                <w:rFonts w:asciiTheme="majorHAnsi" w:hAnsiTheme="majorHAnsi" w:cstheme="majorHAnsi"/>
              </w:rPr>
            </w:pPr>
          </w:p>
          <w:p w14:paraId="7550672A" w14:textId="77777777" w:rsidR="003579B6" w:rsidRPr="000F3267" w:rsidRDefault="003579B6" w:rsidP="006A0E08">
            <w:pPr>
              <w:pStyle w:val="affff3"/>
              <w:numPr>
                <w:ilvl w:val="2"/>
                <w:numId w:val="29"/>
              </w:numPr>
              <w:spacing w:after="0" w:line="240" w:lineRule="auto"/>
              <w:jc w:val="both"/>
              <w:rPr>
                <w:rFonts w:asciiTheme="majorHAnsi" w:hAnsiTheme="majorHAnsi" w:cstheme="majorHAnsi"/>
              </w:rPr>
            </w:pPr>
            <w:r w:rsidRPr="000F3267">
              <w:rPr>
                <w:rFonts w:asciiTheme="majorHAnsi" w:hAnsiTheme="majorHAnsi" w:cstheme="majorHAnsi"/>
              </w:rPr>
              <w:t>Ensuring EQA of the NRL and RRL</w:t>
            </w:r>
          </w:p>
          <w:p w14:paraId="2892B7E3" w14:textId="77777777" w:rsidR="003579B6" w:rsidRPr="000F3267" w:rsidRDefault="003579B6" w:rsidP="00F47032">
            <w:pPr>
              <w:pStyle w:val="affff3"/>
              <w:spacing w:after="0" w:line="240" w:lineRule="auto"/>
              <w:rPr>
                <w:rFonts w:asciiTheme="majorHAnsi" w:hAnsiTheme="majorHAnsi" w:cstheme="majorHAnsi"/>
              </w:rPr>
            </w:pPr>
          </w:p>
          <w:p w14:paraId="21048930" w14:textId="6766509C" w:rsidR="003579B6" w:rsidRPr="00974FD7" w:rsidRDefault="0055679B" w:rsidP="00F47032">
            <w:pPr>
              <w:spacing w:after="0" w:line="240" w:lineRule="auto"/>
              <w:jc w:val="both"/>
              <w:rPr>
                <w:rFonts w:asciiTheme="majorHAnsi" w:hAnsiTheme="majorHAnsi" w:cstheme="majorHAnsi"/>
              </w:rPr>
            </w:pPr>
            <w:r w:rsidRPr="00974FD7">
              <w:rPr>
                <w:rFonts w:asciiTheme="majorHAnsi" w:hAnsiTheme="majorHAnsi" w:cstheme="majorHAnsi"/>
              </w:rPr>
              <w:t>The funds requested will support the implementation of external quality control of bacteriological investigations in the NRL and RRL. As part of the EQA, the preparation and delive</w:t>
            </w:r>
            <w:r w:rsidR="00130CEE" w:rsidRPr="00974FD7">
              <w:rPr>
                <w:rFonts w:asciiTheme="majorHAnsi" w:hAnsiTheme="majorHAnsi" w:cstheme="majorHAnsi"/>
              </w:rPr>
              <w:t>ry of pannels from SNRL in Gauti</w:t>
            </w:r>
            <w:r w:rsidRPr="00974FD7">
              <w:rPr>
                <w:rFonts w:asciiTheme="majorHAnsi" w:hAnsiTheme="majorHAnsi" w:cstheme="majorHAnsi"/>
              </w:rPr>
              <w:t xml:space="preserve">ng for assessing the quality of mycobacterial culture results produced by the NRL will be carried out. Moreover, support will be given to prepare quality assurance panels at the NRL to control cultural investigations in the RRL. The </w:t>
            </w:r>
            <w:r w:rsidR="00157C27" w:rsidRPr="00974FD7">
              <w:rPr>
                <w:rFonts w:asciiTheme="majorHAnsi" w:hAnsiTheme="majorHAnsi" w:cstheme="majorHAnsi"/>
              </w:rPr>
              <w:t xml:space="preserve">expanded quality assurance efforts </w:t>
            </w:r>
            <w:r w:rsidRPr="00974FD7">
              <w:rPr>
                <w:rFonts w:asciiTheme="majorHAnsi" w:hAnsiTheme="majorHAnsi" w:cstheme="majorHAnsi"/>
              </w:rPr>
              <w:t xml:space="preserve">of the NRL and RRL will be </w:t>
            </w:r>
            <w:r w:rsidR="0089778F" w:rsidRPr="00974FD7">
              <w:rPr>
                <w:rFonts w:asciiTheme="majorHAnsi" w:hAnsiTheme="majorHAnsi" w:cstheme="majorHAnsi"/>
              </w:rPr>
              <w:t>assisted</w:t>
            </w:r>
            <w:r w:rsidRPr="00974FD7">
              <w:rPr>
                <w:rFonts w:asciiTheme="majorHAnsi" w:hAnsiTheme="majorHAnsi" w:cstheme="majorHAnsi"/>
              </w:rPr>
              <w:t xml:space="preserve"> during the entire period of the GF TB grant</w:t>
            </w:r>
            <w:r w:rsidR="00157C27" w:rsidRPr="00974FD7">
              <w:rPr>
                <w:rFonts w:asciiTheme="majorHAnsi" w:hAnsiTheme="majorHAnsi" w:cstheme="majorHAnsi"/>
              </w:rPr>
              <w:t xml:space="preserve"> project</w:t>
            </w:r>
            <w:r w:rsidRPr="00974FD7">
              <w:rPr>
                <w:rFonts w:asciiTheme="majorHAnsi" w:hAnsiTheme="majorHAnsi" w:cstheme="majorHAnsi"/>
              </w:rPr>
              <w:t xml:space="preserve">. </w:t>
            </w:r>
          </w:p>
          <w:p w14:paraId="4112FC02" w14:textId="77777777" w:rsidR="0055679B" w:rsidRPr="00974FD7" w:rsidRDefault="0055679B" w:rsidP="00F47032">
            <w:pPr>
              <w:spacing w:after="0" w:line="240" w:lineRule="auto"/>
              <w:jc w:val="both"/>
              <w:rPr>
                <w:rFonts w:asciiTheme="majorHAnsi" w:hAnsiTheme="majorHAnsi" w:cstheme="majorHAnsi"/>
              </w:rPr>
            </w:pPr>
          </w:p>
          <w:p w14:paraId="460FC38A" w14:textId="39962830" w:rsidR="003579B6" w:rsidRPr="000F3267" w:rsidRDefault="003579B6" w:rsidP="006A0E08">
            <w:pPr>
              <w:pStyle w:val="affff3"/>
              <w:numPr>
                <w:ilvl w:val="2"/>
                <w:numId w:val="29"/>
              </w:numPr>
              <w:spacing w:after="0" w:line="240" w:lineRule="auto"/>
              <w:rPr>
                <w:rFonts w:asciiTheme="majorHAnsi" w:hAnsiTheme="majorHAnsi" w:cstheme="majorHAnsi"/>
              </w:rPr>
            </w:pPr>
            <w:r w:rsidRPr="000F3267">
              <w:rPr>
                <w:rFonts w:asciiTheme="majorHAnsi" w:hAnsiTheme="majorHAnsi" w:cstheme="majorHAnsi"/>
                <w:i/>
              </w:rPr>
              <w:t>External technical assistance in revision and development of the</w:t>
            </w:r>
            <w:r w:rsidR="001A7668" w:rsidRPr="000F3267">
              <w:rPr>
                <w:rFonts w:asciiTheme="majorHAnsi" w:hAnsiTheme="majorHAnsi" w:cstheme="majorHAnsi"/>
                <w:i/>
              </w:rPr>
              <w:t xml:space="preserve"> laboratory TB guidelines</w:t>
            </w:r>
            <w:r w:rsidR="001A7668" w:rsidRPr="000F3267">
              <w:rPr>
                <w:rFonts w:asciiTheme="majorHAnsi" w:hAnsiTheme="majorHAnsi" w:cstheme="majorHAnsi"/>
              </w:rPr>
              <w:t xml:space="preserve"> (please refer to the PAAR template for description).</w:t>
            </w:r>
          </w:p>
          <w:p w14:paraId="123A2E36" w14:textId="77DA0A0D" w:rsidR="003579B6" w:rsidRPr="000F3267" w:rsidRDefault="003579B6" w:rsidP="006A0E08">
            <w:pPr>
              <w:pStyle w:val="affff3"/>
              <w:numPr>
                <w:ilvl w:val="2"/>
                <w:numId w:val="29"/>
              </w:numPr>
              <w:spacing w:after="0" w:line="240" w:lineRule="auto"/>
              <w:rPr>
                <w:rFonts w:asciiTheme="majorHAnsi" w:hAnsiTheme="majorHAnsi" w:cstheme="majorHAnsi"/>
              </w:rPr>
            </w:pPr>
            <w:r w:rsidRPr="000F3267">
              <w:rPr>
                <w:rFonts w:asciiTheme="majorHAnsi" w:hAnsiTheme="majorHAnsi" w:cstheme="majorHAnsi"/>
                <w:i/>
              </w:rPr>
              <w:t>Supervision visits of the SNRL team</w:t>
            </w:r>
            <w:r w:rsidR="001A7668" w:rsidRPr="000F3267">
              <w:rPr>
                <w:rFonts w:asciiTheme="majorHAnsi" w:hAnsiTheme="majorHAnsi" w:cstheme="majorHAnsi"/>
              </w:rPr>
              <w:t xml:space="preserve"> </w:t>
            </w:r>
            <w:r w:rsidR="00A91049" w:rsidRPr="000F3267">
              <w:rPr>
                <w:rFonts w:asciiTheme="majorHAnsi" w:hAnsiTheme="majorHAnsi" w:cstheme="majorHAnsi"/>
              </w:rPr>
              <w:t>(</w:t>
            </w:r>
            <w:r w:rsidR="001A7668" w:rsidRPr="000F3267">
              <w:rPr>
                <w:rFonts w:asciiTheme="majorHAnsi" w:hAnsiTheme="majorHAnsi" w:cstheme="majorHAnsi"/>
              </w:rPr>
              <w:t>please refer to the PAAR template for description).</w:t>
            </w:r>
          </w:p>
          <w:p w14:paraId="6A8F7C20" w14:textId="77777777" w:rsidR="001A7668" w:rsidRPr="000F3267" w:rsidRDefault="001A7668" w:rsidP="00F47032">
            <w:pPr>
              <w:spacing w:after="0" w:line="240" w:lineRule="auto"/>
              <w:rPr>
                <w:rFonts w:asciiTheme="majorHAnsi" w:hAnsiTheme="majorHAnsi" w:cstheme="majorHAnsi"/>
              </w:rPr>
            </w:pPr>
          </w:p>
          <w:p w14:paraId="1D9AE4F0" w14:textId="7C8E46E0" w:rsidR="003579B6" w:rsidRPr="000F3267" w:rsidRDefault="000E2866" w:rsidP="006A0E08">
            <w:pPr>
              <w:pStyle w:val="affff3"/>
              <w:numPr>
                <w:ilvl w:val="2"/>
                <w:numId w:val="29"/>
              </w:numPr>
              <w:spacing w:after="0" w:line="240" w:lineRule="auto"/>
              <w:jc w:val="both"/>
              <w:rPr>
                <w:rFonts w:asciiTheme="majorHAnsi" w:hAnsiTheme="majorHAnsi" w:cstheme="majorHAnsi"/>
              </w:rPr>
            </w:pPr>
            <w:r w:rsidRPr="000F3267">
              <w:rPr>
                <w:rFonts w:asciiTheme="majorHAnsi" w:hAnsiTheme="majorHAnsi" w:cstheme="majorHAnsi"/>
              </w:rPr>
              <w:t>Assistance in the establishment of national Team for coordination and management of TB drugs supply system at the central level</w:t>
            </w:r>
          </w:p>
          <w:p w14:paraId="7941F7EE" w14:textId="77777777" w:rsidR="000E2866" w:rsidRPr="000F3267" w:rsidRDefault="000E2866" w:rsidP="00F47032">
            <w:pPr>
              <w:spacing w:after="0" w:line="240" w:lineRule="auto"/>
              <w:ind w:left="1080"/>
              <w:jc w:val="both"/>
              <w:rPr>
                <w:rFonts w:asciiTheme="majorHAnsi" w:hAnsiTheme="majorHAnsi" w:cstheme="majorHAnsi"/>
              </w:rPr>
            </w:pPr>
          </w:p>
          <w:p w14:paraId="08F20039" w14:textId="276DB0F3" w:rsidR="00704A58" w:rsidRPr="000F3267" w:rsidRDefault="009D1B05" w:rsidP="00F47032">
            <w:pPr>
              <w:spacing w:after="0" w:line="240" w:lineRule="auto"/>
              <w:jc w:val="both"/>
              <w:rPr>
                <w:rFonts w:asciiTheme="majorHAnsi" w:hAnsiTheme="majorHAnsi" w:cstheme="majorHAnsi"/>
              </w:rPr>
            </w:pPr>
            <w:r w:rsidRPr="000F3267">
              <w:rPr>
                <w:rFonts w:asciiTheme="majorHAnsi" w:hAnsiTheme="majorHAnsi" w:cstheme="majorHAnsi"/>
              </w:rPr>
              <w:t xml:space="preserve">The GF support is requested to establish a national team </w:t>
            </w:r>
            <w:r w:rsidR="00704A58" w:rsidRPr="000F3267">
              <w:rPr>
                <w:rFonts w:asciiTheme="majorHAnsi" w:hAnsiTheme="majorHAnsi" w:cstheme="majorHAnsi"/>
              </w:rPr>
              <w:t xml:space="preserve">at the central level </w:t>
            </w:r>
            <w:r w:rsidRPr="000F3267">
              <w:rPr>
                <w:rFonts w:asciiTheme="majorHAnsi" w:hAnsiTheme="majorHAnsi" w:cstheme="majorHAnsi"/>
              </w:rPr>
              <w:t>to coordinate and manage TB medicine supply</w:t>
            </w:r>
            <w:r w:rsidR="005902A5">
              <w:rPr>
                <w:rFonts w:asciiTheme="majorHAnsi" w:hAnsiTheme="majorHAnsi" w:cstheme="majorHAnsi"/>
              </w:rPr>
              <w:t xml:space="preserve"> mechanism</w:t>
            </w:r>
            <w:r w:rsidRPr="000F3267">
              <w:rPr>
                <w:rFonts w:asciiTheme="majorHAnsi" w:hAnsiTheme="majorHAnsi" w:cstheme="majorHAnsi"/>
              </w:rPr>
              <w:t xml:space="preserve">. Two full-time consultants will be hired for that purpose; one will take Drug </w:t>
            </w:r>
            <w:r w:rsidR="0057204D" w:rsidRPr="000F3267">
              <w:rPr>
                <w:rFonts w:asciiTheme="majorHAnsi" w:hAnsiTheme="majorHAnsi" w:cstheme="majorHAnsi"/>
              </w:rPr>
              <w:t xml:space="preserve">Supply </w:t>
            </w:r>
            <w:r w:rsidRPr="000F3267">
              <w:rPr>
                <w:rFonts w:asciiTheme="majorHAnsi" w:hAnsiTheme="majorHAnsi" w:cstheme="majorHAnsi"/>
              </w:rPr>
              <w:t xml:space="preserve">Management Coordinator’s functions. The National Team will manage a wide range of regulatory and operational issues, including regular tracking of general policies and regulatory documents by assessing the possible impact on anti-TB drugs supply, advocacy, and development of the evidence </w:t>
            </w:r>
            <w:r w:rsidR="00704A58" w:rsidRPr="000F3267">
              <w:rPr>
                <w:rFonts w:asciiTheme="majorHAnsi" w:hAnsiTheme="majorHAnsi" w:cstheme="majorHAnsi"/>
              </w:rPr>
              <w:t>f</w:t>
            </w:r>
            <w:r w:rsidRPr="000F3267">
              <w:rPr>
                <w:rFonts w:asciiTheme="majorHAnsi" w:hAnsiTheme="majorHAnsi" w:cstheme="majorHAnsi"/>
              </w:rPr>
              <w:t>or introduction of drugs in the annually updated National Drug Formulary, addressing issues related to the availability of TB medicines</w:t>
            </w:r>
            <w:r w:rsidR="00704A58" w:rsidRPr="000F3267">
              <w:rPr>
                <w:rFonts w:asciiTheme="majorHAnsi" w:hAnsiTheme="majorHAnsi" w:cstheme="majorHAnsi"/>
              </w:rPr>
              <w:t xml:space="preserve"> in regions</w:t>
            </w:r>
            <w:r w:rsidRPr="000F3267">
              <w:rPr>
                <w:rFonts w:asciiTheme="majorHAnsi" w:hAnsiTheme="majorHAnsi" w:cstheme="majorHAnsi"/>
              </w:rPr>
              <w:t>, obtaining permissions from the public authorities for importing</w:t>
            </w:r>
            <w:r w:rsidR="00704A58" w:rsidRPr="000F3267">
              <w:rPr>
                <w:rFonts w:asciiTheme="majorHAnsi" w:hAnsiTheme="majorHAnsi" w:cstheme="majorHAnsi"/>
              </w:rPr>
              <w:t xml:space="preserve"> and re</w:t>
            </w:r>
            <w:r w:rsidR="002106F3" w:rsidRPr="000F3267">
              <w:rPr>
                <w:rFonts w:asciiTheme="majorHAnsi" w:hAnsiTheme="majorHAnsi" w:cstheme="majorHAnsi"/>
              </w:rPr>
              <w:t>a</w:t>
            </w:r>
            <w:r w:rsidR="00704A58" w:rsidRPr="000F3267">
              <w:rPr>
                <w:rFonts w:asciiTheme="majorHAnsi" w:hAnsiTheme="majorHAnsi" w:cstheme="majorHAnsi"/>
              </w:rPr>
              <w:t>l</w:t>
            </w:r>
            <w:r w:rsidR="002106F3" w:rsidRPr="000F3267">
              <w:rPr>
                <w:rFonts w:asciiTheme="majorHAnsi" w:hAnsiTheme="majorHAnsi" w:cstheme="majorHAnsi"/>
              </w:rPr>
              <w:t>l</w:t>
            </w:r>
            <w:r w:rsidR="00704A58" w:rsidRPr="000F3267">
              <w:rPr>
                <w:rFonts w:asciiTheme="majorHAnsi" w:hAnsiTheme="majorHAnsi" w:cstheme="majorHAnsi"/>
              </w:rPr>
              <w:t>ocation of</w:t>
            </w:r>
            <w:r w:rsidRPr="000F3267">
              <w:rPr>
                <w:rFonts w:asciiTheme="majorHAnsi" w:hAnsiTheme="majorHAnsi" w:cstheme="majorHAnsi"/>
              </w:rPr>
              <w:t xml:space="preserve"> medicines, coordinate with regional coordinators, departments and partners on anti-TB drugs management activities, monthly evaluation of the reports on TB drugs circulation in regions. Furthermore, the National Team will provide distance capacity-building support to the regional team and in </w:t>
            </w:r>
            <w:proofErr w:type="gramStart"/>
            <w:r w:rsidRPr="000F3267">
              <w:rPr>
                <w:rFonts w:asciiTheme="majorHAnsi" w:hAnsiTheme="majorHAnsi" w:cstheme="majorHAnsi"/>
              </w:rPr>
              <w:t>trouble-shooting</w:t>
            </w:r>
            <w:proofErr w:type="gramEnd"/>
            <w:r w:rsidRPr="000F3267">
              <w:rPr>
                <w:rFonts w:asciiTheme="majorHAnsi" w:hAnsiTheme="majorHAnsi" w:cstheme="majorHAnsi"/>
              </w:rPr>
              <w:t xml:space="preserve"> for anti-TB drugs supply management. </w:t>
            </w:r>
            <w:r w:rsidR="00704A58" w:rsidRPr="000F3267">
              <w:rPr>
                <w:rFonts w:asciiTheme="majorHAnsi" w:hAnsiTheme="majorHAnsi" w:cstheme="majorHAnsi"/>
              </w:rPr>
              <w:t xml:space="preserve">In the third year of the grant implementation, the country will ensure a full takeover of TB medicine supply management </w:t>
            </w:r>
            <w:r w:rsidR="00BC3B05" w:rsidRPr="000F3267">
              <w:rPr>
                <w:rFonts w:asciiTheme="majorHAnsi" w:hAnsiTheme="majorHAnsi" w:cstheme="majorHAnsi"/>
              </w:rPr>
              <w:t xml:space="preserve">team’ </w:t>
            </w:r>
            <w:r w:rsidR="00704A58" w:rsidRPr="000F3267">
              <w:rPr>
                <w:rFonts w:asciiTheme="majorHAnsi" w:hAnsiTheme="majorHAnsi" w:cstheme="majorHAnsi"/>
              </w:rPr>
              <w:t>funding.</w:t>
            </w:r>
          </w:p>
          <w:p w14:paraId="6AA13792" w14:textId="77777777" w:rsidR="009D1B05" w:rsidRPr="000F3267" w:rsidRDefault="009D1B05" w:rsidP="00F47032">
            <w:pPr>
              <w:spacing w:after="0" w:line="240" w:lineRule="auto"/>
              <w:rPr>
                <w:rFonts w:asciiTheme="majorHAnsi" w:hAnsiTheme="majorHAnsi" w:cstheme="majorHAnsi"/>
              </w:rPr>
            </w:pPr>
          </w:p>
          <w:p w14:paraId="45DDBF18" w14:textId="5958BA9F" w:rsidR="009D1B05" w:rsidRPr="000F3267" w:rsidRDefault="009D1B05" w:rsidP="006A0E08">
            <w:pPr>
              <w:pStyle w:val="affff3"/>
              <w:numPr>
                <w:ilvl w:val="2"/>
                <w:numId w:val="29"/>
              </w:numPr>
              <w:spacing w:after="0" w:line="240" w:lineRule="auto"/>
              <w:jc w:val="both"/>
              <w:rPr>
                <w:rFonts w:asciiTheme="majorHAnsi" w:hAnsiTheme="majorHAnsi" w:cstheme="majorHAnsi"/>
              </w:rPr>
            </w:pPr>
            <w:r w:rsidRPr="000F3267">
              <w:rPr>
                <w:rFonts w:asciiTheme="majorHAnsi" w:hAnsiTheme="majorHAnsi" w:cstheme="majorHAnsi"/>
              </w:rPr>
              <w:t>National consultant</w:t>
            </w:r>
            <w:r w:rsidR="00E24AC3" w:rsidRPr="000F3267">
              <w:rPr>
                <w:rFonts w:asciiTheme="majorHAnsi" w:hAnsiTheme="majorHAnsi" w:cstheme="majorHAnsi"/>
              </w:rPr>
              <w:t xml:space="preserve"> for</w:t>
            </w:r>
            <w:r w:rsidR="00796889" w:rsidRPr="000F3267">
              <w:rPr>
                <w:rFonts w:asciiTheme="majorHAnsi" w:hAnsiTheme="majorHAnsi" w:cstheme="majorHAnsi"/>
              </w:rPr>
              <w:t xml:space="preserve"> strengthening</w:t>
            </w:r>
            <w:r w:rsidRPr="000F3267">
              <w:rPr>
                <w:rFonts w:asciiTheme="majorHAnsi" w:hAnsiTheme="majorHAnsi" w:cstheme="majorHAnsi"/>
              </w:rPr>
              <w:t xml:space="preserve"> coordination of </w:t>
            </w:r>
            <w:r w:rsidR="00E24AC3" w:rsidRPr="000F3267">
              <w:rPr>
                <w:rFonts w:asciiTheme="majorHAnsi" w:hAnsiTheme="majorHAnsi" w:cstheme="majorHAnsi"/>
              </w:rPr>
              <w:t xml:space="preserve">TB drugs safety </w:t>
            </w:r>
            <w:r w:rsidRPr="000F3267">
              <w:rPr>
                <w:rFonts w:asciiTheme="majorHAnsi" w:hAnsiTheme="majorHAnsi" w:cstheme="majorHAnsi"/>
              </w:rPr>
              <w:t xml:space="preserve">monitoring </w:t>
            </w:r>
            <w:r w:rsidR="00A91268" w:rsidRPr="000F3267">
              <w:rPr>
                <w:rFonts w:asciiTheme="majorHAnsi" w:hAnsiTheme="majorHAnsi" w:cstheme="majorHAnsi"/>
              </w:rPr>
              <w:t>at the national</w:t>
            </w:r>
            <w:r w:rsidR="00E24AC3" w:rsidRPr="000F3267">
              <w:rPr>
                <w:rFonts w:asciiTheme="majorHAnsi" w:hAnsiTheme="majorHAnsi" w:cstheme="majorHAnsi"/>
              </w:rPr>
              <w:t xml:space="preserve"> l</w:t>
            </w:r>
            <w:r w:rsidRPr="000F3267">
              <w:rPr>
                <w:rFonts w:asciiTheme="majorHAnsi" w:hAnsiTheme="majorHAnsi" w:cstheme="majorHAnsi"/>
              </w:rPr>
              <w:t>evel</w:t>
            </w:r>
          </w:p>
          <w:p w14:paraId="29B70F73" w14:textId="77777777" w:rsidR="003579B6" w:rsidRPr="000F3267" w:rsidRDefault="003579B6" w:rsidP="00F47032">
            <w:pPr>
              <w:spacing w:after="0" w:line="240" w:lineRule="auto"/>
              <w:rPr>
                <w:rFonts w:asciiTheme="majorHAnsi" w:hAnsiTheme="majorHAnsi" w:cstheme="majorHAnsi"/>
              </w:rPr>
            </w:pPr>
          </w:p>
          <w:p w14:paraId="0B7E2605" w14:textId="49063AE9" w:rsidR="00345796" w:rsidRPr="000F3267" w:rsidRDefault="00A373CC" w:rsidP="00F47032">
            <w:pPr>
              <w:spacing w:after="0" w:line="240" w:lineRule="auto"/>
              <w:jc w:val="both"/>
              <w:rPr>
                <w:rFonts w:asciiTheme="majorHAnsi" w:hAnsiTheme="majorHAnsi" w:cstheme="majorHAnsi"/>
              </w:rPr>
            </w:pPr>
            <w:r w:rsidRPr="000F3267">
              <w:rPr>
                <w:rFonts w:asciiTheme="majorHAnsi" w:hAnsiTheme="majorHAnsi" w:cstheme="majorHAnsi"/>
              </w:rPr>
              <w:t xml:space="preserve">To coordinate monitoring activities related to the safety and efficacy of new TB regimens, it is proposed to support financing a separate function on the management to pharmacovigilance system, including aDSM, within the NTP. The approval of new and repurposed anti-TB drugs for the treatment of DR-TB and the introduction of these medicines into the general practice as recommended by the WHO requires a well-functioning system of </w:t>
            </w:r>
            <w:r w:rsidR="005902A5">
              <w:rPr>
                <w:rFonts w:asciiTheme="majorHAnsi" w:hAnsiTheme="majorHAnsi" w:cstheme="majorHAnsi"/>
              </w:rPr>
              <w:t>aDSM</w:t>
            </w:r>
            <w:r w:rsidRPr="000F3267">
              <w:rPr>
                <w:rFonts w:asciiTheme="majorHAnsi" w:hAnsiTheme="majorHAnsi" w:cstheme="majorHAnsi"/>
              </w:rPr>
              <w:t>. One of the key components to safeguard the sustainability</w:t>
            </w:r>
            <w:r w:rsidR="00BE3393" w:rsidRPr="000F3267">
              <w:rPr>
                <w:rFonts w:asciiTheme="majorHAnsi" w:hAnsiTheme="majorHAnsi" w:cstheme="majorHAnsi"/>
              </w:rPr>
              <w:t xml:space="preserve"> of the aDSM for DR-TB patients</w:t>
            </w:r>
            <w:r w:rsidRPr="000F3267">
              <w:rPr>
                <w:rFonts w:asciiTheme="majorHAnsi" w:hAnsiTheme="majorHAnsi" w:cstheme="majorHAnsi"/>
              </w:rPr>
              <w:t xml:space="preserve"> as part of the pharmacovigilance </w:t>
            </w:r>
            <w:r w:rsidR="00BE3393" w:rsidRPr="000F3267">
              <w:rPr>
                <w:rFonts w:asciiTheme="majorHAnsi" w:hAnsiTheme="majorHAnsi" w:cstheme="majorHAnsi"/>
              </w:rPr>
              <w:t xml:space="preserve">system </w:t>
            </w:r>
            <w:r w:rsidRPr="000F3267">
              <w:rPr>
                <w:rFonts w:asciiTheme="majorHAnsi" w:hAnsiTheme="majorHAnsi" w:cstheme="majorHAnsi"/>
              </w:rPr>
              <w:t xml:space="preserve">is the effective coordination mechanism established at the central level. This position will be funded during the first two years of the GF grant and be transitioned to public funding mechanism during 2025. </w:t>
            </w:r>
          </w:p>
          <w:p w14:paraId="063716FD" w14:textId="77777777" w:rsidR="00FC1E3C" w:rsidRPr="000F3267" w:rsidRDefault="00FC1E3C" w:rsidP="00F47032">
            <w:pPr>
              <w:spacing w:after="0" w:line="240" w:lineRule="auto"/>
              <w:rPr>
                <w:rFonts w:asciiTheme="majorHAnsi" w:hAnsiTheme="majorHAnsi" w:cstheme="majorHAnsi"/>
              </w:rPr>
            </w:pPr>
          </w:p>
          <w:p w14:paraId="0A798A61" w14:textId="4E7A5E83" w:rsidR="00FC1E3C" w:rsidRPr="000F3267" w:rsidRDefault="003B38DB" w:rsidP="006A0E08">
            <w:pPr>
              <w:pStyle w:val="affff3"/>
              <w:numPr>
                <w:ilvl w:val="2"/>
                <w:numId w:val="29"/>
              </w:numPr>
              <w:spacing w:after="0" w:line="240" w:lineRule="auto"/>
              <w:jc w:val="both"/>
              <w:rPr>
                <w:rFonts w:asciiTheme="majorHAnsi" w:hAnsiTheme="majorHAnsi" w:cstheme="majorHAnsi"/>
              </w:rPr>
            </w:pPr>
            <w:r w:rsidRPr="000F3267">
              <w:rPr>
                <w:rFonts w:asciiTheme="majorHAnsi" w:hAnsiTheme="majorHAnsi" w:cstheme="majorHAnsi"/>
              </w:rPr>
              <w:t>IT Programmer for digitalization of the TB drugs forcasting</w:t>
            </w:r>
            <w:r w:rsidR="00FC1E3C" w:rsidRPr="000F3267">
              <w:rPr>
                <w:rFonts w:asciiTheme="majorHAnsi" w:hAnsiTheme="majorHAnsi" w:cstheme="majorHAnsi"/>
              </w:rPr>
              <w:t xml:space="preserve"> as part of the </w:t>
            </w:r>
            <w:r w:rsidR="00D131DD" w:rsidRPr="000F3267">
              <w:rPr>
                <w:rFonts w:asciiTheme="majorHAnsi" w:hAnsiTheme="majorHAnsi" w:cstheme="majorHAnsi"/>
              </w:rPr>
              <w:t>National TB Registry’</w:t>
            </w:r>
            <w:r w:rsidRPr="000F3267">
              <w:rPr>
                <w:rFonts w:asciiTheme="majorHAnsi" w:hAnsiTheme="majorHAnsi" w:cstheme="majorHAnsi"/>
              </w:rPr>
              <w:t xml:space="preserve"> </w:t>
            </w:r>
            <w:r w:rsidR="00FC1E3C" w:rsidRPr="000F3267">
              <w:rPr>
                <w:rFonts w:asciiTheme="majorHAnsi" w:hAnsiTheme="majorHAnsi" w:cstheme="majorHAnsi"/>
              </w:rPr>
              <w:t xml:space="preserve">electronic module </w:t>
            </w:r>
            <w:r w:rsidRPr="000F3267">
              <w:rPr>
                <w:rFonts w:asciiTheme="majorHAnsi" w:hAnsiTheme="majorHAnsi" w:cstheme="majorHAnsi"/>
              </w:rPr>
              <w:t>on drugs</w:t>
            </w:r>
          </w:p>
          <w:p w14:paraId="73BE73FE" w14:textId="77777777" w:rsidR="00FC1E3C" w:rsidRPr="000F3267" w:rsidRDefault="00FC1E3C" w:rsidP="00F47032">
            <w:pPr>
              <w:spacing w:after="0" w:line="240" w:lineRule="auto"/>
              <w:rPr>
                <w:rFonts w:asciiTheme="majorHAnsi" w:hAnsiTheme="majorHAnsi" w:cstheme="majorHAnsi"/>
              </w:rPr>
            </w:pPr>
          </w:p>
          <w:p w14:paraId="6C74BF6C" w14:textId="6BF15A0E" w:rsidR="00FC1E3C" w:rsidRPr="000F3267" w:rsidRDefault="00D131DD" w:rsidP="00F47032">
            <w:pPr>
              <w:spacing w:after="0" w:line="240" w:lineRule="auto"/>
              <w:jc w:val="both"/>
              <w:rPr>
                <w:rFonts w:asciiTheme="majorHAnsi" w:hAnsiTheme="majorHAnsi" w:cstheme="majorHAnsi"/>
              </w:rPr>
            </w:pPr>
            <w:proofErr w:type="gramStart"/>
            <w:r w:rsidRPr="000F3267">
              <w:rPr>
                <w:rFonts w:asciiTheme="majorHAnsi" w:hAnsiTheme="majorHAnsi" w:cstheme="majorHAnsi"/>
              </w:rPr>
              <w:t>In order to</w:t>
            </w:r>
            <w:proofErr w:type="gramEnd"/>
            <w:r w:rsidRPr="000F3267">
              <w:rPr>
                <w:rFonts w:asciiTheme="majorHAnsi" w:hAnsiTheme="majorHAnsi" w:cstheme="majorHAnsi"/>
              </w:rPr>
              <w:t xml:space="preserve"> ensure a holistic approach, quality, and traceability of anti-TB drug needs identification and forecasting, the FG support is requested to hire an IT programmer consultant who will provide technical support to the national TB drug coordination and management team in digitalization of the TB drugs forecasting as part of the NRBT’ electronic module on drugs. The consultant will develop terms of reference (TOR) in collaboration with the national drug</w:t>
            </w:r>
            <w:r w:rsidR="0057204D" w:rsidRPr="000F3267">
              <w:rPr>
                <w:rFonts w:asciiTheme="majorHAnsi" w:hAnsiTheme="majorHAnsi" w:cstheme="majorHAnsi"/>
              </w:rPr>
              <w:t xml:space="preserve"> supply</w:t>
            </w:r>
            <w:r w:rsidRPr="000F3267">
              <w:rPr>
                <w:rFonts w:asciiTheme="majorHAnsi" w:hAnsiTheme="majorHAnsi" w:cstheme="majorHAnsi"/>
              </w:rPr>
              <w:t xml:space="preserve"> managemen</w:t>
            </w:r>
            <w:r w:rsidR="00EE12BA" w:rsidRPr="000F3267">
              <w:rPr>
                <w:rFonts w:asciiTheme="majorHAnsi" w:hAnsiTheme="majorHAnsi" w:cstheme="majorHAnsi"/>
              </w:rPr>
              <w:t>t team for the development of an</w:t>
            </w:r>
            <w:r w:rsidRPr="000F3267">
              <w:rPr>
                <w:rFonts w:asciiTheme="majorHAnsi" w:hAnsiTheme="majorHAnsi" w:cstheme="majorHAnsi"/>
              </w:rPr>
              <w:t xml:space="preserve"> electronic module on TB drugs forecasting</w:t>
            </w:r>
            <w:r w:rsidR="00226F72" w:rsidRPr="000F3267">
              <w:rPr>
                <w:rFonts w:asciiTheme="majorHAnsi" w:hAnsiTheme="majorHAnsi" w:cstheme="majorHAnsi"/>
              </w:rPr>
              <w:t xml:space="preserve"> and formulation of the order, </w:t>
            </w:r>
            <w:r w:rsidRPr="000F3267">
              <w:rPr>
                <w:rFonts w:asciiTheme="majorHAnsi" w:hAnsiTheme="majorHAnsi" w:cstheme="majorHAnsi"/>
              </w:rPr>
              <w:t>procurement planning, based on the architecture of business processes embedded in the QuanTB tool, which will be adjusted and supplemented following the requirements of the national program and regulations adopted by the country on the provision of medicines, procurem</w:t>
            </w:r>
            <w:r w:rsidR="00910D99" w:rsidRPr="000F3267">
              <w:rPr>
                <w:rFonts w:asciiTheme="majorHAnsi" w:hAnsiTheme="majorHAnsi" w:cstheme="majorHAnsi"/>
              </w:rPr>
              <w:t>ent</w:t>
            </w:r>
            <w:r w:rsidR="00226F72" w:rsidRPr="000F3267">
              <w:rPr>
                <w:rFonts w:asciiTheme="majorHAnsi" w:hAnsiTheme="majorHAnsi" w:cstheme="majorHAnsi"/>
              </w:rPr>
              <w:t xml:space="preserve">, and financing. </w:t>
            </w:r>
            <w:r w:rsidR="00E80833" w:rsidRPr="000F3267">
              <w:rPr>
                <w:rFonts w:asciiTheme="majorHAnsi" w:hAnsiTheme="majorHAnsi" w:cstheme="majorHAnsi"/>
              </w:rPr>
              <w:t>Also, t</w:t>
            </w:r>
            <w:r w:rsidR="00FC1E3C" w:rsidRPr="000F3267">
              <w:rPr>
                <w:rFonts w:asciiTheme="majorHAnsi" w:hAnsiTheme="majorHAnsi" w:cstheme="majorHAnsi"/>
              </w:rPr>
              <w:t xml:space="preserve">he consultant will </w:t>
            </w:r>
            <w:r w:rsidR="00226F72" w:rsidRPr="000F3267">
              <w:rPr>
                <w:rFonts w:asciiTheme="majorHAnsi" w:hAnsiTheme="majorHAnsi" w:cstheme="majorHAnsi"/>
              </w:rPr>
              <w:t xml:space="preserve">be responsible for </w:t>
            </w:r>
            <w:r w:rsidR="00E80833" w:rsidRPr="000F3267">
              <w:rPr>
                <w:rFonts w:asciiTheme="majorHAnsi" w:hAnsiTheme="majorHAnsi" w:cstheme="majorHAnsi"/>
              </w:rPr>
              <w:t xml:space="preserve">revision of indicators for the drug </w:t>
            </w:r>
            <w:r w:rsidR="0057204D" w:rsidRPr="000F3267">
              <w:rPr>
                <w:rFonts w:asciiTheme="majorHAnsi" w:hAnsiTheme="majorHAnsi" w:cstheme="majorHAnsi"/>
              </w:rPr>
              <w:t xml:space="preserve">supply </w:t>
            </w:r>
            <w:r w:rsidR="00A87430" w:rsidRPr="000F3267">
              <w:rPr>
                <w:rFonts w:asciiTheme="majorHAnsi" w:hAnsiTheme="majorHAnsi" w:cstheme="majorHAnsi"/>
              </w:rPr>
              <w:t>management,</w:t>
            </w:r>
            <w:r w:rsidR="00E80833" w:rsidRPr="000F3267">
              <w:rPr>
                <w:rFonts w:asciiTheme="majorHAnsi" w:hAnsiTheme="majorHAnsi" w:cstheme="majorHAnsi"/>
              </w:rPr>
              <w:t xml:space="preserve"> </w:t>
            </w:r>
            <w:r w:rsidR="00226F72" w:rsidRPr="000F3267">
              <w:rPr>
                <w:rFonts w:asciiTheme="majorHAnsi" w:hAnsiTheme="majorHAnsi" w:cstheme="majorHAnsi"/>
              </w:rPr>
              <w:t xml:space="preserve">analysis </w:t>
            </w:r>
            <w:r w:rsidR="00FC1E3C" w:rsidRPr="000F3267">
              <w:rPr>
                <w:rFonts w:asciiTheme="majorHAnsi" w:hAnsiTheme="majorHAnsi" w:cstheme="majorHAnsi"/>
              </w:rPr>
              <w:t>and</w:t>
            </w:r>
            <w:r w:rsidR="00226F72" w:rsidRPr="000F3267">
              <w:rPr>
                <w:rFonts w:asciiTheme="majorHAnsi" w:hAnsiTheme="majorHAnsi" w:cstheme="majorHAnsi"/>
              </w:rPr>
              <w:t xml:space="preserve"> forcasting</w:t>
            </w:r>
            <w:r w:rsidR="00FC1E3C" w:rsidRPr="000F3267">
              <w:rPr>
                <w:rFonts w:asciiTheme="majorHAnsi" w:hAnsiTheme="majorHAnsi" w:cstheme="majorHAnsi"/>
              </w:rPr>
              <w:t xml:space="preserve">. The support </w:t>
            </w:r>
            <w:r w:rsidR="00A87430" w:rsidRPr="000F3267">
              <w:rPr>
                <w:rFonts w:asciiTheme="majorHAnsi" w:hAnsiTheme="majorHAnsi" w:cstheme="majorHAnsi"/>
              </w:rPr>
              <w:t>i</w:t>
            </w:r>
            <w:r w:rsidR="00226F72" w:rsidRPr="000F3267">
              <w:rPr>
                <w:rFonts w:asciiTheme="majorHAnsi" w:hAnsiTheme="majorHAnsi" w:cstheme="majorHAnsi"/>
              </w:rPr>
              <w:t xml:space="preserve">s envisaged for the first year of the grant implementation. </w:t>
            </w:r>
          </w:p>
          <w:p w14:paraId="55E07EA8" w14:textId="77777777" w:rsidR="00FC1E3C" w:rsidRPr="000F3267" w:rsidRDefault="00FC1E3C" w:rsidP="00F47032">
            <w:pPr>
              <w:spacing w:after="0" w:line="240" w:lineRule="auto"/>
              <w:rPr>
                <w:rFonts w:asciiTheme="majorHAnsi" w:hAnsiTheme="majorHAnsi" w:cstheme="majorHAnsi"/>
              </w:rPr>
            </w:pPr>
          </w:p>
          <w:p w14:paraId="556E8FF0" w14:textId="1DEF8273" w:rsidR="009029CE" w:rsidRPr="000F3267" w:rsidRDefault="00FC1E3C" w:rsidP="006A0E08">
            <w:pPr>
              <w:pStyle w:val="affff3"/>
              <w:numPr>
                <w:ilvl w:val="2"/>
                <w:numId w:val="29"/>
              </w:numPr>
              <w:spacing w:after="0" w:line="240" w:lineRule="auto"/>
              <w:jc w:val="both"/>
              <w:rPr>
                <w:rFonts w:asciiTheme="majorHAnsi" w:hAnsiTheme="majorHAnsi" w:cstheme="majorHAnsi"/>
              </w:rPr>
            </w:pPr>
            <w:r w:rsidRPr="000F3267">
              <w:rPr>
                <w:rFonts w:asciiTheme="majorHAnsi" w:hAnsiTheme="majorHAnsi" w:cstheme="majorHAnsi"/>
              </w:rPr>
              <w:t>Technical assistance: revision an</w:t>
            </w:r>
            <w:r w:rsidR="009029CE" w:rsidRPr="000F3267">
              <w:rPr>
                <w:rFonts w:asciiTheme="majorHAnsi" w:hAnsiTheme="majorHAnsi" w:cstheme="majorHAnsi"/>
              </w:rPr>
              <w:t xml:space="preserve">d update of the regulation related to </w:t>
            </w:r>
            <w:r w:rsidR="009029CE" w:rsidRPr="000F3267">
              <w:rPr>
                <w:rFonts w:asciiTheme="majorHAnsi" w:eastAsia="Times New Roman" w:hAnsiTheme="majorHAnsi" w:cstheme="majorHAnsi"/>
                <w:bCs/>
              </w:rPr>
              <w:t>active drug safety monitoring</w:t>
            </w:r>
            <w:r w:rsidR="009029CE" w:rsidRPr="000F3267">
              <w:rPr>
                <w:rFonts w:asciiTheme="majorHAnsi" w:eastAsia="Times New Roman" w:hAnsiTheme="majorHAnsi" w:cstheme="majorHAnsi"/>
                <w:shd w:val="clear" w:color="auto" w:fill="FFFFFF"/>
              </w:rPr>
              <w:t> and management</w:t>
            </w:r>
          </w:p>
          <w:p w14:paraId="4839E38C" w14:textId="77777777" w:rsidR="00FC1E3C" w:rsidRPr="000F3267" w:rsidRDefault="00FC1E3C" w:rsidP="00F47032">
            <w:pPr>
              <w:spacing w:after="0" w:line="240" w:lineRule="auto"/>
              <w:jc w:val="both"/>
              <w:rPr>
                <w:rFonts w:asciiTheme="majorHAnsi" w:hAnsiTheme="majorHAnsi" w:cstheme="majorHAnsi"/>
              </w:rPr>
            </w:pPr>
          </w:p>
          <w:p w14:paraId="76709208" w14:textId="5B1529B6" w:rsidR="00850830" w:rsidRPr="000F3267" w:rsidRDefault="00EF0660" w:rsidP="00F47032">
            <w:pPr>
              <w:spacing w:after="0" w:line="240" w:lineRule="auto"/>
              <w:jc w:val="both"/>
              <w:rPr>
                <w:rFonts w:asciiTheme="majorHAnsi" w:hAnsiTheme="majorHAnsi" w:cstheme="majorHAnsi"/>
              </w:rPr>
            </w:pPr>
            <w:proofErr w:type="gramStart"/>
            <w:r w:rsidRPr="000F3267">
              <w:rPr>
                <w:rFonts w:asciiTheme="majorHAnsi" w:hAnsiTheme="majorHAnsi" w:cstheme="majorHAnsi"/>
              </w:rPr>
              <w:t>In order to</w:t>
            </w:r>
            <w:proofErr w:type="gramEnd"/>
            <w:r w:rsidRPr="000F3267">
              <w:rPr>
                <w:rFonts w:asciiTheme="majorHAnsi" w:hAnsiTheme="majorHAnsi" w:cstheme="majorHAnsi"/>
              </w:rPr>
              <w:t xml:space="preserve"> create a holistic frame for </w:t>
            </w:r>
            <w:r w:rsidR="00E93B23" w:rsidRPr="000F3267">
              <w:rPr>
                <w:rFonts w:asciiTheme="majorHAnsi" w:hAnsiTheme="majorHAnsi" w:cstheme="majorHAnsi"/>
              </w:rPr>
              <w:t xml:space="preserve">the </w:t>
            </w:r>
            <w:r w:rsidRPr="000F3267">
              <w:rPr>
                <w:rFonts w:asciiTheme="majorHAnsi" w:hAnsiTheme="majorHAnsi" w:cstheme="majorHAnsi"/>
              </w:rPr>
              <w:t xml:space="preserve">extension of the monitoring of the safety and efficacy of new TB drugs and </w:t>
            </w:r>
            <w:r w:rsidR="00AE4681" w:rsidRPr="000F3267">
              <w:rPr>
                <w:rFonts w:asciiTheme="majorHAnsi" w:hAnsiTheme="majorHAnsi" w:cstheme="majorHAnsi"/>
              </w:rPr>
              <w:t xml:space="preserve">treatment </w:t>
            </w:r>
            <w:r w:rsidRPr="000F3267">
              <w:rPr>
                <w:rFonts w:asciiTheme="majorHAnsi" w:hAnsiTheme="majorHAnsi" w:cstheme="majorHAnsi"/>
              </w:rPr>
              <w:t xml:space="preserve">regimens </w:t>
            </w:r>
            <w:r w:rsidR="00AE4681" w:rsidRPr="000F3267">
              <w:rPr>
                <w:rFonts w:asciiTheme="majorHAnsi" w:hAnsiTheme="majorHAnsi" w:cstheme="majorHAnsi"/>
              </w:rPr>
              <w:t>beyond the operation research conditions</w:t>
            </w:r>
            <w:r w:rsidRPr="000F3267">
              <w:rPr>
                <w:rFonts w:asciiTheme="majorHAnsi" w:hAnsiTheme="majorHAnsi" w:cstheme="majorHAnsi"/>
              </w:rPr>
              <w:t xml:space="preserve">, technical assistance will be provided to the NTP to revise and update the regulatory framework on aDSM and drug </w:t>
            </w:r>
            <w:r w:rsidR="00D4043C" w:rsidRPr="000F3267">
              <w:rPr>
                <w:rFonts w:asciiTheme="majorHAnsi" w:hAnsiTheme="majorHAnsi" w:cstheme="majorHAnsi"/>
              </w:rPr>
              <w:t xml:space="preserve">supply </w:t>
            </w:r>
            <w:r w:rsidRPr="000F3267">
              <w:rPr>
                <w:rFonts w:asciiTheme="majorHAnsi" w:hAnsiTheme="majorHAnsi" w:cstheme="majorHAnsi"/>
              </w:rPr>
              <w:t xml:space="preserve">management. A team formed from an external expert and a local consultant will be financed in </w:t>
            </w:r>
            <w:r w:rsidR="00D10ABF" w:rsidRPr="000F3267">
              <w:rPr>
                <w:rFonts w:asciiTheme="majorHAnsi" w:hAnsiTheme="majorHAnsi" w:cstheme="majorHAnsi"/>
              </w:rPr>
              <w:t>the third year</w:t>
            </w:r>
            <w:r w:rsidRPr="000F3267">
              <w:rPr>
                <w:rFonts w:asciiTheme="majorHAnsi" w:hAnsiTheme="majorHAnsi" w:cstheme="majorHAnsi"/>
              </w:rPr>
              <w:t xml:space="preserve"> </w:t>
            </w:r>
            <w:r w:rsidR="00D10ABF" w:rsidRPr="000F3267">
              <w:rPr>
                <w:rFonts w:asciiTheme="majorHAnsi" w:hAnsiTheme="majorHAnsi" w:cstheme="majorHAnsi"/>
              </w:rPr>
              <w:t>of</w:t>
            </w:r>
            <w:r w:rsidRPr="000F3267">
              <w:rPr>
                <w:rFonts w:asciiTheme="majorHAnsi" w:hAnsiTheme="majorHAnsi" w:cstheme="majorHAnsi"/>
              </w:rPr>
              <w:t xml:space="preserve"> the grant.</w:t>
            </w:r>
          </w:p>
          <w:p w14:paraId="579F3E02" w14:textId="77777777" w:rsidR="00850830" w:rsidRPr="000F3267" w:rsidRDefault="00850830" w:rsidP="00F47032">
            <w:pPr>
              <w:spacing w:after="0" w:line="240" w:lineRule="auto"/>
              <w:rPr>
                <w:rFonts w:asciiTheme="majorHAnsi" w:hAnsiTheme="majorHAnsi" w:cstheme="majorHAnsi"/>
              </w:rPr>
            </w:pPr>
          </w:p>
          <w:p w14:paraId="012D0A6C" w14:textId="045A5C5B" w:rsidR="00850830" w:rsidRPr="000F3267" w:rsidRDefault="00850830" w:rsidP="006A0E08">
            <w:pPr>
              <w:pStyle w:val="affff3"/>
              <w:numPr>
                <w:ilvl w:val="2"/>
                <w:numId w:val="29"/>
              </w:numPr>
              <w:spacing w:after="0" w:line="240" w:lineRule="auto"/>
              <w:rPr>
                <w:rFonts w:asciiTheme="majorHAnsi" w:hAnsiTheme="majorHAnsi" w:cstheme="majorHAnsi"/>
              </w:rPr>
            </w:pPr>
            <w:r w:rsidRPr="000F3267">
              <w:rPr>
                <w:rFonts w:asciiTheme="majorHAnsi" w:hAnsiTheme="majorHAnsi" w:cstheme="majorHAnsi"/>
              </w:rPr>
              <w:t xml:space="preserve">Workshop on anti-TB drugs procurement order development </w:t>
            </w:r>
          </w:p>
          <w:p w14:paraId="55C95C67" w14:textId="77777777" w:rsidR="00850830" w:rsidRPr="000F3267" w:rsidRDefault="00850830" w:rsidP="00F47032">
            <w:pPr>
              <w:spacing w:after="0" w:line="240" w:lineRule="auto"/>
              <w:rPr>
                <w:rFonts w:asciiTheme="majorHAnsi" w:hAnsiTheme="majorHAnsi" w:cstheme="majorHAnsi"/>
              </w:rPr>
            </w:pPr>
          </w:p>
          <w:p w14:paraId="5F41DF30" w14:textId="3F6AFC8C" w:rsidR="00850830" w:rsidRPr="000F3267" w:rsidRDefault="000D5AD8" w:rsidP="00F47032">
            <w:pPr>
              <w:spacing w:after="0" w:line="240" w:lineRule="auto"/>
              <w:jc w:val="both"/>
              <w:rPr>
                <w:rFonts w:asciiTheme="majorHAnsi" w:hAnsiTheme="majorHAnsi" w:cstheme="majorHAnsi"/>
              </w:rPr>
            </w:pPr>
            <w:r w:rsidRPr="000F3267">
              <w:rPr>
                <w:rFonts w:asciiTheme="majorHAnsi" w:hAnsiTheme="majorHAnsi" w:cstheme="majorHAnsi"/>
              </w:rPr>
              <w:t xml:space="preserve">Development of the annual order for procurement of the anti-TB drugs from the state resources requires updates and improvements of the knowledge and skills of the regional </w:t>
            </w:r>
            <w:r w:rsidR="001003B7" w:rsidRPr="000F3267">
              <w:rPr>
                <w:rFonts w:asciiTheme="majorHAnsi" w:hAnsiTheme="majorHAnsi" w:cstheme="majorHAnsi"/>
              </w:rPr>
              <w:t>D</w:t>
            </w:r>
            <w:r w:rsidRPr="000F3267">
              <w:rPr>
                <w:rFonts w:asciiTheme="majorHAnsi" w:hAnsiTheme="majorHAnsi" w:cstheme="majorHAnsi"/>
              </w:rPr>
              <w:t xml:space="preserve">rug </w:t>
            </w:r>
            <w:r w:rsidR="00D4043C" w:rsidRPr="000F3267">
              <w:rPr>
                <w:rFonts w:asciiTheme="majorHAnsi" w:hAnsiTheme="majorHAnsi" w:cstheme="majorHAnsi"/>
              </w:rPr>
              <w:t xml:space="preserve">Supply </w:t>
            </w:r>
            <w:r w:rsidR="001003B7" w:rsidRPr="000F3267">
              <w:rPr>
                <w:rFonts w:asciiTheme="majorHAnsi" w:hAnsiTheme="majorHAnsi" w:cstheme="majorHAnsi"/>
              </w:rPr>
              <w:t>M</w:t>
            </w:r>
            <w:r w:rsidRPr="000F3267">
              <w:rPr>
                <w:rFonts w:asciiTheme="majorHAnsi" w:hAnsiTheme="majorHAnsi" w:cstheme="majorHAnsi"/>
              </w:rPr>
              <w:t xml:space="preserve">anagement </w:t>
            </w:r>
            <w:r w:rsidR="00130CEE" w:rsidRPr="000F3267">
              <w:rPr>
                <w:rFonts w:asciiTheme="majorHAnsi" w:hAnsiTheme="majorHAnsi" w:cstheme="majorHAnsi"/>
              </w:rPr>
              <w:t>Coordinators</w:t>
            </w:r>
            <w:r w:rsidRPr="000F3267">
              <w:rPr>
                <w:rFonts w:asciiTheme="majorHAnsi" w:hAnsiTheme="majorHAnsi" w:cstheme="majorHAnsi"/>
              </w:rPr>
              <w:t xml:space="preserve">. The project will provide support for the organization of the three-days workshops ended with the development and approval of the annual procurement order for anti-TB drugs, with the participation of the representatives from regions, the penitentiary sector, and the central level. As the needs forecasting is </w:t>
            </w:r>
            <w:r w:rsidR="00783960" w:rsidRPr="000F3267">
              <w:rPr>
                <w:rFonts w:asciiTheme="majorHAnsi" w:hAnsiTheme="majorHAnsi" w:cstheme="majorHAnsi"/>
              </w:rPr>
              <w:t xml:space="preserve">the </w:t>
            </w:r>
            <w:r w:rsidRPr="000F3267">
              <w:rPr>
                <w:rFonts w:asciiTheme="majorHAnsi" w:hAnsiTheme="majorHAnsi" w:cstheme="majorHAnsi"/>
              </w:rPr>
              <w:t>teamwork, the first day of the t</w:t>
            </w:r>
            <w:r w:rsidR="00783960" w:rsidRPr="000F3267">
              <w:rPr>
                <w:rFonts w:asciiTheme="majorHAnsi" w:hAnsiTheme="majorHAnsi" w:cstheme="majorHAnsi"/>
              </w:rPr>
              <w:t>raining will be attended by the</w:t>
            </w:r>
            <w:r w:rsidR="00783960" w:rsidRPr="000F3267">
              <w:rPr>
                <w:rFonts w:asciiTheme="majorHAnsi" w:hAnsiTheme="majorHAnsi" w:cstheme="majorHAnsi"/>
                <w:color w:val="0E101A"/>
              </w:rPr>
              <w:t xml:space="preserve"> </w:t>
            </w:r>
            <w:r w:rsidR="00893E56" w:rsidRPr="000F3267">
              <w:rPr>
                <w:rFonts w:asciiTheme="majorHAnsi" w:hAnsiTheme="majorHAnsi" w:cstheme="majorHAnsi"/>
                <w:color w:val="0E101A"/>
              </w:rPr>
              <w:t xml:space="preserve">Central </w:t>
            </w:r>
            <w:r w:rsidR="00783960" w:rsidRPr="000F3267">
              <w:rPr>
                <w:rFonts w:asciiTheme="majorHAnsi" w:hAnsiTheme="majorHAnsi" w:cstheme="majorHAnsi"/>
                <w:color w:val="0E101A"/>
              </w:rPr>
              <w:t>Medical Advisory Committees</w:t>
            </w:r>
            <w:r w:rsidRPr="000F3267">
              <w:rPr>
                <w:rFonts w:asciiTheme="majorHAnsi" w:hAnsiTheme="majorHAnsi" w:cstheme="majorHAnsi"/>
              </w:rPr>
              <w:t xml:space="preserve"> and M&amp;E </w:t>
            </w:r>
            <w:r w:rsidR="00893E56" w:rsidRPr="000F3267">
              <w:rPr>
                <w:rFonts w:asciiTheme="majorHAnsi" w:hAnsiTheme="majorHAnsi" w:cstheme="majorHAnsi"/>
              </w:rPr>
              <w:t>t</w:t>
            </w:r>
            <w:r w:rsidR="00783960" w:rsidRPr="000F3267">
              <w:rPr>
                <w:rFonts w:asciiTheme="majorHAnsi" w:hAnsiTheme="majorHAnsi" w:cstheme="majorHAnsi"/>
              </w:rPr>
              <w:t>eams</w:t>
            </w:r>
            <w:r w:rsidRPr="000F3267">
              <w:rPr>
                <w:rFonts w:asciiTheme="majorHAnsi" w:hAnsiTheme="majorHAnsi" w:cstheme="majorHAnsi"/>
              </w:rPr>
              <w:t xml:space="preserve"> </w:t>
            </w:r>
            <w:r w:rsidR="00893E56" w:rsidRPr="000F3267">
              <w:rPr>
                <w:rFonts w:asciiTheme="majorHAnsi" w:hAnsiTheme="majorHAnsi" w:cstheme="majorHAnsi"/>
              </w:rPr>
              <w:t xml:space="preserve">from regions </w:t>
            </w:r>
            <w:r w:rsidRPr="000F3267">
              <w:rPr>
                <w:rFonts w:asciiTheme="majorHAnsi" w:hAnsiTheme="majorHAnsi" w:cstheme="majorHAnsi"/>
              </w:rPr>
              <w:t xml:space="preserve">to </w:t>
            </w:r>
            <w:r w:rsidR="00893E56" w:rsidRPr="000F3267">
              <w:rPr>
                <w:rFonts w:asciiTheme="majorHAnsi" w:hAnsiTheme="majorHAnsi" w:cstheme="majorHAnsi"/>
              </w:rPr>
              <w:t>agree on all</w:t>
            </w:r>
            <w:r w:rsidRPr="000F3267">
              <w:rPr>
                <w:rFonts w:asciiTheme="majorHAnsi" w:hAnsiTheme="majorHAnsi" w:cstheme="majorHAnsi"/>
              </w:rPr>
              <w:t xml:space="preserve"> </w:t>
            </w:r>
            <w:r w:rsidR="00893E56" w:rsidRPr="000F3267">
              <w:rPr>
                <w:rFonts w:asciiTheme="majorHAnsi" w:hAnsiTheme="majorHAnsi" w:cstheme="majorHAnsi"/>
              </w:rPr>
              <w:t xml:space="preserve">indicators, make </w:t>
            </w:r>
            <w:r w:rsidRPr="000F3267">
              <w:rPr>
                <w:rFonts w:asciiTheme="majorHAnsi" w:hAnsiTheme="majorHAnsi" w:cstheme="majorHAnsi"/>
              </w:rPr>
              <w:t>TB medicines</w:t>
            </w:r>
            <w:r w:rsidR="00893E56" w:rsidRPr="000F3267">
              <w:rPr>
                <w:rFonts w:asciiTheme="majorHAnsi" w:hAnsiTheme="majorHAnsi" w:cstheme="majorHAnsi"/>
              </w:rPr>
              <w:t xml:space="preserve"> forecasting</w:t>
            </w:r>
            <w:r w:rsidRPr="000F3267">
              <w:rPr>
                <w:rFonts w:asciiTheme="majorHAnsi" w:hAnsiTheme="majorHAnsi" w:cstheme="majorHAnsi"/>
              </w:rPr>
              <w:t xml:space="preserve"> </w:t>
            </w:r>
            <w:r w:rsidR="00893E56" w:rsidRPr="000F3267">
              <w:rPr>
                <w:rFonts w:asciiTheme="majorHAnsi" w:hAnsiTheme="majorHAnsi" w:cstheme="majorHAnsi"/>
              </w:rPr>
              <w:t>and develop</w:t>
            </w:r>
            <w:r w:rsidR="00783960" w:rsidRPr="000F3267">
              <w:rPr>
                <w:rFonts w:asciiTheme="majorHAnsi" w:hAnsiTheme="majorHAnsi" w:cstheme="majorHAnsi"/>
              </w:rPr>
              <w:t xml:space="preserve"> </w:t>
            </w:r>
            <w:r w:rsidR="007232FF" w:rsidRPr="000F3267">
              <w:rPr>
                <w:rFonts w:asciiTheme="majorHAnsi" w:hAnsiTheme="majorHAnsi" w:cstheme="majorHAnsi"/>
              </w:rPr>
              <w:t xml:space="preserve">annual </w:t>
            </w:r>
            <w:r w:rsidR="00893E56" w:rsidRPr="000F3267">
              <w:rPr>
                <w:rFonts w:asciiTheme="majorHAnsi" w:hAnsiTheme="majorHAnsi" w:cstheme="majorHAnsi"/>
              </w:rPr>
              <w:t xml:space="preserve">regional </w:t>
            </w:r>
            <w:r w:rsidR="007232FF" w:rsidRPr="000F3267">
              <w:rPr>
                <w:rFonts w:asciiTheme="majorHAnsi" w:hAnsiTheme="majorHAnsi" w:cstheme="majorHAnsi"/>
              </w:rPr>
              <w:t>order</w:t>
            </w:r>
            <w:r w:rsidR="00893E56" w:rsidRPr="000F3267">
              <w:rPr>
                <w:rFonts w:asciiTheme="majorHAnsi" w:hAnsiTheme="majorHAnsi" w:cstheme="majorHAnsi"/>
              </w:rPr>
              <w:t>s</w:t>
            </w:r>
            <w:r w:rsidR="007232FF" w:rsidRPr="000F3267">
              <w:rPr>
                <w:rFonts w:asciiTheme="majorHAnsi" w:hAnsiTheme="majorHAnsi" w:cstheme="majorHAnsi"/>
              </w:rPr>
              <w:t xml:space="preserve">. </w:t>
            </w:r>
            <w:r w:rsidRPr="000F3267">
              <w:rPr>
                <w:rFonts w:asciiTheme="majorHAnsi" w:hAnsiTheme="majorHAnsi" w:cstheme="majorHAnsi"/>
              </w:rPr>
              <w:t xml:space="preserve">During </w:t>
            </w:r>
            <w:r w:rsidR="00893E56" w:rsidRPr="000F3267">
              <w:rPr>
                <w:rFonts w:asciiTheme="majorHAnsi" w:hAnsiTheme="majorHAnsi" w:cstheme="majorHAnsi"/>
              </w:rPr>
              <w:t xml:space="preserve">the secong and third days, the regional Drug </w:t>
            </w:r>
            <w:r w:rsidR="00D4043C" w:rsidRPr="000F3267">
              <w:rPr>
                <w:rFonts w:asciiTheme="majorHAnsi" w:hAnsiTheme="majorHAnsi" w:cstheme="majorHAnsi"/>
              </w:rPr>
              <w:t xml:space="preserve">Supply </w:t>
            </w:r>
            <w:r w:rsidR="00893E56" w:rsidRPr="000F3267">
              <w:rPr>
                <w:rFonts w:asciiTheme="majorHAnsi" w:hAnsiTheme="majorHAnsi" w:cstheme="majorHAnsi"/>
              </w:rPr>
              <w:t>Management C</w:t>
            </w:r>
            <w:r w:rsidRPr="000F3267">
              <w:rPr>
                <w:rFonts w:asciiTheme="majorHAnsi" w:hAnsiTheme="majorHAnsi" w:cstheme="majorHAnsi"/>
              </w:rPr>
              <w:t xml:space="preserve">oordinators and </w:t>
            </w:r>
            <w:r w:rsidR="00893E56" w:rsidRPr="000F3267">
              <w:rPr>
                <w:rFonts w:asciiTheme="majorHAnsi" w:hAnsiTheme="majorHAnsi" w:cstheme="majorHAnsi"/>
              </w:rPr>
              <w:t xml:space="preserve">the </w:t>
            </w:r>
            <w:r w:rsidR="001003B7" w:rsidRPr="000F3267">
              <w:rPr>
                <w:rFonts w:asciiTheme="majorHAnsi" w:hAnsiTheme="majorHAnsi" w:cstheme="majorHAnsi"/>
              </w:rPr>
              <w:t xml:space="preserve">representatives of the </w:t>
            </w:r>
            <w:r w:rsidRPr="000F3267">
              <w:rPr>
                <w:rFonts w:asciiTheme="majorHAnsi" w:hAnsiTheme="majorHAnsi" w:cstheme="majorHAnsi"/>
              </w:rPr>
              <w:t xml:space="preserve">NTP </w:t>
            </w:r>
            <w:r w:rsidR="001003B7" w:rsidRPr="000F3267">
              <w:rPr>
                <w:rFonts w:asciiTheme="majorHAnsi" w:hAnsiTheme="majorHAnsi" w:cstheme="majorHAnsi"/>
              </w:rPr>
              <w:t xml:space="preserve">at the </w:t>
            </w:r>
            <w:r w:rsidRPr="000F3267">
              <w:rPr>
                <w:rFonts w:asciiTheme="majorHAnsi" w:hAnsiTheme="majorHAnsi" w:cstheme="majorHAnsi"/>
              </w:rPr>
              <w:t xml:space="preserve">central </w:t>
            </w:r>
            <w:r w:rsidR="001003B7" w:rsidRPr="000F3267">
              <w:rPr>
                <w:rFonts w:asciiTheme="majorHAnsi" w:hAnsiTheme="majorHAnsi" w:cstheme="majorHAnsi"/>
              </w:rPr>
              <w:t>level</w:t>
            </w:r>
            <w:r w:rsidRPr="000F3267">
              <w:rPr>
                <w:rFonts w:asciiTheme="majorHAnsi" w:hAnsiTheme="majorHAnsi" w:cstheme="majorHAnsi"/>
              </w:rPr>
              <w:t xml:space="preserve"> will attend the event. On the third day of the workshop, each region will prove their forecasts for annual TB medicines order that the central level should coordinate further</w:t>
            </w:r>
            <w:r w:rsidR="001003B7" w:rsidRPr="000F3267">
              <w:rPr>
                <w:rFonts w:asciiTheme="majorHAnsi" w:hAnsiTheme="majorHAnsi" w:cstheme="majorHAnsi"/>
              </w:rPr>
              <w:t xml:space="preserve"> with the </w:t>
            </w:r>
            <w:r w:rsidR="00002300" w:rsidRPr="000F3267">
              <w:rPr>
                <w:rFonts w:asciiTheme="majorHAnsi" w:hAnsiTheme="majorHAnsi" w:cstheme="majorHAnsi"/>
              </w:rPr>
              <w:t>social health insurance fund</w:t>
            </w:r>
            <w:r w:rsidRPr="000F3267">
              <w:rPr>
                <w:rFonts w:asciiTheme="majorHAnsi" w:hAnsiTheme="majorHAnsi" w:cstheme="majorHAnsi"/>
              </w:rPr>
              <w:t>.  The workshop will be conducted at the NSCP level; three such events will be organized during the grant period.</w:t>
            </w:r>
          </w:p>
          <w:p w14:paraId="38768C83" w14:textId="77777777" w:rsidR="000D5AD8" w:rsidRPr="000F3267" w:rsidRDefault="000D5AD8" w:rsidP="00F47032">
            <w:pPr>
              <w:spacing w:after="0" w:line="240" w:lineRule="auto"/>
              <w:rPr>
                <w:rFonts w:asciiTheme="majorHAnsi" w:hAnsiTheme="majorHAnsi" w:cstheme="majorHAnsi"/>
              </w:rPr>
            </w:pPr>
          </w:p>
          <w:p w14:paraId="7D1C1DA2" w14:textId="5648171C" w:rsidR="00850830" w:rsidRPr="000F3267" w:rsidRDefault="00850830" w:rsidP="006A0E08">
            <w:pPr>
              <w:pStyle w:val="affff3"/>
              <w:numPr>
                <w:ilvl w:val="2"/>
                <w:numId w:val="29"/>
              </w:numPr>
              <w:spacing w:after="0" w:line="240" w:lineRule="auto"/>
              <w:jc w:val="both"/>
              <w:rPr>
                <w:rFonts w:asciiTheme="majorHAnsi" w:hAnsiTheme="majorHAnsi" w:cstheme="majorHAnsi"/>
              </w:rPr>
            </w:pPr>
            <w:r w:rsidRPr="000F3267">
              <w:rPr>
                <w:rFonts w:asciiTheme="majorHAnsi" w:hAnsiTheme="majorHAnsi" w:cstheme="majorHAnsi"/>
              </w:rPr>
              <w:t xml:space="preserve">Support to </w:t>
            </w:r>
            <w:r w:rsidR="00F8742E" w:rsidRPr="000F3267">
              <w:rPr>
                <w:rFonts w:asciiTheme="majorHAnsi" w:hAnsiTheme="majorHAnsi" w:cstheme="majorHAnsi"/>
              </w:rPr>
              <w:t xml:space="preserve">the </w:t>
            </w:r>
            <w:r w:rsidRPr="000F3267">
              <w:rPr>
                <w:rFonts w:asciiTheme="majorHAnsi" w:hAnsiTheme="majorHAnsi" w:cstheme="majorHAnsi"/>
              </w:rPr>
              <w:t>Center for Clinical Mentoring and Advanced Training</w:t>
            </w:r>
          </w:p>
          <w:p w14:paraId="3AA9D0F4" w14:textId="77777777" w:rsidR="00850830" w:rsidRPr="000F3267" w:rsidRDefault="00850830" w:rsidP="00F47032">
            <w:pPr>
              <w:pStyle w:val="affff3"/>
              <w:spacing w:after="0" w:line="240" w:lineRule="auto"/>
              <w:jc w:val="both"/>
              <w:rPr>
                <w:rFonts w:asciiTheme="majorHAnsi" w:hAnsiTheme="majorHAnsi" w:cstheme="majorHAnsi"/>
              </w:rPr>
            </w:pPr>
          </w:p>
          <w:p w14:paraId="6F85146C" w14:textId="07E702E5" w:rsidR="00850830" w:rsidRPr="000F3267" w:rsidRDefault="00676987" w:rsidP="00F47032">
            <w:pPr>
              <w:spacing w:after="0" w:line="240" w:lineRule="auto"/>
              <w:jc w:val="both"/>
              <w:rPr>
                <w:rFonts w:asciiTheme="majorHAnsi" w:hAnsiTheme="majorHAnsi" w:cstheme="majorHAnsi"/>
              </w:rPr>
            </w:pPr>
            <w:r w:rsidRPr="000F3267">
              <w:rPr>
                <w:rFonts w:asciiTheme="majorHAnsi" w:hAnsiTheme="majorHAnsi" w:cstheme="majorHAnsi"/>
              </w:rPr>
              <w:t>The project sources are requested to continue supporting the Center for Clinical Mentoring and Advanced Training (CFCMAT) at the NSCP initiated during the current grant. The CFCMC is engaged in providing distance learning education in TB and lung diseases</w:t>
            </w:r>
            <w:r w:rsidR="001E64B0" w:rsidRPr="000F3267">
              <w:rPr>
                <w:rFonts w:asciiTheme="majorHAnsi" w:hAnsiTheme="majorHAnsi" w:cstheme="majorHAnsi"/>
              </w:rPr>
              <w:t>’</w:t>
            </w:r>
            <w:r w:rsidRPr="000F3267">
              <w:rPr>
                <w:rFonts w:asciiTheme="majorHAnsi" w:hAnsiTheme="majorHAnsi" w:cstheme="majorHAnsi"/>
              </w:rPr>
              <w:t xml:space="preserve"> clinical management for different categories of medical providers, including postgraduate students, </w:t>
            </w:r>
            <w:r w:rsidR="001E64B0" w:rsidRPr="000F3267">
              <w:rPr>
                <w:rFonts w:asciiTheme="majorHAnsi" w:hAnsiTheme="majorHAnsi" w:cstheme="majorHAnsi"/>
              </w:rPr>
              <w:t xml:space="preserve">in </w:t>
            </w:r>
            <w:r w:rsidRPr="000F3267">
              <w:rPr>
                <w:rFonts w:asciiTheme="majorHAnsi" w:hAnsiTheme="majorHAnsi" w:cstheme="majorHAnsi"/>
              </w:rPr>
              <w:t xml:space="preserve">conducting zoom webinars, meetings, and the </w:t>
            </w:r>
            <w:r w:rsidR="00130CEE" w:rsidRPr="000F3267">
              <w:rPr>
                <w:rFonts w:asciiTheme="majorHAnsi" w:hAnsiTheme="majorHAnsi" w:cstheme="majorHAnsi"/>
              </w:rPr>
              <w:t>RR/MDR</w:t>
            </w:r>
            <w:r w:rsidRPr="000F3267">
              <w:rPr>
                <w:rFonts w:asciiTheme="majorHAnsi" w:hAnsiTheme="majorHAnsi" w:cstheme="majorHAnsi"/>
              </w:rPr>
              <w:t xml:space="preserve">-TB Consilium sessions. </w:t>
            </w:r>
            <w:r w:rsidR="000B2681" w:rsidRPr="000F3267">
              <w:rPr>
                <w:rFonts w:asciiTheme="majorHAnsi" w:hAnsiTheme="majorHAnsi" w:cstheme="majorHAnsi"/>
              </w:rPr>
              <w:t>The grant will finance the CFCMAT' activities, including wages of consultants (Coordinator, IT Specialist, Accountant), development of the new eLearning modules, and translation of the main</w:t>
            </w:r>
            <w:r w:rsidR="001E64B0" w:rsidRPr="000F3267">
              <w:rPr>
                <w:rFonts w:asciiTheme="majorHAnsi" w:hAnsiTheme="majorHAnsi" w:cstheme="majorHAnsi"/>
              </w:rPr>
              <w:t xml:space="preserve"> modules prepared in the current</w:t>
            </w:r>
            <w:r w:rsidR="000B2681" w:rsidRPr="000F3267">
              <w:rPr>
                <w:rFonts w:asciiTheme="majorHAnsi" w:hAnsiTheme="majorHAnsi" w:cstheme="majorHAnsi"/>
              </w:rPr>
              <w:t xml:space="preserve"> grant from Russian into the Kazakh language. Furthermore, the online training of the 650 ToT students will be conducted, who will promote and implement the e-learning concept at the regional level, the participation of the Medical MDR-TB Consilium referents in the external training. Also, the funds are allocated for the maintenance of the e-learning platform </w:t>
            </w:r>
            <w:r w:rsidR="001E64B0" w:rsidRPr="000F3267">
              <w:rPr>
                <w:rFonts w:asciiTheme="majorHAnsi" w:hAnsiTheme="majorHAnsi" w:cstheme="majorHAnsi"/>
              </w:rPr>
              <w:t>for</w:t>
            </w:r>
            <w:r w:rsidR="000B2681" w:rsidRPr="000F3267">
              <w:rPr>
                <w:rFonts w:asciiTheme="majorHAnsi" w:hAnsiTheme="majorHAnsi" w:cstheme="majorHAnsi"/>
              </w:rPr>
              <w:t xml:space="preserve"> the entire grant period. </w:t>
            </w:r>
          </w:p>
          <w:p w14:paraId="139A96EB" w14:textId="77777777" w:rsidR="000B2681" w:rsidRPr="000F3267" w:rsidRDefault="000B2681" w:rsidP="00F47032">
            <w:pPr>
              <w:spacing w:after="0" w:line="240" w:lineRule="auto"/>
              <w:jc w:val="both"/>
              <w:rPr>
                <w:rFonts w:asciiTheme="majorHAnsi" w:hAnsiTheme="majorHAnsi" w:cstheme="majorHAnsi"/>
              </w:rPr>
            </w:pPr>
          </w:p>
          <w:p w14:paraId="5F6D6832" w14:textId="504434D3" w:rsidR="00850830" w:rsidRPr="000F3267" w:rsidRDefault="00850830" w:rsidP="006A0E08">
            <w:pPr>
              <w:pStyle w:val="affff3"/>
              <w:numPr>
                <w:ilvl w:val="2"/>
                <w:numId w:val="29"/>
              </w:numPr>
              <w:spacing w:after="0" w:line="240" w:lineRule="auto"/>
              <w:jc w:val="both"/>
              <w:rPr>
                <w:rFonts w:asciiTheme="majorHAnsi" w:hAnsiTheme="majorHAnsi" w:cstheme="majorHAnsi"/>
              </w:rPr>
            </w:pPr>
            <w:r w:rsidRPr="000F3267">
              <w:rPr>
                <w:rFonts w:asciiTheme="majorHAnsi" w:hAnsiTheme="majorHAnsi" w:cstheme="majorHAnsi"/>
              </w:rPr>
              <w:t>Capacity building of the labor</w:t>
            </w:r>
            <w:r w:rsidR="000B2681" w:rsidRPr="000F3267">
              <w:rPr>
                <w:rFonts w:asciiTheme="majorHAnsi" w:hAnsiTheme="majorHAnsi" w:cstheme="majorHAnsi"/>
              </w:rPr>
              <w:t>atory staff</w:t>
            </w:r>
            <w:r w:rsidR="00381810" w:rsidRPr="000F3267">
              <w:rPr>
                <w:rFonts w:asciiTheme="majorHAnsi" w:hAnsiTheme="majorHAnsi" w:cstheme="majorHAnsi"/>
              </w:rPr>
              <w:t xml:space="preserve"> envolved</w:t>
            </w:r>
            <w:r w:rsidR="000B2681" w:rsidRPr="000F3267">
              <w:rPr>
                <w:rFonts w:asciiTheme="majorHAnsi" w:hAnsiTheme="majorHAnsi" w:cstheme="majorHAnsi"/>
              </w:rPr>
              <w:t xml:space="preserve"> in bacteriological diagnosis of tuberculosis </w:t>
            </w:r>
          </w:p>
          <w:p w14:paraId="591D2ECD" w14:textId="77777777" w:rsidR="005A3F89" w:rsidRPr="000F3267" w:rsidRDefault="005A3F89" w:rsidP="00F47032">
            <w:pPr>
              <w:spacing w:after="0" w:line="240" w:lineRule="auto"/>
              <w:jc w:val="both"/>
              <w:rPr>
                <w:rFonts w:asciiTheme="majorHAnsi" w:hAnsiTheme="majorHAnsi" w:cstheme="majorHAnsi"/>
              </w:rPr>
            </w:pPr>
          </w:p>
          <w:p w14:paraId="1A5F6845" w14:textId="76FE4B58" w:rsidR="00850830" w:rsidRPr="000F3267" w:rsidRDefault="005A3F89" w:rsidP="00F47032">
            <w:pPr>
              <w:spacing w:after="0" w:line="240" w:lineRule="auto"/>
              <w:jc w:val="both"/>
              <w:rPr>
                <w:rFonts w:asciiTheme="majorHAnsi" w:hAnsiTheme="majorHAnsi" w:cstheme="majorHAnsi"/>
              </w:rPr>
            </w:pPr>
            <w:r w:rsidRPr="000F3267">
              <w:rPr>
                <w:rFonts w:asciiTheme="majorHAnsi" w:hAnsiTheme="majorHAnsi" w:cstheme="majorHAnsi"/>
              </w:rPr>
              <w:t xml:space="preserve">To ensure appropriate management and activity of the TB bacteriological laboratories </w:t>
            </w:r>
            <w:r w:rsidR="00C725DF" w:rsidRPr="000F3267">
              <w:rPr>
                <w:rFonts w:asciiTheme="majorHAnsi" w:hAnsiTheme="majorHAnsi" w:cstheme="majorHAnsi"/>
              </w:rPr>
              <w:t>following</w:t>
            </w:r>
            <w:r w:rsidRPr="000F3267">
              <w:rPr>
                <w:rFonts w:asciiTheme="majorHAnsi" w:hAnsiTheme="majorHAnsi" w:cstheme="majorHAnsi"/>
              </w:rPr>
              <w:t xml:space="preserve"> </w:t>
            </w:r>
            <w:r w:rsidR="00C725DF" w:rsidRPr="000F3267">
              <w:rPr>
                <w:rFonts w:asciiTheme="majorHAnsi" w:hAnsiTheme="majorHAnsi" w:cstheme="majorHAnsi"/>
              </w:rPr>
              <w:t xml:space="preserve">the revisited </w:t>
            </w:r>
            <w:r w:rsidRPr="000F3267">
              <w:rPr>
                <w:rFonts w:asciiTheme="majorHAnsi" w:hAnsiTheme="majorHAnsi" w:cstheme="majorHAnsi"/>
              </w:rPr>
              <w:t>DS</w:t>
            </w:r>
            <w:r w:rsidR="00C725DF" w:rsidRPr="000F3267">
              <w:rPr>
                <w:rFonts w:asciiTheme="majorHAnsi" w:hAnsiTheme="majorHAnsi" w:cstheme="majorHAnsi"/>
              </w:rPr>
              <w:t>/DR-TB guides</w:t>
            </w:r>
            <w:r w:rsidRPr="000F3267">
              <w:rPr>
                <w:rFonts w:asciiTheme="majorHAnsi" w:hAnsiTheme="majorHAnsi" w:cstheme="majorHAnsi"/>
              </w:rPr>
              <w:t xml:space="preserve">, </w:t>
            </w:r>
            <w:r w:rsidR="00C725DF" w:rsidRPr="000F3267">
              <w:rPr>
                <w:rFonts w:asciiTheme="majorHAnsi" w:hAnsiTheme="majorHAnsi" w:cstheme="majorHAnsi"/>
              </w:rPr>
              <w:t xml:space="preserve">and </w:t>
            </w:r>
            <w:r w:rsidRPr="000F3267">
              <w:rPr>
                <w:rFonts w:asciiTheme="majorHAnsi" w:hAnsiTheme="majorHAnsi" w:cstheme="majorHAnsi"/>
              </w:rPr>
              <w:t xml:space="preserve">implementation of the new recommended </w:t>
            </w:r>
            <w:r w:rsidR="00C725DF" w:rsidRPr="000F3267">
              <w:rPr>
                <w:rFonts w:asciiTheme="majorHAnsi" w:hAnsiTheme="majorHAnsi" w:cstheme="majorHAnsi"/>
              </w:rPr>
              <w:t>technologies;</w:t>
            </w:r>
            <w:r w:rsidRPr="000F3267">
              <w:rPr>
                <w:rFonts w:asciiTheme="majorHAnsi" w:hAnsiTheme="majorHAnsi" w:cstheme="majorHAnsi"/>
              </w:rPr>
              <w:t xml:space="preserve"> the project will support the organ</w:t>
            </w:r>
            <w:r w:rsidR="00C725DF" w:rsidRPr="000F3267">
              <w:rPr>
                <w:rFonts w:asciiTheme="majorHAnsi" w:hAnsiTheme="majorHAnsi" w:cstheme="majorHAnsi"/>
              </w:rPr>
              <w:t xml:space="preserve">ization of training courses for the </w:t>
            </w:r>
            <w:r w:rsidRPr="000F3267">
              <w:rPr>
                <w:rFonts w:asciiTheme="majorHAnsi" w:hAnsiTheme="majorHAnsi" w:cstheme="majorHAnsi"/>
              </w:rPr>
              <w:t>laboratory staff, including those from the pe</w:t>
            </w:r>
            <w:r w:rsidR="001E648F" w:rsidRPr="000F3267">
              <w:rPr>
                <w:rFonts w:asciiTheme="majorHAnsi" w:hAnsiTheme="majorHAnsi" w:cstheme="majorHAnsi"/>
              </w:rPr>
              <w:t>ni</w:t>
            </w:r>
            <w:r w:rsidR="007B7DC7">
              <w:rPr>
                <w:rFonts w:asciiTheme="majorHAnsi" w:hAnsiTheme="majorHAnsi" w:cstheme="majorHAnsi"/>
              </w:rPr>
              <w:t>tentiary sector. In total, five</w:t>
            </w:r>
            <w:r w:rsidRPr="000F3267">
              <w:rPr>
                <w:rFonts w:asciiTheme="majorHAnsi" w:hAnsiTheme="majorHAnsi" w:cstheme="majorHAnsi"/>
              </w:rPr>
              <w:t xml:space="preserve"> courses </w:t>
            </w:r>
            <w:r w:rsidR="00C725DF" w:rsidRPr="000F3267">
              <w:rPr>
                <w:rFonts w:asciiTheme="majorHAnsi" w:hAnsiTheme="majorHAnsi" w:cstheme="majorHAnsi"/>
              </w:rPr>
              <w:t>are planned</w:t>
            </w:r>
            <w:r w:rsidRPr="000F3267">
              <w:rPr>
                <w:rFonts w:asciiTheme="majorHAnsi" w:hAnsiTheme="majorHAnsi" w:cstheme="majorHAnsi"/>
              </w:rPr>
              <w:t xml:space="preserve"> during the</w:t>
            </w:r>
            <w:r w:rsidR="0049046A" w:rsidRPr="000F3267">
              <w:rPr>
                <w:rFonts w:asciiTheme="majorHAnsi" w:hAnsiTheme="majorHAnsi" w:cstheme="majorHAnsi"/>
              </w:rPr>
              <w:t xml:space="preserve"> entire</w:t>
            </w:r>
            <w:r w:rsidRPr="000F3267">
              <w:rPr>
                <w:rFonts w:asciiTheme="majorHAnsi" w:hAnsiTheme="majorHAnsi" w:cstheme="majorHAnsi"/>
              </w:rPr>
              <w:t xml:space="preserve"> </w:t>
            </w:r>
            <w:r w:rsidR="0049046A" w:rsidRPr="000F3267">
              <w:rPr>
                <w:rFonts w:asciiTheme="majorHAnsi" w:hAnsiTheme="majorHAnsi" w:cstheme="majorHAnsi"/>
              </w:rPr>
              <w:t xml:space="preserve">grant implementation period. </w:t>
            </w:r>
          </w:p>
          <w:p w14:paraId="49EA6F08" w14:textId="77777777" w:rsidR="005A3F89" w:rsidRPr="000F3267" w:rsidRDefault="005A3F89" w:rsidP="00F47032">
            <w:pPr>
              <w:spacing w:after="0" w:line="240" w:lineRule="auto"/>
              <w:jc w:val="both"/>
              <w:rPr>
                <w:rFonts w:asciiTheme="majorHAnsi" w:hAnsiTheme="majorHAnsi" w:cstheme="majorHAnsi"/>
              </w:rPr>
            </w:pPr>
          </w:p>
          <w:p w14:paraId="592FD2FE" w14:textId="02DA1E2B" w:rsidR="00850830" w:rsidRPr="000F3267" w:rsidRDefault="00850830" w:rsidP="006A0E08">
            <w:pPr>
              <w:pStyle w:val="affff3"/>
              <w:numPr>
                <w:ilvl w:val="2"/>
                <w:numId w:val="29"/>
              </w:numPr>
              <w:spacing w:after="0" w:line="240" w:lineRule="auto"/>
              <w:jc w:val="both"/>
              <w:rPr>
                <w:rFonts w:asciiTheme="majorHAnsi" w:hAnsiTheme="majorHAnsi" w:cstheme="majorHAnsi"/>
              </w:rPr>
            </w:pPr>
            <w:r w:rsidRPr="000F3267">
              <w:rPr>
                <w:rFonts w:asciiTheme="majorHAnsi" w:hAnsiTheme="majorHAnsi" w:cstheme="majorHAnsi"/>
              </w:rPr>
              <w:t>Capacity building in DS</w:t>
            </w:r>
            <w:r w:rsidR="00C725DF" w:rsidRPr="000F3267">
              <w:rPr>
                <w:rFonts w:asciiTheme="majorHAnsi" w:hAnsiTheme="majorHAnsi" w:cstheme="majorHAnsi"/>
              </w:rPr>
              <w:t xml:space="preserve">/DR tuberculosis </w:t>
            </w:r>
            <w:r w:rsidRPr="000F3267">
              <w:rPr>
                <w:rFonts w:asciiTheme="majorHAnsi" w:hAnsiTheme="majorHAnsi" w:cstheme="majorHAnsi"/>
              </w:rPr>
              <w:t>management</w:t>
            </w:r>
          </w:p>
          <w:p w14:paraId="1ABE2F65" w14:textId="77777777" w:rsidR="00850830" w:rsidRPr="000F3267" w:rsidRDefault="00850830" w:rsidP="00F47032">
            <w:pPr>
              <w:spacing w:after="0" w:line="240" w:lineRule="auto"/>
              <w:jc w:val="both"/>
              <w:rPr>
                <w:rFonts w:asciiTheme="majorHAnsi" w:hAnsiTheme="majorHAnsi" w:cstheme="majorHAnsi"/>
              </w:rPr>
            </w:pPr>
          </w:p>
          <w:p w14:paraId="10F3D189" w14:textId="7BDFDA0E" w:rsidR="00850830" w:rsidRPr="000F3267" w:rsidRDefault="000703EF" w:rsidP="00F47032">
            <w:pPr>
              <w:spacing w:after="0" w:line="240" w:lineRule="auto"/>
              <w:jc w:val="both"/>
              <w:rPr>
                <w:rFonts w:asciiTheme="majorHAnsi" w:hAnsiTheme="majorHAnsi" w:cstheme="majorHAnsi"/>
              </w:rPr>
            </w:pPr>
            <w:proofErr w:type="gramStart"/>
            <w:r w:rsidRPr="000F3267">
              <w:rPr>
                <w:rFonts w:asciiTheme="majorHAnsi" w:hAnsiTheme="majorHAnsi" w:cstheme="majorHAnsi"/>
              </w:rPr>
              <w:t>In order to</w:t>
            </w:r>
            <w:proofErr w:type="gramEnd"/>
            <w:r w:rsidRPr="000F3267">
              <w:rPr>
                <w:rFonts w:asciiTheme="majorHAnsi" w:hAnsiTheme="majorHAnsi" w:cstheme="majorHAnsi"/>
              </w:rPr>
              <w:t xml:space="preserve"> ensure appropriate management support to the implementation of revised DS/DR-TB guides, the project will provide support to the organization of training courses for the health care managers of TB Centers, the general practices, and health administrators from the penitentiary system. Training sessions will be conducted at </w:t>
            </w:r>
            <w:r w:rsidR="0049046A" w:rsidRPr="000F3267">
              <w:rPr>
                <w:rFonts w:asciiTheme="majorHAnsi" w:hAnsiTheme="majorHAnsi" w:cstheme="majorHAnsi"/>
              </w:rPr>
              <w:t>th</w:t>
            </w:r>
            <w:r w:rsidR="006F32C4">
              <w:rPr>
                <w:rFonts w:asciiTheme="majorHAnsi" w:hAnsiTheme="majorHAnsi" w:cstheme="majorHAnsi"/>
              </w:rPr>
              <w:t>e central level totaled to five</w:t>
            </w:r>
            <w:r w:rsidRPr="000F3267">
              <w:rPr>
                <w:rFonts w:asciiTheme="majorHAnsi" w:hAnsiTheme="majorHAnsi" w:cstheme="majorHAnsi"/>
              </w:rPr>
              <w:t xml:space="preserve"> courses during the </w:t>
            </w:r>
            <w:r w:rsidR="0049046A" w:rsidRPr="000F3267">
              <w:rPr>
                <w:rFonts w:asciiTheme="majorHAnsi" w:hAnsiTheme="majorHAnsi" w:cstheme="majorHAnsi"/>
              </w:rPr>
              <w:t xml:space="preserve">entire </w:t>
            </w:r>
            <w:r w:rsidRPr="000F3267">
              <w:rPr>
                <w:rFonts w:asciiTheme="majorHAnsi" w:hAnsiTheme="majorHAnsi" w:cstheme="majorHAnsi"/>
              </w:rPr>
              <w:t>grant implementation period.</w:t>
            </w:r>
          </w:p>
          <w:p w14:paraId="29AE02AE" w14:textId="77777777" w:rsidR="000703EF" w:rsidRPr="000F3267" w:rsidRDefault="000703EF" w:rsidP="00F47032">
            <w:pPr>
              <w:spacing w:after="0" w:line="240" w:lineRule="auto"/>
              <w:rPr>
                <w:rFonts w:asciiTheme="majorHAnsi" w:hAnsiTheme="majorHAnsi" w:cstheme="majorHAnsi"/>
              </w:rPr>
            </w:pPr>
          </w:p>
          <w:p w14:paraId="74BA2B64" w14:textId="08BD0BE0" w:rsidR="00850830" w:rsidRPr="000F3267" w:rsidRDefault="0077563D" w:rsidP="006A0E08">
            <w:pPr>
              <w:pStyle w:val="affff3"/>
              <w:numPr>
                <w:ilvl w:val="2"/>
                <w:numId w:val="29"/>
              </w:numPr>
              <w:spacing w:after="0" w:line="240" w:lineRule="auto"/>
              <w:jc w:val="both"/>
              <w:rPr>
                <w:rFonts w:asciiTheme="majorHAnsi" w:hAnsiTheme="majorHAnsi" w:cstheme="majorHAnsi"/>
              </w:rPr>
            </w:pPr>
            <w:r w:rsidRPr="000F3267">
              <w:rPr>
                <w:rFonts w:asciiTheme="majorHAnsi" w:hAnsiTheme="majorHAnsi" w:cstheme="majorHAnsi"/>
              </w:rPr>
              <w:t>Training on aDSM: capacity-</w:t>
            </w:r>
            <w:r w:rsidR="00850830" w:rsidRPr="000F3267">
              <w:rPr>
                <w:rFonts w:asciiTheme="majorHAnsi" w:hAnsiTheme="majorHAnsi" w:cstheme="majorHAnsi"/>
              </w:rPr>
              <w:t xml:space="preserve">building strengthening in management of active monitoring of safety and efficacy of new TB medicines and </w:t>
            </w:r>
            <w:r w:rsidRPr="000F3267">
              <w:rPr>
                <w:rFonts w:asciiTheme="majorHAnsi" w:hAnsiTheme="majorHAnsi" w:cstheme="majorHAnsi"/>
              </w:rPr>
              <w:t xml:space="preserve">treatment regimens </w:t>
            </w:r>
          </w:p>
          <w:p w14:paraId="251F8521" w14:textId="77777777" w:rsidR="00850830" w:rsidRPr="000F3267" w:rsidRDefault="00850830" w:rsidP="00F47032">
            <w:pPr>
              <w:spacing w:after="0" w:line="240" w:lineRule="auto"/>
              <w:rPr>
                <w:rFonts w:asciiTheme="majorHAnsi" w:hAnsiTheme="majorHAnsi" w:cstheme="majorHAnsi"/>
              </w:rPr>
            </w:pPr>
          </w:p>
          <w:p w14:paraId="37B36559" w14:textId="3A5444B0" w:rsidR="00850830" w:rsidRPr="000F3267" w:rsidRDefault="0047490D" w:rsidP="00F47032">
            <w:pPr>
              <w:spacing w:after="0" w:line="240" w:lineRule="auto"/>
              <w:jc w:val="both"/>
              <w:rPr>
                <w:rFonts w:asciiTheme="majorHAnsi" w:hAnsiTheme="majorHAnsi" w:cstheme="majorHAnsi"/>
              </w:rPr>
            </w:pPr>
            <w:r w:rsidRPr="000F3267">
              <w:rPr>
                <w:rFonts w:asciiTheme="majorHAnsi" w:hAnsiTheme="majorHAnsi" w:cstheme="majorHAnsi"/>
              </w:rPr>
              <w:t xml:space="preserve">The introduction of aDSM is essential and linked to expanding the use of new anti-TB drugs and treatment regimens. </w:t>
            </w:r>
            <w:r w:rsidR="00E2627A" w:rsidRPr="000F3267">
              <w:rPr>
                <w:rFonts w:asciiTheme="majorHAnsi" w:hAnsiTheme="majorHAnsi" w:cstheme="majorHAnsi"/>
              </w:rPr>
              <w:t>The training courses will be designed to update</w:t>
            </w:r>
            <w:r w:rsidRPr="000F3267">
              <w:rPr>
                <w:rFonts w:asciiTheme="majorHAnsi" w:hAnsiTheme="majorHAnsi" w:cstheme="majorHAnsi"/>
              </w:rPr>
              <w:t xml:space="preserve"> and improv</w:t>
            </w:r>
            <w:r w:rsidR="00E2627A" w:rsidRPr="000F3267">
              <w:rPr>
                <w:rFonts w:asciiTheme="majorHAnsi" w:hAnsiTheme="majorHAnsi" w:cstheme="majorHAnsi"/>
              </w:rPr>
              <w:t>e the knowledge of the specialists</w:t>
            </w:r>
            <w:r w:rsidRPr="000F3267">
              <w:rPr>
                <w:rFonts w:asciiTheme="majorHAnsi" w:hAnsiTheme="majorHAnsi" w:cstheme="majorHAnsi"/>
              </w:rPr>
              <w:t xml:space="preserve"> in charge of pharmacovigilance and the heads of t</w:t>
            </w:r>
            <w:r w:rsidR="00E2627A" w:rsidRPr="000F3267">
              <w:rPr>
                <w:rFonts w:asciiTheme="majorHAnsi" w:hAnsiTheme="majorHAnsi" w:cstheme="majorHAnsi"/>
              </w:rPr>
              <w:t xml:space="preserve">he regional </w:t>
            </w:r>
            <w:r w:rsidR="00E2627A" w:rsidRPr="000F3267">
              <w:rPr>
                <w:rFonts w:asciiTheme="majorHAnsi" w:hAnsiTheme="majorHAnsi" w:cstheme="majorHAnsi"/>
                <w:color w:val="0E101A"/>
              </w:rPr>
              <w:t>CMACs</w:t>
            </w:r>
            <w:r w:rsidRPr="000F3267">
              <w:rPr>
                <w:rFonts w:asciiTheme="majorHAnsi" w:hAnsiTheme="majorHAnsi" w:cstheme="majorHAnsi"/>
              </w:rPr>
              <w:t>. Also, the training program will cover the management of the information system for recording data related to the aDSM and integration of</w:t>
            </w:r>
            <w:r w:rsidR="00E2627A" w:rsidRPr="000F3267">
              <w:rPr>
                <w:rFonts w:asciiTheme="majorHAnsi" w:hAnsiTheme="majorHAnsi" w:cstheme="majorHAnsi"/>
              </w:rPr>
              <w:t xml:space="preserve"> modules in the unified </w:t>
            </w:r>
            <w:r w:rsidR="001E64B0" w:rsidRPr="000F3267">
              <w:rPr>
                <w:rFonts w:asciiTheme="majorHAnsi" w:hAnsiTheme="majorHAnsi" w:cstheme="majorHAnsi"/>
              </w:rPr>
              <w:t xml:space="preserve">health </w:t>
            </w:r>
            <w:r w:rsidR="00E2627A" w:rsidRPr="000F3267">
              <w:rPr>
                <w:rFonts w:asciiTheme="majorHAnsi" w:hAnsiTheme="majorHAnsi" w:cstheme="majorHAnsi"/>
              </w:rPr>
              <w:t>information system</w:t>
            </w:r>
            <w:r w:rsidRPr="000F3267">
              <w:rPr>
                <w:rFonts w:asciiTheme="majorHAnsi" w:hAnsiTheme="majorHAnsi" w:cstheme="majorHAnsi"/>
              </w:rPr>
              <w:t xml:space="preserve">. The three-day training will be conducted at the central level. </w:t>
            </w:r>
            <w:r w:rsidR="00E2627A" w:rsidRPr="000F3267">
              <w:rPr>
                <w:rFonts w:asciiTheme="majorHAnsi" w:hAnsiTheme="majorHAnsi" w:cstheme="majorHAnsi"/>
              </w:rPr>
              <w:t xml:space="preserve">In total, </w:t>
            </w:r>
            <w:r w:rsidR="00F06770">
              <w:rPr>
                <w:rFonts w:asciiTheme="majorHAnsi" w:hAnsiTheme="majorHAnsi" w:cstheme="majorHAnsi"/>
              </w:rPr>
              <w:t>four</w:t>
            </w:r>
            <w:r w:rsidR="00E2627A" w:rsidRPr="000F3267">
              <w:rPr>
                <w:rFonts w:asciiTheme="majorHAnsi" w:hAnsiTheme="majorHAnsi" w:cstheme="majorHAnsi"/>
              </w:rPr>
              <w:t xml:space="preserve"> such </w:t>
            </w:r>
            <w:r w:rsidRPr="000F3267">
              <w:rPr>
                <w:rFonts w:asciiTheme="majorHAnsi" w:hAnsiTheme="majorHAnsi" w:cstheme="majorHAnsi"/>
              </w:rPr>
              <w:t>courses will be organized during the first and second years of the grant implementation</w:t>
            </w:r>
            <w:r w:rsidR="000E55D4">
              <w:rPr>
                <w:rFonts w:asciiTheme="majorHAnsi" w:hAnsiTheme="majorHAnsi" w:cstheme="majorHAnsi"/>
              </w:rPr>
              <w:t>, two cours</w:t>
            </w:r>
            <w:r w:rsidR="00F06770">
              <w:rPr>
                <w:rFonts w:asciiTheme="majorHAnsi" w:hAnsiTheme="majorHAnsi" w:cstheme="majorHAnsi"/>
              </w:rPr>
              <w:t>es annually</w:t>
            </w:r>
            <w:r w:rsidRPr="000F3267">
              <w:rPr>
                <w:rFonts w:asciiTheme="majorHAnsi" w:hAnsiTheme="majorHAnsi" w:cstheme="majorHAnsi"/>
              </w:rPr>
              <w:t>.</w:t>
            </w:r>
            <w:r w:rsidR="00F06770">
              <w:rPr>
                <w:rFonts w:asciiTheme="majorHAnsi" w:hAnsiTheme="majorHAnsi" w:cstheme="majorHAnsi"/>
              </w:rPr>
              <w:t xml:space="preserve"> </w:t>
            </w:r>
          </w:p>
          <w:p w14:paraId="69B3BA0D" w14:textId="77777777" w:rsidR="0047490D" w:rsidRPr="000F3267" w:rsidRDefault="0047490D" w:rsidP="00F47032">
            <w:pPr>
              <w:spacing w:after="0" w:line="240" w:lineRule="auto"/>
              <w:rPr>
                <w:rFonts w:asciiTheme="majorHAnsi" w:hAnsiTheme="majorHAnsi" w:cstheme="majorHAnsi"/>
              </w:rPr>
            </w:pPr>
          </w:p>
          <w:p w14:paraId="7843D8A0" w14:textId="77777777" w:rsidR="00850830" w:rsidRPr="000F3267" w:rsidRDefault="00850830" w:rsidP="006A0E08">
            <w:pPr>
              <w:pStyle w:val="affff3"/>
              <w:numPr>
                <w:ilvl w:val="2"/>
                <w:numId w:val="29"/>
              </w:numPr>
              <w:spacing w:after="0" w:line="240" w:lineRule="auto"/>
              <w:jc w:val="both"/>
              <w:rPr>
                <w:rFonts w:asciiTheme="majorHAnsi" w:hAnsiTheme="majorHAnsi" w:cstheme="majorHAnsi"/>
              </w:rPr>
            </w:pPr>
            <w:r w:rsidRPr="000F3267">
              <w:rPr>
                <w:rFonts w:asciiTheme="majorHAnsi" w:hAnsiTheme="majorHAnsi" w:cstheme="majorHAnsi"/>
              </w:rPr>
              <w:t>Training to strengthen the capacity of the regional teams in institutionalization of the digitalized module for DM forecasting and formulation of the TB annual medicine demand of the regional levels</w:t>
            </w:r>
          </w:p>
          <w:p w14:paraId="5DDA7566" w14:textId="77777777" w:rsidR="00850830" w:rsidRPr="000F3267" w:rsidRDefault="00850830" w:rsidP="00F47032">
            <w:pPr>
              <w:spacing w:after="0" w:line="240" w:lineRule="auto"/>
              <w:rPr>
                <w:rFonts w:asciiTheme="majorHAnsi" w:hAnsiTheme="majorHAnsi" w:cstheme="majorHAnsi"/>
              </w:rPr>
            </w:pPr>
          </w:p>
          <w:p w14:paraId="66B34A58" w14:textId="45BCC94C" w:rsidR="00850830" w:rsidRPr="000F3267" w:rsidRDefault="0066306A" w:rsidP="00F47032">
            <w:pPr>
              <w:spacing w:after="0" w:line="240" w:lineRule="auto"/>
              <w:jc w:val="both"/>
              <w:rPr>
                <w:rFonts w:asciiTheme="majorHAnsi" w:hAnsiTheme="majorHAnsi" w:cstheme="majorHAnsi"/>
              </w:rPr>
            </w:pPr>
            <w:r w:rsidRPr="000F3267">
              <w:rPr>
                <w:rFonts w:asciiTheme="majorHAnsi" w:hAnsiTheme="majorHAnsi" w:cstheme="majorHAnsi"/>
              </w:rPr>
              <w:t>To grant funds will be used to assist the NTP in defining the needs in TB drugs and forecasting exercises for developing the annual procurement plans based on the output of the electronic module. The last will be integrated into th</w:t>
            </w:r>
            <w:r w:rsidR="00D4043C" w:rsidRPr="000F3267">
              <w:rPr>
                <w:rFonts w:asciiTheme="majorHAnsi" w:hAnsiTheme="majorHAnsi" w:cstheme="majorHAnsi"/>
              </w:rPr>
              <w:t>e NRBT. It is planned that the D</w:t>
            </w:r>
            <w:r w:rsidRPr="000F3267">
              <w:rPr>
                <w:rFonts w:asciiTheme="majorHAnsi" w:hAnsiTheme="majorHAnsi" w:cstheme="majorHAnsi"/>
              </w:rPr>
              <w:t xml:space="preserve">rug </w:t>
            </w:r>
            <w:r w:rsidR="00D4043C" w:rsidRPr="000F3267">
              <w:rPr>
                <w:rFonts w:asciiTheme="majorHAnsi" w:hAnsiTheme="majorHAnsi" w:cstheme="majorHAnsi"/>
              </w:rPr>
              <w:t>Supply Management C</w:t>
            </w:r>
            <w:r w:rsidRPr="000F3267">
              <w:rPr>
                <w:rFonts w:asciiTheme="majorHAnsi" w:hAnsiTheme="majorHAnsi" w:cstheme="majorHAnsi"/>
              </w:rPr>
              <w:t xml:space="preserve">oordinators </w:t>
            </w:r>
            <w:r w:rsidR="0049046A" w:rsidRPr="000F3267">
              <w:rPr>
                <w:rFonts w:asciiTheme="majorHAnsi" w:hAnsiTheme="majorHAnsi" w:cstheme="majorHAnsi"/>
              </w:rPr>
              <w:t>at</w:t>
            </w:r>
            <w:r w:rsidRPr="000F3267">
              <w:rPr>
                <w:rFonts w:asciiTheme="majorHAnsi" w:hAnsiTheme="majorHAnsi" w:cstheme="majorHAnsi"/>
              </w:rPr>
              <w:t xml:space="preserve"> </w:t>
            </w:r>
            <w:r w:rsidR="0049046A" w:rsidRPr="000F3267">
              <w:rPr>
                <w:rFonts w:asciiTheme="majorHAnsi" w:hAnsiTheme="majorHAnsi" w:cstheme="majorHAnsi"/>
              </w:rPr>
              <w:t>the central and regional levels</w:t>
            </w:r>
            <w:r w:rsidRPr="000F3267">
              <w:rPr>
                <w:rFonts w:asciiTheme="majorHAnsi" w:hAnsiTheme="majorHAnsi" w:cstheme="majorHAnsi"/>
              </w:rPr>
              <w:t xml:space="preserve"> and respective staff from the penitentiary system will be trained to develop skills in the use of the electronic tool. Training will be conducted at the central level; two courses will be organized in the first two years of the grant implementation. The national experts will conduct the first course in collaboration with the GDF specialists, specializing in the management of TB medicines procurement. The expenditures related to the training facilitation and logistics linked to the travel of an international consultant will be covered from the GDF funds.</w:t>
            </w:r>
          </w:p>
          <w:p w14:paraId="7453EE95" w14:textId="77777777" w:rsidR="0066306A" w:rsidRPr="000F3267" w:rsidRDefault="0066306A" w:rsidP="00F47032">
            <w:pPr>
              <w:spacing w:after="0" w:line="240" w:lineRule="auto"/>
              <w:rPr>
                <w:rFonts w:asciiTheme="majorHAnsi" w:hAnsiTheme="majorHAnsi" w:cstheme="majorHAnsi"/>
              </w:rPr>
            </w:pPr>
          </w:p>
          <w:p w14:paraId="0737EF8F" w14:textId="7FF8043A" w:rsidR="00850830" w:rsidRPr="000F3267" w:rsidRDefault="006E0BE4" w:rsidP="006A0E08">
            <w:pPr>
              <w:pStyle w:val="affff3"/>
              <w:numPr>
                <w:ilvl w:val="2"/>
                <w:numId w:val="29"/>
              </w:numPr>
              <w:spacing w:after="0" w:line="240" w:lineRule="auto"/>
              <w:jc w:val="both"/>
              <w:rPr>
                <w:rFonts w:asciiTheme="majorHAnsi" w:hAnsiTheme="majorHAnsi" w:cstheme="majorHAnsi"/>
              </w:rPr>
            </w:pPr>
            <w:r w:rsidRPr="000F3267">
              <w:rPr>
                <w:rFonts w:asciiTheme="majorHAnsi" w:hAnsiTheme="majorHAnsi" w:cstheme="majorHAnsi"/>
              </w:rPr>
              <w:t xml:space="preserve">The NTP’ and NRL’ personnel participation in international trainings </w:t>
            </w:r>
          </w:p>
          <w:p w14:paraId="07EDEF69" w14:textId="77777777" w:rsidR="00850830" w:rsidRPr="000F3267" w:rsidRDefault="00850830" w:rsidP="00F47032">
            <w:pPr>
              <w:spacing w:after="0" w:line="240" w:lineRule="auto"/>
              <w:jc w:val="both"/>
              <w:rPr>
                <w:rFonts w:asciiTheme="majorHAnsi" w:hAnsiTheme="majorHAnsi" w:cstheme="majorHAnsi"/>
              </w:rPr>
            </w:pPr>
          </w:p>
          <w:p w14:paraId="5F0338C8" w14:textId="2234C2FF" w:rsidR="00850830" w:rsidRPr="000F3267" w:rsidRDefault="00D3270E" w:rsidP="00F47032">
            <w:pPr>
              <w:spacing w:after="0" w:line="240" w:lineRule="auto"/>
              <w:jc w:val="both"/>
              <w:rPr>
                <w:rFonts w:asciiTheme="majorHAnsi" w:hAnsiTheme="majorHAnsi" w:cstheme="majorHAnsi"/>
              </w:rPr>
            </w:pPr>
            <w:r w:rsidRPr="000F3267">
              <w:rPr>
                <w:rFonts w:asciiTheme="majorHAnsi" w:hAnsiTheme="majorHAnsi" w:cstheme="majorHAnsi"/>
              </w:rPr>
              <w:t xml:space="preserve">The participation of the core staff at the NTP and NRL in international training courses with relevant content related to the introduction and expansion of the use of new regimens, diagnosis, </w:t>
            </w:r>
            <w:r w:rsidR="0049046A" w:rsidRPr="000F3267">
              <w:rPr>
                <w:rFonts w:asciiTheme="majorHAnsi" w:hAnsiTheme="majorHAnsi" w:cstheme="majorHAnsi"/>
              </w:rPr>
              <w:t>and treatment of LTBI and DS/DR-</w:t>
            </w:r>
            <w:r w:rsidRPr="000F3267">
              <w:rPr>
                <w:rFonts w:asciiTheme="majorHAnsi" w:hAnsiTheme="majorHAnsi" w:cstheme="majorHAnsi"/>
              </w:rPr>
              <w:t>TB manag</w:t>
            </w:r>
            <w:r w:rsidR="00FD466A" w:rsidRPr="000F3267">
              <w:rPr>
                <w:rFonts w:asciiTheme="majorHAnsi" w:hAnsiTheme="majorHAnsi" w:cstheme="majorHAnsi"/>
              </w:rPr>
              <w:t>ement,</w:t>
            </w:r>
            <w:r w:rsidRPr="000F3267">
              <w:rPr>
                <w:rFonts w:asciiTheme="majorHAnsi" w:hAnsiTheme="majorHAnsi" w:cstheme="majorHAnsi"/>
              </w:rPr>
              <w:t xml:space="preserve"> is planned to be supported by the funding request. The budget covers spending on the annual training of four persons at the WHO training centers of Latvia and Belarus over the grant duration.</w:t>
            </w:r>
          </w:p>
          <w:p w14:paraId="50D3F84C" w14:textId="77777777" w:rsidR="00D3270E" w:rsidRPr="000F3267" w:rsidRDefault="00D3270E" w:rsidP="00F47032">
            <w:pPr>
              <w:spacing w:after="0" w:line="240" w:lineRule="auto"/>
              <w:rPr>
                <w:rFonts w:asciiTheme="majorHAnsi" w:hAnsiTheme="majorHAnsi" w:cstheme="majorHAnsi"/>
              </w:rPr>
            </w:pPr>
          </w:p>
          <w:p w14:paraId="19A62C25" w14:textId="248E4617" w:rsidR="00850830" w:rsidRPr="000F3267" w:rsidRDefault="001E64B0" w:rsidP="006A0E08">
            <w:pPr>
              <w:pStyle w:val="affff3"/>
              <w:numPr>
                <w:ilvl w:val="2"/>
                <w:numId w:val="29"/>
              </w:numPr>
              <w:spacing w:after="0" w:line="240" w:lineRule="auto"/>
              <w:jc w:val="both"/>
              <w:rPr>
                <w:rFonts w:asciiTheme="majorHAnsi" w:hAnsiTheme="majorHAnsi" w:cstheme="majorHAnsi"/>
              </w:rPr>
            </w:pPr>
            <w:r w:rsidRPr="000F3267">
              <w:rPr>
                <w:rFonts w:asciiTheme="majorHAnsi" w:hAnsiTheme="majorHAnsi" w:cstheme="majorHAnsi"/>
              </w:rPr>
              <w:t>Participation of the national t</w:t>
            </w:r>
            <w:r w:rsidR="005A6125" w:rsidRPr="000F3267">
              <w:rPr>
                <w:rFonts w:asciiTheme="majorHAnsi" w:hAnsiTheme="majorHAnsi" w:cstheme="majorHAnsi"/>
              </w:rPr>
              <w:t>eam’ members coordinating and managing TB drugs supply in th</w:t>
            </w:r>
            <w:r w:rsidRPr="000F3267">
              <w:rPr>
                <w:rFonts w:asciiTheme="majorHAnsi" w:hAnsiTheme="majorHAnsi" w:cstheme="majorHAnsi"/>
              </w:rPr>
              <w:t>e international training course</w:t>
            </w:r>
          </w:p>
          <w:p w14:paraId="16F858F7" w14:textId="77777777" w:rsidR="00850830" w:rsidRPr="000F3267" w:rsidRDefault="00850830" w:rsidP="00F47032">
            <w:pPr>
              <w:spacing w:after="0" w:line="240" w:lineRule="auto"/>
              <w:jc w:val="both"/>
              <w:rPr>
                <w:rFonts w:asciiTheme="majorHAnsi" w:hAnsiTheme="majorHAnsi" w:cstheme="majorHAnsi"/>
              </w:rPr>
            </w:pPr>
          </w:p>
          <w:p w14:paraId="6ADB2C8A" w14:textId="3ECCD4C5" w:rsidR="00850830" w:rsidRPr="000F3267" w:rsidRDefault="005A6125" w:rsidP="00F47032">
            <w:pPr>
              <w:spacing w:after="0" w:line="240" w:lineRule="auto"/>
              <w:jc w:val="both"/>
              <w:rPr>
                <w:rFonts w:asciiTheme="majorHAnsi" w:hAnsiTheme="majorHAnsi" w:cstheme="majorHAnsi"/>
              </w:rPr>
            </w:pPr>
            <w:r w:rsidRPr="000F3267">
              <w:rPr>
                <w:rFonts w:asciiTheme="majorHAnsi" w:hAnsiTheme="majorHAnsi" w:cstheme="majorHAnsi"/>
              </w:rPr>
              <w:t xml:space="preserve">The associated costs of participation of </w:t>
            </w:r>
            <w:r w:rsidR="001E64B0" w:rsidRPr="000F3267">
              <w:rPr>
                <w:rFonts w:asciiTheme="majorHAnsi" w:hAnsiTheme="majorHAnsi" w:cstheme="majorHAnsi"/>
              </w:rPr>
              <w:t>the national t</w:t>
            </w:r>
            <w:r w:rsidRPr="000F3267">
              <w:rPr>
                <w:rFonts w:asciiTheme="majorHAnsi" w:hAnsiTheme="majorHAnsi" w:cstheme="majorHAnsi"/>
              </w:rPr>
              <w:t xml:space="preserve">eam members coordinating and managing TB drugs supply in the international training courses and conferences or meetings discussing TB drugs management and procurement issues will be supported from the grant fund. It is assumed the annual two-person participation during the first two years of the grant project.   </w:t>
            </w:r>
          </w:p>
          <w:p w14:paraId="03390511" w14:textId="77777777" w:rsidR="005A6125" w:rsidRPr="000F3267" w:rsidRDefault="005A6125" w:rsidP="00F47032">
            <w:pPr>
              <w:spacing w:after="0" w:line="240" w:lineRule="auto"/>
              <w:jc w:val="both"/>
              <w:rPr>
                <w:rFonts w:asciiTheme="majorHAnsi" w:hAnsiTheme="majorHAnsi" w:cstheme="majorHAnsi"/>
              </w:rPr>
            </w:pPr>
          </w:p>
          <w:p w14:paraId="75489B7F" w14:textId="1F42D4DC" w:rsidR="00850830" w:rsidRPr="000F3267" w:rsidRDefault="00850830" w:rsidP="006A0E08">
            <w:pPr>
              <w:pStyle w:val="affff3"/>
              <w:numPr>
                <w:ilvl w:val="2"/>
                <w:numId w:val="29"/>
              </w:numPr>
              <w:spacing w:after="0" w:line="240" w:lineRule="auto"/>
              <w:jc w:val="both"/>
              <w:rPr>
                <w:rFonts w:asciiTheme="majorHAnsi" w:hAnsiTheme="majorHAnsi" w:cstheme="majorHAnsi"/>
              </w:rPr>
            </w:pPr>
            <w:r w:rsidRPr="000F3267">
              <w:rPr>
                <w:rFonts w:asciiTheme="majorHAnsi" w:hAnsiTheme="majorHAnsi" w:cstheme="majorHAnsi"/>
              </w:rPr>
              <w:t xml:space="preserve">Attendance of international meetings and conferences </w:t>
            </w:r>
            <w:r w:rsidR="00E4295B" w:rsidRPr="000F3267">
              <w:rPr>
                <w:rFonts w:asciiTheme="majorHAnsi" w:hAnsiTheme="majorHAnsi" w:cstheme="majorHAnsi"/>
              </w:rPr>
              <w:t>abroad</w:t>
            </w:r>
          </w:p>
          <w:p w14:paraId="7D825098" w14:textId="77777777" w:rsidR="00850830" w:rsidRPr="000F3267" w:rsidRDefault="00850830" w:rsidP="00F47032">
            <w:pPr>
              <w:pStyle w:val="affff3"/>
              <w:spacing w:after="0" w:line="240" w:lineRule="auto"/>
              <w:jc w:val="both"/>
              <w:rPr>
                <w:rFonts w:asciiTheme="majorHAnsi" w:hAnsiTheme="majorHAnsi" w:cstheme="majorHAnsi"/>
              </w:rPr>
            </w:pPr>
          </w:p>
          <w:p w14:paraId="20BD08C2" w14:textId="5DC20AB1" w:rsidR="00850830" w:rsidRPr="000F3267" w:rsidRDefault="00E4295B" w:rsidP="00F47032">
            <w:pPr>
              <w:spacing w:after="0" w:line="240" w:lineRule="auto"/>
              <w:jc w:val="both"/>
              <w:rPr>
                <w:rFonts w:asciiTheme="majorHAnsi" w:hAnsiTheme="majorHAnsi" w:cstheme="majorHAnsi"/>
              </w:rPr>
            </w:pPr>
            <w:r w:rsidRPr="000F3267">
              <w:rPr>
                <w:rFonts w:asciiTheme="majorHAnsi" w:hAnsiTheme="majorHAnsi" w:cstheme="majorHAnsi"/>
              </w:rPr>
              <w:t>Support is covered the participation cost of the NTP core staff in international conferences and meetings abroad with the relevant content. During the grant life, three-person participation is expected once a year.</w:t>
            </w:r>
          </w:p>
          <w:p w14:paraId="348BC2E6" w14:textId="77777777" w:rsidR="00E57B5E" w:rsidRPr="000F3267" w:rsidRDefault="00E57B5E" w:rsidP="00F47032">
            <w:pPr>
              <w:pStyle w:val="affff3"/>
              <w:spacing w:after="0" w:line="240" w:lineRule="auto"/>
              <w:rPr>
                <w:rFonts w:asciiTheme="majorHAnsi" w:hAnsiTheme="majorHAnsi" w:cstheme="majorHAnsi"/>
              </w:rPr>
            </w:pPr>
          </w:p>
          <w:p w14:paraId="70C0B8F5" w14:textId="0565F0C7" w:rsidR="00E57B5E" w:rsidRPr="000F3267" w:rsidRDefault="001A7668" w:rsidP="006A0E08">
            <w:pPr>
              <w:pStyle w:val="affff3"/>
              <w:numPr>
                <w:ilvl w:val="2"/>
                <w:numId w:val="29"/>
              </w:numPr>
              <w:spacing w:after="0" w:line="240" w:lineRule="auto"/>
              <w:rPr>
                <w:rFonts w:asciiTheme="majorHAnsi" w:hAnsiTheme="majorHAnsi" w:cstheme="majorHAnsi"/>
                <w:i/>
              </w:rPr>
            </w:pPr>
            <w:r w:rsidRPr="000F3267">
              <w:rPr>
                <w:rFonts w:asciiTheme="majorHAnsi" w:hAnsiTheme="majorHAnsi" w:cstheme="majorHAnsi"/>
                <w:i/>
              </w:rPr>
              <w:t xml:space="preserve">National TB conference </w:t>
            </w:r>
            <w:r w:rsidRPr="000F3267">
              <w:rPr>
                <w:rFonts w:asciiTheme="majorHAnsi" w:hAnsiTheme="majorHAnsi" w:cstheme="majorHAnsi"/>
              </w:rPr>
              <w:t>(please refer to the PAAR template for description).</w:t>
            </w:r>
          </w:p>
          <w:p w14:paraId="488E8A1E" w14:textId="17609044" w:rsidR="00850830" w:rsidRPr="000F3267" w:rsidRDefault="00850830" w:rsidP="00F47032">
            <w:pPr>
              <w:spacing w:after="0" w:line="240" w:lineRule="auto"/>
              <w:jc w:val="both"/>
              <w:rPr>
                <w:rFonts w:asciiTheme="majorHAnsi" w:hAnsiTheme="majorHAnsi" w:cstheme="majorHAnsi"/>
              </w:rPr>
            </w:pPr>
          </w:p>
        </w:tc>
      </w:tr>
      <w:tr w:rsidR="00007BFF" w:rsidRPr="00BF4BEE" w14:paraId="3AB61975" w14:textId="77777777" w:rsidTr="00F47032">
        <w:trPr>
          <w:trHeight w:val="440"/>
        </w:trPr>
        <w:tc>
          <w:tcPr>
            <w:tcW w:w="2448" w:type="dxa"/>
            <w:shd w:val="clear" w:color="auto" w:fill="F2F2F2"/>
            <w:vAlign w:val="center"/>
          </w:tcPr>
          <w:p w14:paraId="2B8F2AA3" w14:textId="23F481CB" w:rsidR="00007BFF" w:rsidRPr="00BF4BEE" w:rsidRDefault="00007BFF" w:rsidP="00F47032">
            <w:pPr>
              <w:spacing w:after="0"/>
            </w:pPr>
            <w:r w:rsidRPr="00BF4BEE">
              <w:t>Priority populations</w:t>
            </w:r>
          </w:p>
        </w:tc>
        <w:tc>
          <w:tcPr>
            <w:tcW w:w="7902" w:type="dxa"/>
          </w:tcPr>
          <w:p w14:paraId="50E3D5FD" w14:textId="0B661107" w:rsidR="00754738" w:rsidRPr="000F3267" w:rsidRDefault="00754738" w:rsidP="006A0E08">
            <w:pPr>
              <w:pStyle w:val="affff3"/>
              <w:numPr>
                <w:ilvl w:val="0"/>
                <w:numId w:val="30"/>
              </w:numPr>
              <w:spacing w:after="0" w:line="240" w:lineRule="auto"/>
              <w:jc w:val="both"/>
              <w:rPr>
                <w:rFonts w:asciiTheme="majorHAnsi" w:hAnsiTheme="majorHAnsi" w:cstheme="majorHAnsi"/>
              </w:rPr>
            </w:pPr>
            <w:r w:rsidRPr="000F3267">
              <w:rPr>
                <w:rFonts w:asciiTheme="majorHAnsi" w:hAnsiTheme="majorHAnsi" w:cstheme="majorHAnsi"/>
              </w:rPr>
              <w:t>People with active TB, patients with drug-</w:t>
            </w:r>
            <w:r w:rsidR="00D4043C" w:rsidRPr="000F3267">
              <w:rPr>
                <w:rFonts w:asciiTheme="majorHAnsi" w:hAnsiTheme="majorHAnsi" w:cstheme="majorHAnsi"/>
              </w:rPr>
              <w:t xml:space="preserve">resistant TB, </w:t>
            </w:r>
            <w:r w:rsidRPr="000F3267">
              <w:rPr>
                <w:rFonts w:asciiTheme="majorHAnsi" w:hAnsiTheme="majorHAnsi" w:cstheme="majorHAnsi"/>
              </w:rPr>
              <w:t>and their families.</w:t>
            </w:r>
          </w:p>
          <w:p w14:paraId="4F953070" w14:textId="65A7F9C1" w:rsidR="00754738" w:rsidRPr="000F3267" w:rsidRDefault="00754738" w:rsidP="006A0E08">
            <w:pPr>
              <w:pStyle w:val="affff3"/>
              <w:numPr>
                <w:ilvl w:val="0"/>
                <w:numId w:val="30"/>
              </w:numPr>
              <w:spacing w:after="0" w:line="240" w:lineRule="auto"/>
              <w:jc w:val="both"/>
              <w:rPr>
                <w:rFonts w:asciiTheme="majorHAnsi" w:hAnsiTheme="majorHAnsi" w:cstheme="majorHAnsi"/>
              </w:rPr>
            </w:pPr>
            <w:r w:rsidRPr="000F3267">
              <w:rPr>
                <w:rFonts w:asciiTheme="majorHAnsi" w:hAnsiTheme="majorHAnsi" w:cstheme="majorHAnsi"/>
              </w:rPr>
              <w:t>Children with active TB, patients with drug-resistant TB</w:t>
            </w:r>
            <w:r w:rsidR="00D4043C" w:rsidRPr="000F3267">
              <w:rPr>
                <w:rFonts w:asciiTheme="majorHAnsi" w:hAnsiTheme="majorHAnsi" w:cstheme="majorHAnsi"/>
              </w:rPr>
              <w:t>,</w:t>
            </w:r>
            <w:r w:rsidRPr="000F3267">
              <w:rPr>
                <w:rFonts w:asciiTheme="majorHAnsi" w:hAnsiTheme="majorHAnsi" w:cstheme="majorHAnsi"/>
              </w:rPr>
              <w:t xml:space="preserve"> and their families.</w:t>
            </w:r>
          </w:p>
          <w:p w14:paraId="29701740" w14:textId="77777777" w:rsidR="00754738" w:rsidRPr="000F3267" w:rsidRDefault="00754738" w:rsidP="006A0E08">
            <w:pPr>
              <w:pStyle w:val="affff3"/>
              <w:numPr>
                <w:ilvl w:val="0"/>
                <w:numId w:val="30"/>
              </w:numPr>
              <w:spacing w:after="0" w:line="240" w:lineRule="auto"/>
              <w:jc w:val="both"/>
              <w:rPr>
                <w:rFonts w:asciiTheme="majorHAnsi" w:hAnsiTheme="majorHAnsi" w:cstheme="majorHAnsi"/>
              </w:rPr>
            </w:pPr>
            <w:r w:rsidRPr="000F3267">
              <w:rPr>
                <w:rFonts w:asciiTheme="majorHAnsi" w:hAnsiTheme="majorHAnsi" w:cstheme="majorHAnsi"/>
              </w:rPr>
              <w:t>Patients with pre- and XDR-TB.</w:t>
            </w:r>
          </w:p>
          <w:p w14:paraId="4C38AE91" w14:textId="198EFB02" w:rsidR="00754738" w:rsidRPr="000F3267" w:rsidRDefault="00754738" w:rsidP="006A0E08">
            <w:pPr>
              <w:pStyle w:val="affff3"/>
              <w:numPr>
                <w:ilvl w:val="0"/>
                <w:numId w:val="30"/>
              </w:numPr>
              <w:spacing w:after="0" w:line="240" w:lineRule="auto"/>
              <w:jc w:val="both"/>
              <w:rPr>
                <w:rFonts w:asciiTheme="majorHAnsi" w:hAnsiTheme="majorHAnsi" w:cstheme="majorHAnsi"/>
              </w:rPr>
            </w:pPr>
            <w:r w:rsidRPr="000F3267">
              <w:rPr>
                <w:rFonts w:asciiTheme="majorHAnsi" w:hAnsiTheme="majorHAnsi" w:cstheme="majorHAnsi"/>
              </w:rPr>
              <w:t xml:space="preserve">Heads of the regional </w:t>
            </w:r>
            <w:r w:rsidR="00BA6809" w:rsidRPr="000F3267">
              <w:rPr>
                <w:rFonts w:asciiTheme="majorHAnsi" w:hAnsiTheme="majorHAnsi" w:cstheme="majorHAnsi"/>
              </w:rPr>
              <w:t>health</w:t>
            </w:r>
            <w:r w:rsidRPr="000F3267">
              <w:rPr>
                <w:rFonts w:asciiTheme="majorHAnsi" w:hAnsiTheme="majorHAnsi" w:cstheme="majorHAnsi"/>
              </w:rPr>
              <w:t xml:space="preserve"> departments and representatives of the local </w:t>
            </w:r>
            <w:r w:rsidR="00BA6809" w:rsidRPr="000F3267">
              <w:rPr>
                <w:rFonts w:asciiTheme="majorHAnsi" w:hAnsiTheme="majorHAnsi" w:cstheme="majorHAnsi"/>
              </w:rPr>
              <w:t>governments</w:t>
            </w:r>
            <w:r w:rsidRPr="000F3267">
              <w:rPr>
                <w:rFonts w:asciiTheme="majorHAnsi" w:hAnsiTheme="majorHAnsi" w:cstheme="majorHAnsi"/>
              </w:rPr>
              <w:t>.</w:t>
            </w:r>
          </w:p>
          <w:p w14:paraId="358DD2FC" w14:textId="6873E9F5" w:rsidR="00754738" w:rsidRPr="000F3267" w:rsidRDefault="00754738" w:rsidP="006A0E08">
            <w:pPr>
              <w:pStyle w:val="affff3"/>
              <w:numPr>
                <w:ilvl w:val="0"/>
                <w:numId w:val="30"/>
              </w:numPr>
              <w:spacing w:after="0" w:line="240" w:lineRule="auto"/>
              <w:jc w:val="both"/>
              <w:rPr>
                <w:rFonts w:asciiTheme="majorHAnsi" w:hAnsiTheme="majorHAnsi" w:cstheme="majorHAnsi"/>
              </w:rPr>
            </w:pPr>
            <w:r w:rsidRPr="000F3267">
              <w:rPr>
                <w:rFonts w:asciiTheme="majorHAnsi" w:hAnsiTheme="majorHAnsi" w:cstheme="majorHAnsi"/>
              </w:rPr>
              <w:t>H</w:t>
            </w:r>
            <w:r w:rsidR="00BA6809" w:rsidRPr="000F3267">
              <w:rPr>
                <w:rFonts w:asciiTheme="majorHAnsi" w:hAnsiTheme="majorHAnsi" w:cstheme="majorHAnsi"/>
              </w:rPr>
              <w:t>eads of the Regional TB Centers.</w:t>
            </w:r>
          </w:p>
          <w:p w14:paraId="1CE3CD03" w14:textId="0877FD76" w:rsidR="00754738" w:rsidRPr="000F3267" w:rsidRDefault="00BA6809" w:rsidP="006A0E08">
            <w:pPr>
              <w:pStyle w:val="affff3"/>
              <w:numPr>
                <w:ilvl w:val="0"/>
                <w:numId w:val="30"/>
              </w:numPr>
              <w:spacing w:after="0" w:line="240" w:lineRule="auto"/>
              <w:jc w:val="both"/>
              <w:rPr>
                <w:rFonts w:asciiTheme="majorHAnsi" w:hAnsiTheme="majorHAnsi" w:cstheme="majorHAnsi"/>
              </w:rPr>
            </w:pPr>
            <w:r w:rsidRPr="000F3267">
              <w:rPr>
                <w:rFonts w:asciiTheme="majorHAnsi" w:hAnsiTheme="majorHAnsi" w:cstheme="majorHAnsi"/>
              </w:rPr>
              <w:t>Medical staff of the TB S</w:t>
            </w:r>
            <w:r w:rsidR="00754738" w:rsidRPr="000F3267">
              <w:rPr>
                <w:rFonts w:asciiTheme="majorHAnsi" w:hAnsiTheme="majorHAnsi" w:cstheme="majorHAnsi"/>
              </w:rPr>
              <w:t>ervice.</w:t>
            </w:r>
          </w:p>
          <w:p w14:paraId="6A3CC028" w14:textId="6300BD1B" w:rsidR="00754738" w:rsidRPr="000F3267" w:rsidRDefault="00BA6809" w:rsidP="006A0E08">
            <w:pPr>
              <w:pStyle w:val="affff3"/>
              <w:numPr>
                <w:ilvl w:val="0"/>
                <w:numId w:val="30"/>
              </w:numPr>
              <w:spacing w:after="0" w:line="240" w:lineRule="auto"/>
              <w:jc w:val="both"/>
              <w:rPr>
                <w:rFonts w:asciiTheme="majorHAnsi" w:hAnsiTheme="majorHAnsi" w:cstheme="majorHAnsi"/>
              </w:rPr>
            </w:pPr>
            <w:r w:rsidRPr="000F3267">
              <w:rPr>
                <w:rFonts w:asciiTheme="majorHAnsi" w:hAnsiTheme="majorHAnsi" w:cstheme="majorHAnsi"/>
              </w:rPr>
              <w:t>The NRL and RRL personnel.</w:t>
            </w:r>
          </w:p>
          <w:p w14:paraId="37A4B717" w14:textId="78255480" w:rsidR="00754738" w:rsidRPr="00974FD7" w:rsidRDefault="00C04146" w:rsidP="006A0E08">
            <w:pPr>
              <w:pStyle w:val="affff3"/>
              <w:numPr>
                <w:ilvl w:val="0"/>
                <w:numId w:val="30"/>
              </w:numPr>
              <w:spacing w:after="0" w:line="240" w:lineRule="auto"/>
              <w:jc w:val="both"/>
              <w:rPr>
                <w:rFonts w:asciiTheme="majorHAnsi" w:hAnsiTheme="majorHAnsi" w:cstheme="majorHAnsi"/>
              </w:rPr>
            </w:pPr>
            <w:r w:rsidRPr="00974FD7">
              <w:rPr>
                <w:rFonts w:asciiTheme="majorHAnsi" w:hAnsiTheme="majorHAnsi" w:cstheme="majorHAnsi"/>
              </w:rPr>
              <w:t xml:space="preserve">The </w:t>
            </w:r>
            <w:r w:rsidR="00D4043C" w:rsidRPr="00974FD7">
              <w:rPr>
                <w:rFonts w:asciiTheme="majorHAnsi" w:hAnsiTheme="majorHAnsi" w:cstheme="majorHAnsi"/>
              </w:rPr>
              <w:t>TB D</w:t>
            </w:r>
            <w:r w:rsidRPr="00974FD7">
              <w:rPr>
                <w:rFonts w:asciiTheme="majorHAnsi" w:hAnsiTheme="majorHAnsi" w:cstheme="majorHAnsi"/>
              </w:rPr>
              <w:t xml:space="preserve">rugs </w:t>
            </w:r>
            <w:r w:rsidR="00D4043C" w:rsidRPr="00974FD7">
              <w:rPr>
                <w:rFonts w:asciiTheme="majorHAnsi" w:hAnsiTheme="majorHAnsi" w:cstheme="majorHAnsi"/>
              </w:rPr>
              <w:t>Supply Management Coordinators.</w:t>
            </w:r>
          </w:p>
          <w:p w14:paraId="378089CF" w14:textId="77777777" w:rsidR="00D4043C" w:rsidRPr="000F3267" w:rsidRDefault="00D4043C" w:rsidP="006A0E08">
            <w:pPr>
              <w:pStyle w:val="affff3"/>
              <w:numPr>
                <w:ilvl w:val="0"/>
                <w:numId w:val="30"/>
              </w:numPr>
              <w:spacing w:after="0" w:line="240" w:lineRule="auto"/>
              <w:jc w:val="both"/>
              <w:rPr>
                <w:rFonts w:asciiTheme="majorHAnsi" w:hAnsiTheme="majorHAnsi" w:cstheme="majorHAnsi"/>
              </w:rPr>
            </w:pPr>
            <w:r w:rsidRPr="000F3267">
              <w:rPr>
                <w:rFonts w:asciiTheme="majorHAnsi" w:hAnsiTheme="majorHAnsi" w:cstheme="majorHAnsi"/>
              </w:rPr>
              <w:t>M</w:t>
            </w:r>
            <w:r w:rsidR="00BA6809" w:rsidRPr="000F3267">
              <w:rPr>
                <w:rFonts w:asciiTheme="majorHAnsi" w:hAnsiTheme="majorHAnsi" w:cstheme="majorHAnsi"/>
              </w:rPr>
              <w:t>edical personnel</w:t>
            </w:r>
            <w:r w:rsidRPr="000F3267">
              <w:rPr>
                <w:rFonts w:asciiTheme="majorHAnsi" w:hAnsiTheme="majorHAnsi" w:cstheme="majorHAnsi"/>
              </w:rPr>
              <w:t xml:space="preserve"> from the PHC facilities</w:t>
            </w:r>
          </w:p>
          <w:p w14:paraId="2E638370" w14:textId="2A7FA3F5" w:rsidR="00007BFF" w:rsidRPr="000F3267" w:rsidRDefault="00D4043C" w:rsidP="006A0E08">
            <w:pPr>
              <w:pStyle w:val="affff3"/>
              <w:numPr>
                <w:ilvl w:val="0"/>
                <w:numId w:val="30"/>
              </w:numPr>
              <w:spacing w:after="0" w:line="240" w:lineRule="auto"/>
              <w:jc w:val="both"/>
              <w:rPr>
                <w:rFonts w:asciiTheme="majorHAnsi" w:hAnsiTheme="majorHAnsi" w:cstheme="majorHAnsi"/>
              </w:rPr>
            </w:pPr>
            <w:r w:rsidRPr="000F3267">
              <w:rPr>
                <w:rFonts w:asciiTheme="majorHAnsi" w:hAnsiTheme="majorHAnsi" w:cstheme="majorHAnsi"/>
              </w:rPr>
              <w:t>Respresentatives from c</w:t>
            </w:r>
            <w:r w:rsidR="00754738" w:rsidRPr="000F3267">
              <w:rPr>
                <w:rFonts w:asciiTheme="majorHAnsi" w:hAnsiTheme="majorHAnsi" w:cstheme="majorHAnsi"/>
              </w:rPr>
              <w:t>ommunity</w:t>
            </w:r>
            <w:r w:rsidR="00BA6809" w:rsidRPr="000F3267">
              <w:rPr>
                <w:rFonts w:asciiTheme="majorHAnsi" w:hAnsiTheme="majorHAnsi" w:cstheme="majorHAnsi"/>
              </w:rPr>
              <w:t>-based organizations</w:t>
            </w:r>
            <w:r w:rsidR="00754738" w:rsidRPr="000F3267">
              <w:rPr>
                <w:rFonts w:asciiTheme="majorHAnsi" w:hAnsiTheme="majorHAnsi" w:cstheme="majorHAnsi"/>
              </w:rPr>
              <w:t>.</w:t>
            </w:r>
          </w:p>
        </w:tc>
      </w:tr>
      <w:tr w:rsidR="00007BFF" w:rsidRPr="00BF4BEE" w14:paraId="6EA2E10A" w14:textId="77777777" w:rsidTr="00F47032">
        <w:trPr>
          <w:trHeight w:val="440"/>
        </w:trPr>
        <w:tc>
          <w:tcPr>
            <w:tcW w:w="2448" w:type="dxa"/>
            <w:shd w:val="clear" w:color="auto" w:fill="F2F2F2"/>
            <w:vAlign w:val="center"/>
          </w:tcPr>
          <w:p w14:paraId="238A5AF1" w14:textId="59339247" w:rsidR="00007BFF" w:rsidRPr="00633BBC" w:rsidRDefault="00007BFF" w:rsidP="00F47032">
            <w:pPr>
              <w:spacing w:after="0"/>
            </w:pPr>
            <w:r>
              <w:t>Barriers and i</w:t>
            </w:r>
            <w:r w:rsidRPr="009A1DC8">
              <w:t>nequities</w:t>
            </w:r>
          </w:p>
        </w:tc>
        <w:tc>
          <w:tcPr>
            <w:tcW w:w="7902" w:type="dxa"/>
          </w:tcPr>
          <w:p w14:paraId="4E6197B4" w14:textId="0BC040CB" w:rsidR="00007BFF" w:rsidRPr="000F3267" w:rsidRDefault="00042FE2" w:rsidP="006A0E08">
            <w:pPr>
              <w:pStyle w:val="affff3"/>
              <w:numPr>
                <w:ilvl w:val="0"/>
                <w:numId w:val="30"/>
              </w:numPr>
              <w:spacing w:after="0" w:line="240" w:lineRule="auto"/>
              <w:jc w:val="both"/>
              <w:rPr>
                <w:rFonts w:asciiTheme="majorHAnsi" w:hAnsiTheme="majorHAnsi" w:cstheme="majorHAnsi"/>
              </w:rPr>
            </w:pPr>
            <w:r w:rsidRPr="000F3267">
              <w:rPr>
                <w:rFonts w:asciiTheme="majorHAnsi" w:hAnsiTheme="majorHAnsi" w:cstheme="majorHAnsi"/>
              </w:rPr>
              <w:t xml:space="preserve">Lack of access to rapid diagnostic tools for pre- and XDR-TB leads to </w:t>
            </w:r>
            <w:r w:rsidR="003957D1" w:rsidRPr="000F3267">
              <w:rPr>
                <w:rFonts w:asciiTheme="majorHAnsi" w:hAnsiTheme="majorHAnsi" w:cstheme="majorHAnsi"/>
              </w:rPr>
              <w:t>increase</w:t>
            </w:r>
            <w:r w:rsidRPr="000F3267">
              <w:rPr>
                <w:rFonts w:asciiTheme="majorHAnsi" w:hAnsiTheme="majorHAnsi" w:cstheme="majorHAnsi"/>
              </w:rPr>
              <w:t xml:space="preserve"> </w:t>
            </w:r>
            <w:r w:rsidR="00B85D51" w:rsidRPr="000F3267">
              <w:rPr>
                <w:rFonts w:asciiTheme="majorHAnsi" w:hAnsiTheme="majorHAnsi" w:cstheme="majorHAnsi"/>
              </w:rPr>
              <w:t xml:space="preserve">time to </w:t>
            </w:r>
            <w:r w:rsidR="00F15693" w:rsidRPr="000F3267">
              <w:rPr>
                <w:rFonts w:asciiTheme="majorHAnsi" w:hAnsiTheme="majorHAnsi" w:cstheme="majorHAnsi"/>
                <w:color w:val="000000"/>
              </w:rPr>
              <w:t xml:space="preserve">accurate confirmatory </w:t>
            </w:r>
            <w:r w:rsidR="00B85D51" w:rsidRPr="000F3267">
              <w:rPr>
                <w:rFonts w:asciiTheme="majorHAnsi" w:hAnsiTheme="majorHAnsi" w:cstheme="majorHAnsi"/>
              </w:rPr>
              <w:t xml:space="preserve">diagnosis and appropriate </w:t>
            </w:r>
            <w:r w:rsidRPr="000F3267">
              <w:rPr>
                <w:rFonts w:asciiTheme="majorHAnsi" w:hAnsiTheme="majorHAnsi" w:cstheme="majorHAnsi"/>
              </w:rPr>
              <w:t>treatment</w:t>
            </w:r>
            <w:r w:rsidR="00B85D51" w:rsidRPr="000F3267">
              <w:rPr>
                <w:rFonts w:asciiTheme="majorHAnsi" w:hAnsiTheme="majorHAnsi" w:cstheme="majorHAnsi"/>
              </w:rPr>
              <w:t xml:space="preserve"> initiation</w:t>
            </w:r>
            <w:r w:rsidR="00F15693" w:rsidRPr="000F3267">
              <w:rPr>
                <w:rFonts w:asciiTheme="majorHAnsi" w:hAnsiTheme="majorHAnsi" w:cstheme="majorHAnsi"/>
              </w:rPr>
              <w:t>. Presently</w:t>
            </w:r>
            <w:r w:rsidRPr="000F3267">
              <w:rPr>
                <w:rFonts w:asciiTheme="majorHAnsi" w:hAnsiTheme="majorHAnsi" w:cstheme="majorHAnsi"/>
              </w:rPr>
              <w:t xml:space="preserve">, </w:t>
            </w:r>
            <w:r w:rsidR="00B85D51" w:rsidRPr="000F3267">
              <w:rPr>
                <w:rFonts w:asciiTheme="majorHAnsi" w:hAnsiTheme="majorHAnsi" w:cstheme="majorHAnsi"/>
              </w:rPr>
              <w:t>drug-specific sensitivity testing for fluoroquinolones lasts for at least two</w:t>
            </w:r>
            <w:r w:rsidRPr="000F3267">
              <w:rPr>
                <w:rFonts w:asciiTheme="majorHAnsi" w:hAnsiTheme="majorHAnsi" w:cstheme="majorHAnsi"/>
              </w:rPr>
              <w:t xml:space="preserve"> days from the </w:t>
            </w:r>
            <w:r w:rsidR="00F15693" w:rsidRPr="000F3267">
              <w:rPr>
                <w:rFonts w:asciiTheme="majorHAnsi" w:hAnsiTheme="majorHAnsi" w:cstheme="majorHAnsi"/>
              </w:rPr>
              <w:t>time</w:t>
            </w:r>
            <w:r w:rsidRPr="000F3267">
              <w:rPr>
                <w:rFonts w:asciiTheme="majorHAnsi" w:hAnsiTheme="majorHAnsi" w:cstheme="majorHAnsi"/>
              </w:rPr>
              <w:t xml:space="preserve"> of sputum </w:t>
            </w:r>
            <w:r w:rsidR="00F15693" w:rsidRPr="000F3267">
              <w:rPr>
                <w:rFonts w:asciiTheme="majorHAnsi" w:hAnsiTheme="majorHAnsi" w:cstheme="majorHAnsi"/>
              </w:rPr>
              <w:t xml:space="preserve">delivery </w:t>
            </w:r>
            <w:r w:rsidRPr="000F3267">
              <w:rPr>
                <w:rFonts w:asciiTheme="majorHAnsi" w:hAnsiTheme="majorHAnsi" w:cstheme="majorHAnsi"/>
              </w:rPr>
              <w:t xml:space="preserve">to bacteriological laboratories </w:t>
            </w:r>
            <w:r w:rsidR="002E4741" w:rsidRPr="000F3267">
              <w:rPr>
                <w:rFonts w:asciiTheme="majorHAnsi" w:hAnsiTheme="majorHAnsi" w:cstheme="majorHAnsi"/>
              </w:rPr>
              <w:t xml:space="preserve">using LPA technology or </w:t>
            </w:r>
            <w:r w:rsidR="00B022BE" w:rsidRPr="000F3267">
              <w:rPr>
                <w:rFonts w:asciiTheme="majorHAnsi" w:hAnsiTheme="majorHAnsi" w:cstheme="majorHAnsi"/>
              </w:rPr>
              <w:t xml:space="preserve">is </w:t>
            </w:r>
            <w:r w:rsidR="00F15693" w:rsidRPr="000F3267">
              <w:rPr>
                <w:rFonts w:asciiTheme="majorHAnsi" w:hAnsiTheme="majorHAnsi" w:cstheme="majorHAnsi"/>
              </w:rPr>
              <w:t xml:space="preserve">performed </w:t>
            </w:r>
            <w:r w:rsidR="002E4741" w:rsidRPr="000F3267">
              <w:rPr>
                <w:rFonts w:asciiTheme="majorHAnsi" w:hAnsiTheme="majorHAnsi" w:cstheme="majorHAnsi"/>
              </w:rPr>
              <w:t>within three</w:t>
            </w:r>
            <w:r w:rsidRPr="000F3267">
              <w:rPr>
                <w:rFonts w:asciiTheme="majorHAnsi" w:hAnsiTheme="majorHAnsi" w:cstheme="majorHAnsi"/>
              </w:rPr>
              <w:t xml:space="preserve"> weeks using cultures on liquid media (MGIT 960).</w:t>
            </w:r>
          </w:p>
          <w:p w14:paraId="0F804299" w14:textId="54659141" w:rsidR="002A6B37" w:rsidRPr="00974FD7" w:rsidRDefault="002A6B37" w:rsidP="006A0E08">
            <w:pPr>
              <w:pStyle w:val="affff3"/>
              <w:numPr>
                <w:ilvl w:val="0"/>
                <w:numId w:val="30"/>
              </w:numPr>
              <w:spacing w:after="0" w:line="240" w:lineRule="auto"/>
              <w:jc w:val="both"/>
              <w:rPr>
                <w:rFonts w:asciiTheme="majorHAnsi" w:hAnsiTheme="majorHAnsi" w:cstheme="majorHAnsi"/>
              </w:rPr>
            </w:pPr>
            <w:r w:rsidRPr="00974FD7">
              <w:rPr>
                <w:rFonts w:asciiTheme="majorHAnsi" w:hAnsiTheme="majorHAnsi" w:cstheme="majorHAnsi"/>
              </w:rPr>
              <w:t xml:space="preserve">Limited access to DST to new and repurposed drugs (Bdq, Dlm, Cfz, Lzd) </w:t>
            </w:r>
            <w:r w:rsidR="008153B8">
              <w:rPr>
                <w:rFonts w:asciiTheme="majorHAnsi" w:hAnsiTheme="majorHAnsi" w:cstheme="majorHAnsi"/>
              </w:rPr>
              <w:t>pose additional challe</w:t>
            </w:r>
            <w:r w:rsidR="00F15693" w:rsidRPr="00974FD7">
              <w:rPr>
                <w:rFonts w:asciiTheme="majorHAnsi" w:hAnsiTheme="majorHAnsi" w:cstheme="majorHAnsi"/>
              </w:rPr>
              <w:t xml:space="preserve">nges in selection of </w:t>
            </w:r>
            <w:r w:rsidR="004F0ACE" w:rsidRPr="00974FD7">
              <w:rPr>
                <w:rFonts w:asciiTheme="majorHAnsi" w:hAnsiTheme="majorHAnsi" w:cstheme="majorHAnsi"/>
              </w:rPr>
              <w:t xml:space="preserve">promt and </w:t>
            </w:r>
            <w:r w:rsidR="00F15693" w:rsidRPr="00974FD7">
              <w:rPr>
                <w:rFonts w:asciiTheme="majorHAnsi" w:hAnsiTheme="majorHAnsi" w:cstheme="majorHAnsi"/>
              </w:rPr>
              <w:t xml:space="preserve">adequate treatment regimens and </w:t>
            </w:r>
            <w:r w:rsidR="00C97CBC" w:rsidRPr="00974FD7">
              <w:rPr>
                <w:rFonts w:asciiTheme="majorHAnsi" w:hAnsiTheme="majorHAnsi" w:cstheme="majorHAnsi"/>
              </w:rPr>
              <w:t xml:space="preserve">in the </w:t>
            </w:r>
            <w:r w:rsidRPr="00974FD7">
              <w:rPr>
                <w:rFonts w:asciiTheme="majorHAnsi" w:hAnsiTheme="majorHAnsi" w:cstheme="majorHAnsi"/>
              </w:rPr>
              <w:t xml:space="preserve">introduction of </w:t>
            </w:r>
            <w:r w:rsidR="00C97CBC" w:rsidRPr="00974FD7">
              <w:rPr>
                <w:rFonts w:asciiTheme="majorHAnsi" w:hAnsiTheme="majorHAnsi" w:cstheme="majorHAnsi"/>
              </w:rPr>
              <w:t xml:space="preserve">the new treatment regimens or combinations that shortening treatment duration. </w:t>
            </w:r>
          </w:p>
          <w:p w14:paraId="063E9044" w14:textId="77777777" w:rsidR="00FB46E3" w:rsidRPr="00974FD7" w:rsidRDefault="00B022BE" w:rsidP="006A0E08">
            <w:pPr>
              <w:pStyle w:val="affff3"/>
              <w:numPr>
                <w:ilvl w:val="0"/>
                <w:numId w:val="30"/>
              </w:numPr>
              <w:spacing w:after="0" w:line="240" w:lineRule="auto"/>
              <w:jc w:val="both"/>
              <w:rPr>
                <w:rFonts w:asciiTheme="majorHAnsi" w:hAnsiTheme="majorHAnsi" w:cstheme="majorHAnsi"/>
              </w:rPr>
            </w:pPr>
            <w:r w:rsidRPr="00974FD7">
              <w:rPr>
                <w:rFonts w:asciiTheme="majorHAnsi" w:hAnsiTheme="majorHAnsi" w:cstheme="majorHAnsi"/>
              </w:rPr>
              <w:t xml:space="preserve">Lack of access to new drugs and treatment regimens, especially for XDR-TB patients, reduces treatment success, </w:t>
            </w:r>
            <w:r w:rsidR="00F949BD" w:rsidRPr="00974FD7">
              <w:rPr>
                <w:rFonts w:asciiTheme="majorHAnsi" w:hAnsiTheme="majorHAnsi" w:cstheme="majorHAnsi"/>
              </w:rPr>
              <w:t>and can</w:t>
            </w:r>
            <w:r w:rsidRPr="00974FD7">
              <w:rPr>
                <w:rFonts w:asciiTheme="majorHAnsi" w:hAnsiTheme="majorHAnsi" w:cstheme="majorHAnsi"/>
              </w:rPr>
              <w:t xml:space="preserve"> lead to poor treatment outcomes for this category of patients.</w:t>
            </w:r>
          </w:p>
          <w:p w14:paraId="74D26246" w14:textId="77777777" w:rsidR="006525FA" w:rsidRPr="00974FD7" w:rsidRDefault="00FB46E3" w:rsidP="006A0E08">
            <w:pPr>
              <w:pStyle w:val="affff3"/>
              <w:numPr>
                <w:ilvl w:val="0"/>
                <w:numId w:val="30"/>
              </w:numPr>
              <w:spacing w:after="0" w:line="240" w:lineRule="auto"/>
              <w:jc w:val="both"/>
              <w:rPr>
                <w:rFonts w:asciiTheme="majorHAnsi" w:hAnsiTheme="majorHAnsi" w:cstheme="majorHAnsi"/>
              </w:rPr>
            </w:pPr>
            <w:r w:rsidRPr="00974FD7">
              <w:rPr>
                <w:rFonts w:asciiTheme="majorHAnsi" w:hAnsiTheme="majorHAnsi" w:cstheme="majorHAnsi"/>
              </w:rPr>
              <w:t>TB drugs provision is a complex procedure involving multiple mandatory steps to be accomplished by various actors at regional and central levels. In recent years, it has become more complicated with the introduction of new technologies and treatment options, focusing on individualized treatment regimens, following revisited recommendations from WHO and other technical partners.</w:t>
            </w:r>
          </w:p>
          <w:p w14:paraId="571CFD03" w14:textId="46111E3A" w:rsidR="006525FA" w:rsidRPr="00974FD7" w:rsidRDefault="006525FA" w:rsidP="006A0E08">
            <w:pPr>
              <w:pStyle w:val="affff3"/>
              <w:numPr>
                <w:ilvl w:val="0"/>
                <w:numId w:val="30"/>
              </w:numPr>
              <w:spacing w:after="0" w:line="240" w:lineRule="auto"/>
              <w:jc w:val="both"/>
              <w:rPr>
                <w:rFonts w:asciiTheme="majorHAnsi" w:hAnsiTheme="majorHAnsi" w:cstheme="majorHAnsi"/>
              </w:rPr>
            </w:pPr>
            <w:r w:rsidRPr="00974FD7">
              <w:rPr>
                <w:rFonts w:asciiTheme="majorHAnsi" w:hAnsiTheme="majorHAnsi" w:cstheme="majorHAnsi"/>
              </w:rPr>
              <w:t>The inclusion of new and repurposed TB drugs in the list of essential medicines and their introduction into the general prescribing practice for patients with DR-TB, following the latest WHO recommendations, assumes a well-functioning system in place for aDSM. The implementation of the Comprehensive Plan components at the national level contains responsibilities, including those related to pharmacovigilance, which are not yet well reflected in the current NTP coordination system.</w:t>
            </w:r>
          </w:p>
          <w:p w14:paraId="4BFCBB75" w14:textId="7BC02498" w:rsidR="004C3F5E" w:rsidRPr="00974FD7" w:rsidRDefault="004C3F5E" w:rsidP="006A0E08">
            <w:pPr>
              <w:pStyle w:val="affff3"/>
              <w:numPr>
                <w:ilvl w:val="0"/>
                <w:numId w:val="30"/>
              </w:numPr>
              <w:spacing w:after="0" w:line="240" w:lineRule="auto"/>
              <w:jc w:val="both"/>
              <w:rPr>
                <w:rFonts w:asciiTheme="majorHAnsi" w:hAnsiTheme="majorHAnsi" w:cstheme="majorHAnsi"/>
              </w:rPr>
            </w:pPr>
            <w:r w:rsidRPr="00974FD7">
              <w:rPr>
                <w:rFonts w:asciiTheme="majorHAnsi" w:hAnsiTheme="majorHAnsi" w:cstheme="majorHAnsi"/>
              </w:rPr>
              <w:t>Well</w:t>
            </w:r>
            <w:r w:rsidR="0061623D" w:rsidRPr="00974FD7">
              <w:rPr>
                <w:rFonts w:asciiTheme="majorHAnsi" w:hAnsiTheme="majorHAnsi" w:cstheme="majorHAnsi"/>
              </w:rPr>
              <w:t xml:space="preserve">-organized coordination of </w:t>
            </w:r>
            <w:r w:rsidRPr="00974FD7">
              <w:rPr>
                <w:rFonts w:asciiTheme="majorHAnsi" w:hAnsiTheme="majorHAnsi" w:cstheme="majorHAnsi"/>
              </w:rPr>
              <w:t xml:space="preserve">TB </w:t>
            </w:r>
            <w:r w:rsidR="0061623D" w:rsidRPr="00974FD7">
              <w:rPr>
                <w:rFonts w:asciiTheme="majorHAnsi" w:hAnsiTheme="majorHAnsi" w:cstheme="majorHAnsi"/>
              </w:rPr>
              <w:t xml:space="preserve">Service </w:t>
            </w:r>
            <w:r w:rsidRPr="00974FD7">
              <w:rPr>
                <w:rFonts w:asciiTheme="majorHAnsi" w:hAnsiTheme="majorHAnsi" w:cstheme="majorHAnsi"/>
              </w:rPr>
              <w:t xml:space="preserve">activities at the central and regional levels is necessary for effective program management, timely decision-making, correct and effective management of TB cases and the introduction of modern methods of diagnosis, </w:t>
            </w:r>
            <w:proofErr w:type="gramStart"/>
            <w:r w:rsidRPr="00974FD7">
              <w:rPr>
                <w:rFonts w:asciiTheme="majorHAnsi" w:hAnsiTheme="majorHAnsi" w:cstheme="majorHAnsi"/>
              </w:rPr>
              <w:t>treatment</w:t>
            </w:r>
            <w:proofErr w:type="gramEnd"/>
            <w:r w:rsidRPr="00974FD7">
              <w:rPr>
                <w:rFonts w:asciiTheme="majorHAnsi" w:hAnsiTheme="majorHAnsi" w:cstheme="majorHAnsi"/>
              </w:rPr>
              <w:t xml:space="preserve"> and case management.</w:t>
            </w:r>
          </w:p>
          <w:p w14:paraId="0DCF8EB8" w14:textId="42BB2835" w:rsidR="00042FE2" w:rsidRPr="00974FD7" w:rsidRDefault="00292A4B" w:rsidP="006A0E08">
            <w:pPr>
              <w:pStyle w:val="affff3"/>
              <w:numPr>
                <w:ilvl w:val="0"/>
                <w:numId w:val="30"/>
              </w:numPr>
              <w:spacing w:after="0" w:line="240" w:lineRule="auto"/>
              <w:jc w:val="both"/>
              <w:rPr>
                <w:rFonts w:asciiTheme="majorHAnsi" w:hAnsiTheme="majorHAnsi" w:cstheme="majorHAnsi"/>
              </w:rPr>
            </w:pPr>
            <w:r w:rsidRPr="00974FD7">
              <w:rPr>
                <w:rFonts w:asciiTheme="majorHAnsi" w:hAnsiTheme="majorHAnsi" w:cstheme="majorHAnsi"/>
              </w:rPr>
              <w:t>The introduction of advanced technologies, new drugs, and treatment regimens, new models of people-cantered care, involvement of public and private sectors and community-based organizations in collaborative work towards TB prevention, diagnosis, care, and control, requires constant education with application of new approaches and information technologies and platforms for teaching and learning.</w:t>
            </w:r>
          </w:p>
        </w:tc>
      </w:tr>
      <w:tr w:rsidR="00007BFF" w:rsidRPr="00BF4BEE" w14:paraId="135CBC88" w14:textId="77777777" w:rsidTr="00F47032">
        <w:trPr>
          <w:trHeight w:val="440"/>
        </w:trPr>
        <w:tc>
          <w:tcPr>
            <w:tcW w:w="2448" w:type="dxa"/>
            <w:shd w:val="clear" w:color="auto" w:fill="F2F2F2"/>
            <w:vAlign w:val="center"/>
          </w:tcPr>
          <w:p w14:paraId="76FB7910" w14:textId="77777777" w:rsidR="00007BFF" w:rsidRPr="00BF4BEE" w:rsidRDefault="00007BFF" w:rsidP="00F47032">
            <w:pPr>
              <w:spacing w:after="0"/>
            </w:pPr>
            <w:r w:rsidRPr="00BF4BEE">
              <w:t>Rationale</w:t>
            </w:r>
          </w:p>
        </w:tc>
        <w:tc>
          <w:tcPr>
            <w:tcW w:w="7902" w:type="dxa"/>
          </w:tcPr>
          <w:p w14:paraId="65732649" w14:textId="1575191C" w:rsidR="00333F47" w:rsidRPr="000F3267" w:rsidRDefault="00333F47" w:rsidP="00F47032">
            <w:pPr>
              <w:spacing w:after="0" w:line="240" w:lineRule="auto"/>
              <w:jc w:val="both"/>
              <w:rPr>
                <w:rFonts w:asciiTheme="majorHAnsi" w:hAnsiTheme="majorHAnsi" w:cstheme="majorHAnsi"/>
                <w:b/>
              </w:rPr>
            </w:pPr>
            <w:r w:rsidRPr="000F3267">
              <w:rPr>
                <w:rFonts w:asciiTheme="majorHAnsi" w:hAnsiTheme="majorHAnsi" w:cstheme="majorHAnsi"/>
                <w:b/>
              </w:rPr>
              <w:t>Preserving good coverage of the rapid and effective diagnosis of tuberculosis and rifampicin resistance, and the introduction of rapid diagnosis of resistance to fluoroquinolones</w:t>
            </w:r>
            <w:r w:rsidR="00A57B94" w:rsidRPr="000F3267">
              <w:rPr>
                <w:rFonts w:asciiTheme="majorHAnsi" w:hAnsiTheme="majorHAnsi" w:cstheme="majorHAnsi"/>
                <w:b/>
              </w:rPr>
              <w:t>.</w:t>
            </w:r>
          </w:p>
          <w:p w14:paraId="342BEF45" w14:textId="77777777" w:rsidR="00D910C6" w:rsidRDefault="009E0007" w:rsidP="00F47032">
            <w:pPr>
              <w:spacing w:after="0" w:line="240" w:lineRule="auto"/>
              <w:jc w:val="both"/>
              <w:rPr>
                <w:rFonts w:asciiTheme="majorHAnsi" w:hAnsiTheme="majorHAnsi" w:cstheme="majorHAnsi"/>
              </w:rPr>
            </w:pPr>
            <w:r w:rsidRPr="000F3267">
              <w:rPr>
                <w:rFonts w:asciiTheme="majorHAnsi" w:hAnsiTheme="majorHAnsi" w:cstheme="majorHAnsi"/>
              </w:rPr>
              <w:t>As presented in section 1.1 above on “</w:t>
            </w:r>
            <w:r w:rsidRPr="000F3267">
              <w:rPr>
                <w:rFonts w:asciiTheme="majorHAnsi" w:hAnsiTheme="majorHAnsi" w:cstheme="majorHAnsi"/>
                <w:i/>
              </w:rPr>
              <w:t>country context</w:t>
            </w:r>
            <w:r w:rsidRPr="000F3267">
              <w:rPr>
                <w:rFonts w:asciiTheme="majorHAnsi" w:hAnsiTheme="majorHAnsi" w:cstheme="majorHAnsi"/>
              </w:rPr>
              <w:t xml:space="preserve">”, over the past years, with the support of technical partners and donors, Kazakhstan, following the WHO recommendation, has expanded access to rapid molecular assays, </w:t>
            </w:r>
            <w:proofErr w:type="gramStart"/>
            <w:r w:rsidRPr="000F3267">
              <w:rPr>
                <w:rFonts w:asciiTheme="majorHAnsi" w:hAnsiTheme="majorHAnsi" w:cstheme="majorHAnsi"/>
              </w:rPr>
              <w:t>in particular to</w:t>
            </w:r>
            <w:proofErr w:type="gramEnd"/>
            <w:r w:rsidRPr="000F3267">
              <w:rPr>
                <w:rFonts w:asciiTheme="majorHAnsi" w:hAnsiTheme="majorHAnsi" w:cstheme="majorHAnsi"/>
              </w:rPr>
              <w:t xml:space="preserve"> GeneXpert technology at the district and regional levels, as the initial test to diagnose TB in suspects and resistance to rifampicin.</w:t>
            </w:r>
            <w:r w:rsidR="00D910C6" w:rsidRPr="000F3267">
              <w:rPr>
                <w:rFonts w:asciiTheme="majorHAnsi" w:hAnsiTheme="majorHAnsi" w:cstheme="majorHAnsi"/>
              </w:rPr>
              <w:t xml:space="preserve"> The molecular diagnostic testing coverage of estimated TB suspects have been increased and </w:t>
            </w:r>
            <w:r w:rsidR="000164D7" w:rsidRPr="000F3267">
              <w:rPr>
                <w:rFonts w:asciiTheme="majorHAnsi" w:hAnsiTheme="majorHAnsi" w:cstheme="majorHAnsi"/>
              </w:rPr>
              <w:t xml:space="preserve">more than 95% of all </w:t>
            </w:r>
            <w:r w:rsidR="00D910C6" w:rsidRPr="000F3267">
              <w:rPr>
                <w:rFonts w:asciiTheme="majorHAnsi" w:hAnsiTheme="majorHAnsi" w:cstheme="majorHAnsi"/>
              </w:rPr>
              <w:t xml:space="preserve">detected </w:t>
            </w:r>
            <w:r w:rsidR="000164D7" w:rsidRPr="000F3267">
              <w:rPr>
                <w:rFonts w:asciiTheme="majorHAnsi" w:hAnsiTheme="majorHAnsi" w:cstheme="majorHAnsi"/>
              </w:rPr>
              <w:t xml:space="preserve">cases </w:t>
            </w:r>
            <w:r w:rsidR="00D910C6" w:rsidRPr="000F3267">
              <w:rPr>
                <w:rFonts w:asciiTheme="majorHAnsi" w:hAnsiTheme="majorHAnsi" w:cstheme="majorHAnsi"/>
              </w:rPr>
              <w:t>during this year, including new and relapses,</w:t>
            </w:r>
            <w:r w:rsidR="000164D7" w:rsidRPr="000F3267">
              <w:rPr>
                <w:rFonts w:asciiTheme="majorHAnsi" w:hAnsiTheme="majorHAnsi" w:cstheme="majorHAnsi"/>
              </w:rPr>
              <w:t xml:space="preserve"> have the result</w:t>
            </w:r>
            <w:r w:rsidR="00D910C6" w:rsidRPr="000F3267">
              <w:rPr>
                <w:rFonts w:asciiTheme="majorHAnsi" w:hAnsiTheme="majorHAnsi" w:cstheme="majorHAnsi"/>
              </w:rPr>
              <w:t>s</w:t>
            </w:r>
            <w:r w:rsidR="000164D7" w:rsidRPr="000F3267">
              <w:rPr>
                <w:rFonts w:asciiTheme="majorHAnsi" w:hAnsiTheme="majorHAnsi" w:cstheme="majorHAnsi"/>
              </w:rPr>
              <w:t xml:space="preserve"> of the GeneXpert test. </w:t>
            </w:r>
          </w:p>
          <w:p w14:paraId="1CE124DA" w14:textId="77777777" w:rsidR="00261448" w:rsidRPr="000F3267" w:rsidRDefault="00261448" w:rsidP="00F47032">
            <w:pPr>
              <w:spacing w:after="0" w:line="240" w:lineRule="auto"/>
              <w:jc w:val="both"/>
              <w:rPr>
                <w:rFonts w:asciiTheme="majorHAnsi" w:hAnsiTheme="majorHAnsi" w:cstheme="majorHAnsi"/>
              </w:rPr>
            </w:pPr>
          </w:p>
          <w:p w14:paraId="2C03E616" w14:textId="4C84ED9C" w:rsidR="0048695C" w:rsidRPr="000F3267" w:rsidRDefault="0048695C" w:rsidP="00F47032">
            <w:pPr>
              <w:spacing w:after="0" w:line="240" w:lineRule="auto"/>
              <w:jc w:val="both"/>
              <w:rPr>
                <w:rFonts w:asciiTheme="majorHAnsi" w:hAnsiTheme="majorHAnsi" w:cstheme="majorHAnsi"/>
              </w:rPr>
            </w:pPr>
            <w:r w:rsidRPr="000F3267">
              <w:rPr>
                <w:rFonts w:asciiTheme="majorHAnsi" w:hAnsiTheme="majorHAnsi" w:cstheme="majorHAnsi"/>
              </w:rPr>
              <w:t>From the GF C19RM supplementary funds, the PR intends to procure units of the 10-color module of the GeneXpert machine for detecting extensively drug-resistant tuberculosis and identify</w:t>
            </w:r>
            <w:r w:rsidR="005D098B" w:rsidRPr="000F3267">
              <w:rPr>
                <w:rFonts w:asciiTheme="majorHAnsi" w:hAnsiTheme="majorHAnsi" w:cstheme="majorHAnsi"/>
              </w:rPr>
              <w:t>ing</w:t>
            </w:r>
            <w:r w:rsidRPr="000F3267">
              <w:rPr>
                <w:rFonts w:asciiTheme="majorHAnsi" w:hAnsiTheme="majorHAnsi" w:cstheme="majorHAnsi"/>
              </w:rPr>
              <w:t xml:space="preserve"> cases of resistance to fluoroquinolones within a few hours for the prompt and appropriate treatment prescription.</w:t>
            </w:r>
            <w:r w:rsidR="00780AC3" w:rsidRPr="000F3267">
              <w:rPr>
                <w:rFonts w:asciiTheme="majorHAnsi" w:hAnsiTheme="majorHAnsi" w:cstheme="majorHAnsi"/>
              </w:rPr>
              <w:t xml:space="preserve"> Furthermore, aiming to address the access issues</w:t>
            </w:r>
            <w:r w:rsidR="00422BB4" w:rsidRPr="000F3267">
              <w:rPr>
                <w:rFonts w:asciiTheme="majorHAnsi" w:hAnsiTheme="majorHAnsi" w:cstheme="majorHAnsi"/>
              </w:rPr>
              <w:t xml:space="preserve"> and speed up obtaining the test results for the timely treatment initiation</w:t>
            </w:r>
            <w:r w:rsidR="00780AC3" w:rsidRPr="000F3267">
              <w:rPr>
                <w:rFonts w:asciiTheme="majorHAnsi" w:hAnsiTheme="majorHAnsi" w:cstheme="majorHAnsi"/>
              </w:rPr>
              <w:t xml:space="preserve">, 20 units of the available 6-color module equipment from bacteriological laboratories will be transferred to the selected peripheral district </w:t>
            </w:r>
            <w:r w:rsidR="005B4E3A" w:rsidRPr="000F3267">
              <w:rPr>
                <w:rFonts w:asciiTheme="majorHAnsi" w:hAnsiTheme="majorHAnsi" w:cstheme="majorHAnsi"/>
              </w:rPr>
              <w:t xml:space="preserve">PHC </w:t>
            </w:r>
            <w:r w:rsidR="00780AC3" w:rsidRPr="000F3267">
              <w:rPr>
                <w:rFonts w:asciiTheme="majorHAnsi" w:hAnsiTheme="majorHAnsi" w:cstheme="majorHAnsi"/>
              </w:rPr>
              <w:t>facilities. These are the sites that have the average distance for sputum samples transportation from the rayons to oblast/inter-district’ GeneXpert laboratories exceeding 100 km.</w:t>
            </w:r>
            <w:r w:rsidR="00780AC3" w:rsidRPr="000F3267">
              <w:rPr>
                <w:rFonts w:asciiTheme="majorHAnsi" w:hAnsiTheme="majorHAnsi" w:cstheme="majorHAnsi"/>
                <w:color w:val="7030A0"/>
              </w:rPr>
              <w:t xml:space="preserve"> </w:t>
            </w:r>
          </w:p>
          <w:p w14:paraId="2EA55BE7" w14:textId="77777777" w:rsidR="00A733E9" w:rsidRPr="000F3267" w:rsidRDefault="00A733E9" w:rsidP="00F47032">
            <w:pPr>
              <w:spacing w:after="0" w:line="240" w:lineRule="auto"/>
              <w:jc w:val="both"/>
              <w:rPr>
                <w:rFonts w:asciiTheme="majorHAnsi" w:hAnsiTheme="majorHAnsi" w:cstheme="majorHAnsi"/>
              </w:rPr>
            </w:pPr>
          </w:p>
          <w:p w14:paraId="3F38C7C2" w14:textId="77777777" w:rsidR="005B4E3A" w:rsidRPr="000F3267" w:rsidRDefault="00A733E9" w:rsidP="00F47032">
            <w:pPr>
              <w:spacing w:after="0" w:line="240" w:lineRule="auto"/>
              <w:jc w:val="both"/>
              <w:rPr>
                <w:rFonts w:asciiTheme="majorHAnsi" w:hAnsiTheme="majorHAnsi" w:cstheme="majorHAnsi"/>
              </w:rPr>
            </w:pPr>
            <w:r w:rsidRPr="000F3267">
              <w:rPr>
                <w:rFonts w:asciiTheme="majorHAnsi" w:hAnsiTheme="majorHAnsi" w:cstheme="majorHAnsi"/>
              </w:rPr>
              <w:t xml:space="preserve">The effective functioning of the GeneXpert laboratories network at different levels is determined, among the other things, by the timely procurement and supply of the required reagents, provision of appropriate equipment maintenance services, the creation of an in-country stockpile for quick replacement of modules, the constant monitoring of the performance of GeneXpert laboratories, as well as the provision of technical assistance to the health workers at the district level and improving the knowledge improvement of the laboratory personnel. </w:t>
            </w:r>
          </w:p>
          <w:p w14:paraId="398793D9" w14:textId="77777777" w:rsidR="005B4E3A" w:rsidRPr="000F3267" w:rsidRDefault="005B4E3A" w:rsidP="00F47032">
            <w:pPr>
              <w:spacing w:after="0" w:line="240" w:lineRule="auto"/>
              <w:jc w:val="both"/>
              <w:rPr>
                <w:rFonts w:asciiTheme="majorHAnsi" w:hAnsiTheme="majorHAnsi" w:cstheme="majorHAnsi"/>
              </w:rPr>
            </w:pPr>
          </w:p>
          <w:p w14:paraId="2F3A7DB7" w14:textId="77777777" w:rsidR="005B4E3A" w:rsidRPr="000F3267" w:rsidRDefault="005B4E3A" w:rsidP="00F47032">
            <w:pPr>
              <w:spacing w:after="0" w:line="240" w:lineRule="auto"/>
              <w:jc w:val="both"/>
              <w:rPr>
                <w:rFonts w:asciiTheme="majorHAnsi" w:hAnsiTheme="majorHAnsi" w:cstheme="majorHAnsi"/>
              </w:rPr>
            </w:pPr>
            <w:r w:rsidRPr="000F3267">
              <w:rPr>
                <w:rFonts w:asciiTheme="majorHAnsi" w:hAnsiTheme="majorHAnsi" w:cstheme="majorHAnsi"/>
              </w:rPr>
              <w:t>It is worth mentioning that s</w:t>
            </w:r>
            <w:r w:rsidR="00015966" w:rsidRPr="000F3267">
              <w:rPr>
                <w:rFonts w:asciiTheme="majorHAnsi" w:hAnsiTheme="majorHAnsi" w:cstheme="majorHAnsi"/>
              </w:rPr>
              <w:t>ince 2019, the country's needs in Xpert MTB/Rif cartridges have been financed from the government budget. All new machines purchased from USAID and GF funds have a standard 5-year warranty period. The Xpert machines procured before 2019 passed a full check and are covered by post-warranty service. The monitoring of the GeneXpert laboratory network and the training and retraining of laboratory personnel are performed from the GF, NT</w:t>
            </w:r>
            <w:r w:rsidR="00731C31" w:rsidRPr="000F3267">
              <w:rPr>
                <w:rFonts w:asciiTheme="majorHAnsi" w:hAnsiTheme="majorHAnsi" w:cstheme="majorHAnsi"/>
              </w:rPr>
              <w:t>P, and the ETICA project budget allocations</w:t>
            </w:r>
            <w:r w:rsidR="00015966" w:rsidRPr="000F3267">
              <w:rPr>
                <w:rFonts w:asciiTheme="majorHAnsi" w:hAnsiTheme="majorHAnsi" w:cstheme="majorHAnsi"/>
              </w:rPr>
              <w:t xml:space="preserve">. </w:t>
            </w:r>
          </w:p>
          <w:p w14:paraId="7745A620" w14:textId="77777777" w:rsidR="005B4E3A" w:rsidRPr="000F3267" w:rsidRDefault="005B4E3A" w:rsidP="00F47032">
            <w:pPr>
              <w:spacing w:after="0" w:line="240" w:lineRule="auto"/>
              <w:jc w:val="both"/>
              <w:rPr>
                <w:rFonts w:asciiTheme="majorHAnsi" w:hAnsiTheme="majorHAnsi" w:cstheme="majorHAnsi"/>
              </w:rPr>
            </w:pPr>
          </w:p>
          <w:p w14:paraId="30972919" w14:textId="468CD423" w:rsidR="00BF333D" w:rsidRPr="00353A8C" w:rsidRDefault="00EC1C2B" w:rsidP="00F47032">
            <w:pPr>
              <w:spacing w:after="0" w:line="240" w:lineRule="auto"/>
              <w:jc w:val="both"/>
              <w:rPr>
                <w:rFonts w:asciiTheme="majorHAnsi" w:eastAsia="Cambria" w:hAnsiTheme="majorHAnsi" w:cstheme="majorHAnsi"/>
              </w:rPr>
            </w:pPr>
            <w:r w:rsidRPr="000F3267">
              <w:rPr>
                <w:rFonts w:asciiTheme="majorHAnsi" w:eastAsia="Cambria" w:hAnsiTheme="majorHAnsi" w:cstheme="majorHAnsi"/>
              </w:rPr>
              <w:t>A smooth transition from the donor's support to domestic financing of GeneXper</w:t>
            </w:r>
            <w:r w:rsidR="005B4E3A" w:rsidRPr="000F3267">
              <w:rPr>
                <w:rFonts w:asciiTheme="majorHAnsi" w:eastAsia="Cambria" w:hAnsiTheme="majorHAnsi" w:cstheme="majorHAnsi"/>
              </w:rPr>
              <w:t>t</w:t>
            </w:r>
            <w:r w:rsidRPr="000F3267">
              <w:rPr>
                <w:rFonts w:asciiTheme="majorHAnsi" w:eastAsia="Cambria" w:hAnsiTheme="majorHAnsi" w:cstheme="majorHAnsi"/>
              </w:rPr>
              <w:t xml:space="preserve"> </w:t>
            </w:r>
            <w:r w:rsidRPr="007F5869">
              <w:rPr>
                <w:rFonts w:asciiTheme="majorHAnsi" w:eastAsia="Cambria" w:hAnsiTheme="majorHAnsi" w:cstheme="majorHAnsi"/>
              </w:rPr>
              <w:t>maintenance and laboratory network monitoring services will occur over the next four years, with the full transition by the end of the grant period</w:t>
            </w:r>
            <w:r w:rsidR="0034672C" w:rsidRPr="007F5869">
              <w:rPr>
                <w:rFonts w:asciiTheme="majorHAnsi" w:eastAsia="Cambria" w:hAnsiTheme="majorHAnsi" w:cstheme="majorHAnsi"/>
              </w:rPr>
              <w:t xml:space="preserve">. </w:t>
            </w:r>
            <w:r w:rsidR="00E626A7">
              <w:t xml:space="preserve"> </w:t>
            </w:r>
            <w:r w:rsidR="00E626A7" w:rsidRPr="00E626A7">
              <w:rPr>
                <w:rFonts w:asciiTheme="majorHAnsi" w:eastAsia="Cambria" w:hAnsiTheme="majorHAnsi" w:cstheme="majorHAnsi"/>
              </w:rPr>
              <w:t>Furthermore, after the inclusion of Xpert MTB/XDR cartridges for rapid testing of resistance to second-line drugs in the list of medicines and me</w:t>
            </w:r>
            <w:r w:rsidR="00E626A7">
              <w:rPr>
                <w:rFonts w:asciiTheme="majorHAnsi" w:eastAsia="Cambria" w:hAnsiTheme="majorHAnsi" w:cstheme="majorHAnsi"/>
              </w:rPr>
              <w:t>dical devices to be procured through</w:t>
            </w:r>
            <w:r w:rsidR="00E626A7" w:rsidRPr="00E626A7">
              <w:rPr>
                <w:rFonts w:asciiTheme="majorHAnsi" w:eastAsia="Cambria" w:hAnsiTheme="majorHAnsi" w:cstheme="majorHAnsi"/>
              </w:rPr>
              <w:t xml:space="preserve"> the </w:t>
            </w:r>
            <w:r w:rsidR="000C7449">
              <w:rPr>
                <w:rFonts w:asciiTheme="majorHAnsi" w:eastAsia="Cambria" w:hAnsiTheme="majorHAnsi" w:cstheme="majorHAnsi"/>
              </w:rPr>
              <w:t xml:space="preserve">system of the </w:t>
            </w:r>
            <w:r w:rsidR="00E626A7" w:rsidRPr="00E626A7">
              <w:rPr>
                <w:rFonts w:asciiTheme="majorHAnsi" w:eastAsia="Cambria" w:hAnsiTheme="majorHAnsi" w:cstheme="majorHAnsi"/>
              </w:rPr>
              <w:t>single drug distributor, the procurement will be made from budgetary funds.</w:t>
            </w:r>
          </w:p>
          <w:p w14:paraId="5921A027" w14:textId="77777777" w:rsidR="00E81D9D" w:rsidRPr="000F3267" w:rsidRDefault="00E81D9D" w:rsidP="00F47032">
            <w:pPr>
              <w:spacing w:after="0" w:line="240" w:lineRule="auto"/>
              <w:jc w:val="both"/>
              <w:rPr>
                <w:rFonts w:asciiTheme="majorHAnsi" w:eastAsia="Cambria" w:hAnsiTheme="majorHAnsi" w:cstheme="majorHAnsi"/>
              </w:rPr>
            </w:pPr>
          </w:p>
          <w:p w14:paraId="22E7FE06" w14:textId="48510DAE" w:rsidR="00A57B94" w:rsidRPr="000F3267" w:rsidRDefault="00BF333D" w:rsidP="00F47032">
            <w:pPr>
              <w:shd w:val="clear" w:color="auto" w:fill="FFFFFF" w:themeFill="background1"/>
              <w:spacing w:after="0" w:line="240" w:lineRule="auto"/>
              <w:jc w:val="both"/>
              <w:rPr>
                <w:rFonts w:asciiTheme="majorHAnsi" w:hAnsiTheme="majorHAnsi" w:cstheme="majorHAnsi"/>
              </w:rPr>
            </w:pPr>
            <w:r w:rsidRPr="000F3267">
              <w:rPr>
                <w:rFonts w:asciiTheme="majorHAnsi" w:hAnsiTheme="majorHAnsi" w:cstheme="majorHAnsi"/>
                <w:b/>
              </w:rPr>
              <w:t>Ensure access to phenotypic DST to 2nd line drugs</w:t>
            </w:r>
            <w:r w:rsidR="00A57B94" w:rsidRPr="000F3267">
              <w:rPr>
                <w:rFonts w:asciiTheme="majorHAnsi" w:hAnsiTheme="majorHAnsi" w:cstheme="majorHAnsi"/>
                <w:b/>
              </w:rPr>
              <w:t>.</w:t>
            </w:r>
          </w:p>
          <w:p w14:paraId="32107C59" w14:textId="6886A320" w:rsidR="00BF333D" w:rsidRPr="000F3267" w:rsidRDefault="00BF333D" w:rsidP="00F47032">
            <w:pPr>
              <w:shd w:val="clear" w:color="auto" w:fill="FFFFFF" w:themeFill="background1"/>
              <w:spacing w:after="0" w:line="240" w:lineRule="auto"/>
              <w:jc w:val="both"/>
              <w:rPr>
                <w:rFonts w:asciiTheme="majorHAnsi" w:hAnsiTheme="majorHAnsi" w:cstheme="majorHAnsi"/>
              </w:rPr>
            </w:pPr>
            <w:r w:rsidRPr="000F3267">
              <w:rPr>
                <w:rFonts w:asciiTheme="majorHAnsi" w:hAnsiTheme="majorHAnsi" w:cstheme="majorHAnsi"/>
              </w:rPr>
              <w:t>Rapid and full DST to SLDs is key to scale-up new treatment regimens for DR-TB, including modified all-oral shorter regimens, having potential impact on treatment success. The c</w:t>
            </w:r>
            <w:r w:rsidR="007B5316" w:rsidRPr="000F3267">
              <w:rPr>
                <w:rFonts w:asciiTheme="majorHAnsi" w:hAnsiTheme="majorHAnsi" w:cstheme="majorHAnsi"/>
              </w:rPr>
              <w:t>ountry has established and is maintaining</w:t>
            </w:r>
            <w:r w:rsidRPr="000F3267">
              <w:rPr>
                <w:rFonts w:asciiTheme="majorHAnsi" w:hAnsiTheme="majorHAnsi" w:cstheme="majorHAnsi"/>
              </w:rPr>
              <w:t xml:space="preserve"> a good </w:t>
            </w:r>
            <w:r w:rsidR="007B5316" w:rsidRPr="000F3267">
              <w:rPr>
                <w:rFonts w:asciiTheme="majorHAnsi" w:hAnsiTheme="majorHAnsi" w:cstheme="majorHAnsi"/>
              </w:rPr>
              <w:t xml:space="preserve">network </w:t>
            </w:r>
            <w:r w:rsidR="00BF215B" w:rsidRPr="000F3267">
              <w:rPr>
                <w:rFonts w:asciiTheme="majorHAnsi" w:hAnsiTheme="majorHAnsi" w:cstheme="majorHAnsi"/>
              </w:rPr>
              <w:t xml:space="preserve">of </w:t>
            </w:r>
            <w:r w:rsidR="007B5316" w:rsidRPr="000F3267">
              <w:rPr>
                <w:rFonts w:asciiTheme="majorHAnsi" w:hAnsiTheme="majorHAnsi" w:cstheme="majorHAnsi"/>
              </w:rPr>
              <w:t>laboratories</w:t>
            </w:r>
            <w:r w:rsidRPr="000F3267">
              <w:rPr>
                <w:rFonts w:asciiTheme="majorHAnsi" w:hAnsiTheme="majorHAnsi" w:cstheme="majorHAnsi"/>
              </w:rPr>
              <w:t xml:space="preserve"> on phenotypic </w:t>
            </w:r>
            <w:r w:rsidR="00BF215B" w:rsidRPr="000F3267">
              <w:rPr>
                <w:rFonts w:asciiTheme="majorHAnsi" w:hAnsiTheme="majorHAnsi" w:cstheme="majorHAnsi"/>
              </w:rPr>
              <w:t>analysis</w:t>
            </w:r>
            <w:r w:rsidRPr="000F3267">
              <w:rPr>
                <w:rFonts w:asciiTheme="majorHAnsi" w:hAnsiTheme="majorHAnsi" w:cstheme="majorHAnsi"/>
              </w:rPr>
              <w:t xml:space="preserve"> and DST to first and SLD drugs. </w:t>
            </w:r>
            <w:r w:rsidR="00FD276A" w:rsidRPr="000F3267">
              <w:rPr>
                <w:rFonts w:asciiTheme="majorHAnsi" w:hAnsiTheme="majorHAnsi" w:cstheme="majorHAnsi"/>
              </w:rPr>
              <w:t xml:space="preserve">Nearly </w:t>
            </w:r>
            <w:r w:rsidRPr="000F3267">
              <w:rPr>
                <w:rFonts w:asciiTheme="majorHAnsi" w:hAnsiTheme="majorHAnsi" w:cstheme="majorHAnsi"/>
              </w:rPr>
              <w:t xml:space="preserve">94% of bacteriologically confirmed </w:t>
            </w:r>
            <w:r w:rsidR="00FD276A" w:rsidRPr="000F3267">
              <w:rPr>
                <w:rFonts w:asciiTheme="majorHAnsi" w:hAnsiTheme="majorHAnsi" w:cstheme="majorHAnsi"/>
              </w:rPr>
              <w:t xml:space="preserve">pulmonary </w:t>
            </w:r>
            <w:r w:rsidRPr="000F3267">
              <w:rPr>
                <w:rFonts w:asciiTheme="majorHAnsi" w:hAnsiTheme="majorHAnsi" w:cstheme="majorHAnsi"/>
              </w:rPr>
              <w:t xml:space="preserve">cases had the results of DST to rifampicin; and about 90% of RR-TB cases had DST to SLD. Country have been introduced </w:t>
            </w:r>
            <w:r w:rsidR="00BF215B" w:rsidRPr="000F3267">
              <w:rPr>
                <w:rFonts w:asciiTheme="majorHAnsi" w:hAnsiTheme="majorHAnsi" w:cstheme="majorHAnsi"/>
              </w:rPr>
              <w:t xml:space="preserve">in the diagnostic algorithm </w:t>
            </w:r>
            <w:r w:rsidRPr="000F3267">
              <w:rPr>
                <w:rFonts w:asciiTheme="majorHAnsi" w:hAnsiTheme="majorHAnsi" w:cstheme="majorHAnsi"/>
              </w:rPr>
              <w:t>the DST to Linezolid (Lzd) and Clofazimine (Cfz) since 2020, and DST to Bdq - since 2021. The DST</w:t>
            </w:r>
            <w:r w:rsidR="00BF215B" w:rsidRPr="000F3267">
              <w:rPr>
                <w:rFonts w:asciiTheme="majorHAnsi" w:hAnsiTheme="majorHAnsi" w:cstheme="majorHAnsi"/>
              </w:rPr>
              <w:t xml:space="preserve"> method for </w:t>
            </w:r>
            <w:r w:rsidRPr="000F3267">
              <w:rPr>
                <w:rFonts w:asciiTheme="majorHAnsi" w:hAnsiTheme="majorHAnsi" w:cstheme="majorHAnsi"/>
              </w:rPr>
              <w:t xml:space="preserve">Delamanid (Dlm) </w:t>
            </w:r>
            <w:r w:rsidR="00BF215B" w:rsidRPr="000F3267">
              <w:rPr>
                <w:rFonts w:asciiTheme="majorHAnsi" w:hAnsiTheme="majorHAnsi" w:cstheme="majorHAnsi"/>
              </w:rPr>
              <w:t xml:space="preserve">will be launched in </w:t>
            </w:r>
            <w:r w:rsidRPr="000F3267">
              <w:rPr>
                <w:rFonts w:asciiTheme="majorHAnsi" w:hAnsiTheme="majorHAnsi" w:cstheme="majorHAnsi"/>
              </w:rPr>
              <w:t>2022.</w:t>
            </w:r>
          </w:p>
          <w:p w14:paraId="5F61E36E" w14:textId="77777777" w:rsidR="007901A2" w:rsidRPr="000F3267" w:rsidRDefault="007901A2" w:rsidP="00F47032">
            <w:pPr>
              <w:shd w:val="clear" w:color="auto" w:fill="FFFFFF" w:themeFill="background1"/>
              <w:spacing w:after="0" w:line="240" w:lineRule="auto"/>
              <w:jc w:val="both"/>
              <w:rPr>
                <w:rFonts w:asciiTheme="majorHAnsi" w:hAnsiTheme="majorHAnsi" w:cstheme="majorHAnsi"/>
              </w:rPr>
            </w:pPr>
          </w:p>
          <w:p w14:paraId="12C26724" w14:textId="6AEAB2F3" w:rsidR="0047727E" w:rsidRPr="000F3267" w:rsidRDefault="000D247F" w:rsidP="00F47032">
            <w:pPr>
              <w:shd w:val="clear" w:color="auto" w:fill="FFFFFF" w:themeFill="background1"/>
              <w:spacing w:after="0" w:line="240" w:lineRule="auto"/>
              <w:jc w:val="both"/>
              <w:rPr>
                <w:rFonts w:asciiTheme="majorHAnsi" w:hAnsiTheme="majorHAnsi" w:cstheme="majorHAnsi"/>
              </w:rPr>
            </w:pPr>
            <w:r w:rsidRPr="000F3267">
              <w:rPr>
                <w:rFonts w:asciiTheme="majorHAnsi" w:hAnsiTheme="majorHAnsi" w:cstheme="majorHAnsi"/>
              </w:rPr>
              <w:t>Currently, the country is transferring from the solid medium for culture investigation to detect the causative agent of tuberculosis and determine its drug se</w:t>
            </w:r>
            <w:r w:rsidR="00281CF4" w:rsidRPr="000F3267">
              <w:rPr>
                <w:rFonts w:asciiTheme="majorHAnsi" w:hAnsiTheme="majorHAnsi" w:cstheme="majorHAnsi"/>
              </w:rPr>
              <w:t>nsitivity in</w:t>
            </w:r>
            <w:r w:rsidRPr="000F3267">
              <w:rPr>
                <w:rFonts w:asciiTheme="majorHAnsi" w:hAnsiTheme="majorHAnsi" w:cstheme="majorHAnsi"/>
              </w:rPr>
              <w:t xml:space="preserve"> liquid medium</w:t>
            </w:r>
            <w:r w:rsidR="00281CF4" w:rsidRPr="000F3267">
              <w:rPr>
                <w:rFonts w:asciiTheme="majorHAnsi" w:hAnsiTheme="majorHAnsi" w:cstheme="majorHAnsi"/>
              </w:rPr>
              <w:t>, including during RR/</w:t>
            </w:r>
            <w:r w:rsidRPr="000F3267">
              <w:rPr>
                <w:rFonts w:asciiTheme="majorHAnsi" w:hAnsiTheme="majorHAnsi" w:cstheme="majorHAnsi"/>
              </w:rPr>
              <w:t>MDR-TB treatment monitoring. This transition allows faster confirmation of the diagnosis, including sensitivity to anti-tuberculosis drugs and prompt initiation of treatment based on DST results, especially for patients with pre- and XDR-TB, enabling timely therapy adjustment for better outcomes.</w:t>
            </w:r>
          </w:p>
          <w:p w14:paraId="4557CDDB" w14:textId="77777777" w:rsidR="000D247F" w:rsidRPr="000F3267" w:rsidRDefault="000D247F" w:rsidP="00F47032">
            <w:pPr>
              <w:shd w:val="clear" w:color="auto" w:fill="FFFFFF" w:themeFill="background1"/>
              <w:spacing w:after="0" w:line="240" w:lineRule="auto"/>
              <w:jc w:val="both"/>
              <w:rPr>
                <w:rFonts w:asciiTheme="majorHAnsi" w:hAnsiTheme="majorHAnsi" w:cstheme="majorHAnsi"/>
              </w:rPr>
            </w:pPr>
          </w:p>
          <w:p w14:paraId="495EECF2" w14:textId="05B8958C" w:rsidR="007901A2" w:rsidRPr="000F3267" w:rsidRDefault="007901A2" w:rsidP="00F47032">
            <w:pPr>
              <w:shd w:val="clear" w:color="auto" w:fill="FFFFFF" w:themeFill="background1"/>
              <w:spacing w:after="0" w:line="240" w:lineRule="auto"/>
              <w:jc w:val="both"/>
              <w:rPr>
                <w:rFonts w:asciiTheme="majorHAnsi" w:hAnsiTheme="majorHAnsi" w:cstheme="majorHAnsi"/>
              </w:rPr>
            </w:pPr>
            <w:r w:rsidRPr="000F3267">
              <w:rPr>
                <w:rFonts w:asciiTheme="majorHAnsi" w:hAnsiTheme="majorHAnsi" w:cstheme="majorHAnsi"/>
              </w:rPr>
              <w:t>The procurement of reagen</w:t>
            </w:r>
            <w:r w:rsidR="000D247F" w:rsidRPr="000F3267">
              <w:rPr>
                <w:rFonts w:asciiTheme="majorHAnsi" w:hAnsiTheme="majorHAnsi" w:cstheme="majorHAnsi"/>
              </w:rPr>
              <w:t>ts and tests for culture investigations</w:t>
            </w:r>
            <w:r w:rsidRPr="000F3267">
              <w:rPr>
                <w:rFonts w:asciiTheme="majorHAnsi" w:hAnsiTheme="majorHAnsi" w:cstheme="majorHAnsi"/>
              </w:rPr>
              <w:t xml:space="preserve"> and DST </w:t>
            </w:r>
            <w:r w:rsidR="00F47867" w:rsidRPr="000F3267">
              <w:rPr>
                <w:rFonts w:asciiTheme="majorHAnsi" w:hAnsiTheme="majorHAnsi" w:cstheme="majorHAnsi"/>
              </w:rPr>
              <w:t xml:space="preserve">to first-line drugs </w:t>
            </w:r>
            <w:proofErr w:type="gramStart"/>
            <w:r w:rsidR="00F47867" w:rsidRPr="000F3267">
              <w:rPr>
                <w:rFonts w:asciiTheme="majorHAnsi" w:hAnsiTheme="majorHAnsi" w:cstheme="majorHAnsi"/>
              </w:rPr>
              <w:t>is</w:t>
            </w:r>
            <w:proofErr w:type="gramEnd"/>
            <w:r w:rsidR="00F47867" w:rsidRPr="000F3267">
              <w:rPr>
                <w:rFonts w:asciiTheme="majorHAnsi" w:hAnsiTheme="majorHAnsi" w:cstheme="majorHAnsi"/>
              </w:rPr>
              <w:t xml:space="preserve"> done from the public</w:t>
            </w:r>
            <w:r w:rsidR="00A22F62" w:rsidRPr="000F3267">
              <w:rPr>
                <w:rFonts w:asciiTheme="majorHAnsi" w:hAnsiTheme="majorHAnsi" w:cstheme="majorHAnsi"/>
              </w:rPr>
              <w:t xml:space="preserve"> resources</w:t>
            </w:r>
            <w:r w:rsidRPr="000F3267">
              <w:rPr>
                <w:rFonts w:asciiTheme="majorHAnsi" w:hAnsiTheme="majorHAnsi" w:cstheme="majorHAnsi"/>
              </w:rPr>
              <w:t xml:space="preserve">, and for sensitivity </w:t>
            </w:r>
            <w:r w:rsidR="00F47867" w:rsidRPr="000F3267">
              <w:rPr>
                <w:rFonts w:asciiTheme="majorHAnsi" w:hAnsiTheme="majorHAnsi" w:cstheme="majorHAnsi"/>
              </w:rPr>
              <w:t xml:space="preserve">analysis </w:t>
            </w:r>
            <w:r w:rsidRPr="000F3267">
              <w:rPr>
                <w:rFonts w:asciiTheme="majorHAnsi" w:hAnsiTheme="majorHAnsi" w:cstheme="majorHAnsi"/>
              </w:rPr>
              <w:t xml:space="preserve">to second-line drugs, both </w:t>
            </w:r>
            <w:r w:rsidR="00F47867" w:rsidRPr="000F3267">
              <w:rPr>
                <w:rFonts w:asciiTheme="majorHAnsi" w:hAnsiTheme="majorHAnsi" w:cstheme="majorHAnsi"/>
              </w:rPr>
              <w:t>from</w:t>
            </w:r>
            <w:r w:rsidRPr="000F3267">
              <w:rPr>
                <w:rFonts w:asciiTheme="majorHAnsi" w:hAnsiTheme="majorHAnsi" w:cstheme="majorHAnsi"/>
              </w:rPr>
              <w:t xml:space="preserve"> </w:t>
            </w:r>
            <w:r w:rsidR="00F47867" w:rsidRPr="000F3267">
              <w:rPr>
                <w:rFonts w:asciiTheme="majorHAnsi" w:hAnsiTheme="majorHAnsi" w:cstheme="majorHAnsi"/>
              </w:rPr>
              <w:t>government budgets’</w:t>
            </w:r>
            <w:r w:rsidRPr="000F3267">
              <w:rPr>
                <w:rFonts w:asciiTheme="majorHAnsi" w:hAnsiTheme="majorHAnsi" w:cstheme="majorHAnsi"/>
              </w:rPr>
              <w:t xml:space="preserve"> and </w:t>
            </w:r>
            <w:r w:rsidR="00F47867" w:rsidRPr="000F3267">
              <w:rPr>
                <w:rFonts w:asciiTheme="majorHAnsi" w:hAnsiTheme="majorHAnsi" w:cstheme="majorHAnsi"/>
              </w:rPr>
              <w:t xml:space="preserve">the </w:t>
            </w:r>
            <w:r w:rsidRPr="000F3267">
              <w:rPr>
                <w:rFonts w:asciiTheme="majorHAnsi" w:hAnsiTheme="majorHAnsi" w:cstheme="majorHAnsi"/>
              </w:rPr>
              <w:t>GF</w:t>
            </w:r>
            <w:r w:rsidR="00F47867" w:rsidRPr="000F3267">
              <w:rPr>
                <w:rFonts w:asciiTheme="majorHAnsi" w:hAnsiTheme="majorHAnsi" w:cstheme="majorHAnsi"/>
              </w:rPr>
              <w:t>’ allocations</w:t>
            </w:r>
            <w:r w:rsidRPr="000F3267">
              <w:rPr>
                <w:rFonts w:asciiTheme="majorHAnsi" w:hAnsiTheme="majorHAnsi" w:cstheme="majorHAnsi"/>
              </w:rPr>
              <w:t xml:space="preserve">. By the end of the new GF </w:t>
            </w:r>
            <w:r w:rsidR="00F47867" w:rsidRPr="000F3267">
              <w:rPr>
                <w:rFonts w:asciiTheme="majorHAnsi" w:hAnsiTheme="majorHAnsi" w:cstheme="majorHAnsi"/>
              </w:rPr>
              <w:t xml:space="preserve">TB </w:t>
            </w:r>
            <w:r w:rsidRPr="000F3267">
              <w:rPr>
                <w:rFonts w:asciiTheme="majorHAnsi" w:hAnsiTheme="majorHAnsi" w:cstheme="majorHAnsi"/>
              </w:rPr>
              <w:t xml:space="preserve">grant, the country </w:t>
            </w:r>
            <w:r w:rsidR="00F47867" w:rsidRPr="000F3267">
              <w:rPr>
                <w:rFonts w:asciiTheme="majorHAnsi" w:hAnsiTheme="majorHAnsi" w:cstheme="majorHAnsi"/>
              </w:rPr>
              <w:t xml:space="preserve">will be fully responsible for spending on </w:t>
            </w:r>
            <w:r w:rsidRPr="000F3267">
              <w:rPr>
                <w:rFonts w:asciiTheme="majorHAnsi" w:hAnsiTheme="majorHAnsi" w:cstheme="majorHAnsi"/>
              </w:rPr>
              <w:t xml:space="preserve">phenotypic DST </w:t>
            </w:r>
            <w:r w:rsidR="000028FE" w:rsidRPr="000F3267">
              <w:rPr>
                <w:rFonts w:asciiTheme="majorHAnsi" w:hAnsiTheme="majorHAnsi" w:cstheme="majorHAnsi"/>
              </w:rPr>
              <w:t xml:space="preserve">method </w:t>
            </w:r>
            <w:r w:rsidRPr="000F3267">
              <w:rPr>
                <w:rFonts w:asciiTheme="majorHAnsi" w:hAnsiTheme="majorHAnsi" w:cstheme="majorHAnsi"/>
              </w:rPr>
              <w:t>for second-line drugs.</w:t>
            </w:r>
          </w:p>
          <w:p w14:paraId="6AC3659E" w14:textId="67E96773" w:rsidR="00BF333D" w:rsidRPr="00974FD7" w:rsidRDefault="00BF333D" w:rsidP="00F47032">
            <w:pPr>
              <w:shd w:val="clear" w:color="auto" w:fill="FFFFFF" w:themeFill="background1"/>
              <w:spacing w:after="0" w:line="240" w:lineRule="auto"/>
              <w:jc w:val="both"/>
              <w:rPr>
                <w:rFonts w:asciiTheme="majorHAnsi" w:hAnsiTheme="majorHAnsi" w:cstheme="majorHAnsi"/>
              </w:rPr>
            </w:pPr>
          </w:p>
          <w:p w14:paraId="26157C6C" w14:textId="7DDA295F" w:rsidR="00BF333D" w:rsidRPr="000F3267" w:rsidRDefault="000028FE" w:rsidP="00F47032">
            <w:pPr>
              <w:shd w:val="clear" w:color="auto" w:fill="FFFFFF" w:themeFill="background1"/>
              <w:spacing w:after="0" w:line="240" w:lineRule="auto"/>
              <w:jc w:val="both"/>
              <w:rPr>
                <w:rFonts w:asciiTheme="majorHAnsi" w:hAnsiTheme="majorHAnsi" w:cstheme="majorHAnsi"/>
              </w:rPr>
            </w:pPr>
            <w:r w:rsidRPr="000F3267">
              <w:rPr>
                <w:rFonts w:asciiTheme="majorHAnsi" w:hAnsiTheme="majorHAnsi" w:cstheme="majorHAnsi"/>
              </w:rPr>
              <w:t>Kazakhstan</w:t>
            </w:r>
            <w:r w:rsidR="00BF333D" w:rsidRPr="000F3267">
              <w:rPr>
                <w:rFonts w:asciiTheme="majorHAnsi" w:hAnsiTheme="majorHAnsi" w:cstheme="majorHAnsi"/>
              </w:rPr>
              <w:t xml:space="preserve"> has an established system of internal and external quality control for molecular an</w:t>
            </w:r>
            <w:r w:rsidR="00281CF4" w:rsidRPr="000F3267">
              <w:rPr>
                <w:rFonts w:asciiTheme="majorHAnsi" w:hAnsiTheme="majorHAnsi" w:cstheme="majorHAnsi"/>
              </w:rPr>
              <w:t>d phenotypic DST with SNRL Gauti</w:t>
            </w:r>
            <w:r w:rsidRPr="000F3267">
              <w:rPr>
                <w:rFonts w:asciiTheme="majorHAnsi" w:hAnsiTheme="majorHAnsi" w:cstheme="majorHAnsi"/>
              </w:rPr>
              <w:t>ng in Germany</w:t>
            </w:r>
            <w:r w:rsidR="00BF333D" w:rsidRPr="000F3267">
              <w:rPr>
                <w:rFonts w:asciiTheme="majorHAnsi" w:hAnsiTheme="majorHAnsi" w:cstheme="majorHAnsi"/>
              </w:rPr>
              <w:t>. In 2020 the NRL successfully passed e</w:t>
            </w:r>
            <w:r w:rsidRPr="000F3267">
              <w:rPr>
                <w:rFonts w:asciiTheme="majorHAnsi" w:hAnsiTheme="majorHAnsi" w:cstheme="majorHAnsi"/>
              </w:rPr>
              <w:t xml:space="preserve">xternal quality assurance </w:t>
            </w:r>
            <w:r w:rsidR="00BF333D" w:rsidRPr="000F3267">
              <w:rPr>
                <w:rFonts w:asciiTheme="majorHAnsi" w:hAnsiTheme="majorHAnsi" w:cstheme="majorHAnsi"/>
              </w:rPr>
              <w:t>of DST for first line anti-TB drugs, levofloxa</w:t>
            </w:r>
            <w:r w:rsidR="00281CF4" w:rsidRPr="000F3267">
              <w:rPr>
                <w:rFonts w:asciiTheme="majorHAnsi" w:hAnsiTheme="majorHAnsi" w:cstheme="majorHAnsi"/>
              </w:rPr>
              <w:t>cin, moxifloxacin, amikacin, linezolid</w:t>
            </w:r>
            <w:r w:rsidR="00BF333D" w:rsidRPr="000F3267">
              <w:rPr>
                <w:rFonts w:asciiTheme="majorHAnsi" w:hAnsiTheme="majorHAnsi" w:cstheme="majorHAnsi"/>
              </w:rPr>
              <w:t>, and MTBDRplus/SL. The NTP plans to initiate EQA for DST to Cfz, Bdq, and Dlm, when the pure substances for new drugs become availabl</w:t>
            </w:r>
            <w:r w:rsidR="00027DFC" w:rsidRPr="000F3267">
              <w:rPr>
                <w:rFonts w:asciiTheme="majorHAnsi" w:hAnsiTheme="majorHAnsi" w:cstheme="majorHAnsi"/>
              </w:rPr>
              <w:t xml:space="preserve">e. Currently, the USAID-funded ETICA project </w:t>
            </w:r>
            <w:r w:rsidR="00BF333D" w:rsidRPr="000F3267">
              <w:rPr>
                <w:rFonts w:asciiTheme="majorHAnsi" w:hAnsiTheme="majorHAnsi" w:cstheme="majorHAnsi"/>
              </w:rPr>
              <w:t xml:space="preserve">has supported the country to strengthen the laboratory system, including quality control, and prepare for ISO accreditation of the NRL, acknowledging 85% readiness for the NRL in September 2021. </w:t>
            </w:r>
            <w:r w:rsidRPr="000F3267">
              <w:rPr>
                <w:rFonts w:asciiTheme="majorHAnsi" w:hAnsiTheme="majorHAnsi" w:cstheme="majorHAnsi"/>
              </w:rPr>
              <w:t>The continuation of EQA related efforts, both at the NRL and RRL levels, are essential in guaranteeing quality services of bacteriological laboratories.</w:t>
            </w:r>
          </w:p>
          <w:p w14:paraId="2153015F" w14:textId="77777777" w:rsidR="00BE1058" w:rsidRPr="000F3267" w:rsidRDefault="00BE1058" w:rsidP="00F47032">
            <w:pPr>
              <w:shd w:val="clear" w:color="auto" w:fill="FFFFFF" w:themeFill="background1"/>
              <w:spacing w:after="0" w:line="240" w:lineRule="auto"/>
              <w:jc w:val="both"/>
              <w:rPr>
                <w:rFonts w:asciiTheme="majorHAnsi" w:hAnsiTheme="majorHAnsi" w:cstheme="majorHAnsi"/>
              </w:rPr>
            </w:pPr>
          </w:p>
          <w:p w14:paraId="6745E629" w14:textId="6E00B755" w:rsidR="00BE1058" w:rsidRPr="000F3267" w:rsidRDefault="00BE1058" w:rsidP="00F47032">
            <w:pPr>
              <w:spacing w:after="0" w:line="240" w:lineRule="auto"/>
              <w:rPr>
                <w:rFonts w:asciiTheme="majorHAnsi" w:eastAsia="Times New Roman" w:hAnsiTheme="majorHAnsi" w:cstheme="majorHAnsi"/>
                <w:b/>
                <w:shd w:val="clear" w:color="auto" w:fill="FFFFFF"/>
              </w:rPr>
            </w:pPr>
            <w:r w:rsidRPr="000F3267">
              <w:rPr>
                <w:rFonts w:asciiTheme="majorHAnsi" w:hAnsiTheme="majorHAnsi" w:cstheme="majorHAnsi"/>
                <w:b/>
              </w:rPr>
              <w:t>Implementation</w:t>
            </w:r>
            <w:r w:rsidRPr="00974FD7">
              <w:rPr>
                <w:rFonts w:asciiTheme="majorHAnsi" w:hAnsiTheme="majorHAnsi" w:cstheme="majorHAnsi"/>
                <w:b/>
              </w:rPr>
              <w:t xml:space="preserve"> </w:t>
            </w:r>
            <w:r w:rsidRPr="000F3267">
              <w:rPr>
                <w:rFonts w:asciiTheme="majorHAnsi" w:hAnsiTheme="majorHAnsi" w:cstheme="majorHAnsi"/>
                <w:b/>
              </w:rPr>
              <w:t>of</w:t>
            </w:r>
            <w:r w:rsidRPr="00974FD7">
              <w:rPr>
                <w:rFonts w:asciiTheme="majorHAnsi" w:hAnsiTheme="majorHAnsi" w:cstheme="majorHAnsi"/>
                <w:b/>
              </w:rPr>
              <w:t xml:space="preserve"> </w:t>
            </w:r>
            <w:r w:rsidR="00571DA6" w:rsidRPr="000F3267">
              <w:rPr>
                <w:rFonts w:asciiTheme="majorHAnsi" w:eastAsia="Times New Roman" w:hAnsiTheme="majorHAnsi" w:cstheme="majorHAnsi"/>
                <w:b/>
                <w:shd w:val="clear" w:color="auto" w:fill="FFFFFF"/>
              </w:rPr>
              <w:t>whole-genome sequencing.</w:t>
            </w:r>
          </w:p>
          <w:p w14:paraId="641883A5" w14:textId="1B377D58" w:rsidR="005D3F87" w:rsidRDefault="005D3F87" w:rsidP="00F47032">
            <w:pPr>
              <w:spacing w:after="0" w:line="240" w:lineRule="auto"/>
              <w:jc w:val="both"/>
              <w:rPr>
                <w:rFonts w:asciiTheme="majorHAnsi" w:eastAsia="Times New Roman" w:hAnsiTheme="majorHAnsi" w:cstheme="majorHAnsi"/>
              </w:rPr>
            </w:pPr>
            <w:r w:rsidRPr="000F3267">
              <w:rPr>
                <w:rFonts w:asciiTheme="majorHAnsi" w:eastAsia="Times New Roman" w:hAnsiTheme="majorHAnsi" w:cstheme="majorHAnsi"/>
              </w:rPr>
              <w:t xml:space="preserve">The emergence and spread of MTB strains with multiple resistance to anti-TB drugs is a serious concern for the country, given that Kazakhstan is among the countries with a high burden of MDR-TB. Modern methods of detecting resistance genotypes from clinical isolates help speed up the diagnosis and initiation of anti-TB therapy, increasing the patient's chances of recovery and reducing the likelihood of infection transmission in the population. </w:t>
            </w:r>
          </w:p>
          <w:p w14:paraId="4EE03B35" w14:textId="77777777" w:rsidR="000F3267" w:rsidRPr="000F3267" w:rsidRDefault="000F3267" w:rsidP="00F47032">
            <w:pPr>
              <w:spacing w:after="0" w:line="240" w:lineRule="auto"/>
              <w:jc w:val="both"/>
              <w:rPr>
                <w:rFonts w:asciiTheme="majorHAnsi" w:eastAsia="Times New Roman" w:hAnsiTheme="majorHAnsi" w:cstheme="majorHAnsi"/>
              </w:rPr>
            </w:pPr>
          </w:p>
          <w:p w14:paraId="62F0105D" w14:textId="28ABFDDB" w:rsidR="006F136C" w:rsidRDefault="0000491C" w:rsidP="00F47032">
            <w:pPr>
              <w:spacing w:after="0" w:line="240" w:lineRule="auto"/>
              <w:jc w:val="both"/>
              <w:rPr>
                <w:rFonts w:asciiTheme="majorHAnsi" w:eastAsia="Times New Roman" w:hAnsiTheme="majorHAnsi" w:cstheme="majorHAnsi"/>
              </w:rPr>
            </w:pPr>
            <w:r w:rsidRPr="000F3267">
              <w:rPr>
                <w:rFonts w:asciiTheme="majorHAnsi" w:eastAsia="Times New Roman" w:hAnsiTheme="majorHAnsi" w:cstheme="majorHAnsi"/>
              </w:rPr>
              <w:t>Next-generation sequencing has excellent potential as a leading alternative that addresses limitations of the existing phenotypic DST method currently used for diagnosing DR-TB in reference laboratories. From the current grant funds, the country purchased a whole-genome sequencing system for the NRL in 2020.  The supplier carried out the initial training of specialists in the NRL during the first quarter of 2021, followed by additional training organized by the USAID ETICA project on using the system and interpreting results</w:t>
            </w:r>
            <w:r w:rsidR="00F82A37" w:rsidRPr="000F3267">
              <w:rPr>
                <w:rFonts w:asciiTheme="majorHAnsi" w:eastAsia="Times New Roman" w:hAnsiTheme="majorHAnsi" w:cstheme="majorHAnsi"/>
              </w:rPr>
              <w:t xml:space="preserve">. Early in March 2021, the first investigations were carried out at the </w:t>
            </w:r>
            <w:proofErr w:type="gramStart"/>
            <w:r w:rsidR="00F82A37" w:rsidRPr="000F3267">
              <w:rPr>
                <w:rFonts w:asciiTheme="majorHAnsi" w:eastAsia="Times New Roman" w:hAnsiTheme="majorHAnsi" w:cstheme="majorHAnsi"/>
              </w:rPr>
              <w:t>NRL</w:t>
            </w:r>
            <w:proofErr w:type="gramEnd"/>
            <w:r w:rsidR="00F82A37" w:rsidRPr="000F3267">
              <w:rPr>
                <w:rFonts w:asciiTheme="majorHAnsi" w:eastAsia="Times New Roman" w:hAnsiTheme="majorHAnsi" w:cstheme="majorHAnsi"/>
              </w:rPr>
              <w:t xml:space="preserve"> and t</w:t>
            </w:r>
            <w:r w:rsidR="006F136C" w:rsidRPr="000F3267">
              <w:rPr>
                <w:rFonts w:asciiTheme="majorHAnsi" w:eastAsia="Times New Roman" w:hAnsiTheme="majorHAnsi" w:cstheme="majorHAnsi"/>
              </w:rPr>
              <w:t>he results of 26 se</w:t>
            </w:r>
            <w:r w:rsidR="00F57EA4" w:rsidRPr="000F3267">
              <w:rPr>
                <w:rFonts w:asciiTheme="majorHAnsi" w:eastAsia="Times New Roman" w:hAnsiTheme="majorHAnsi" w:cstheme="majorHAnsi"/>
              </w:rPr>
              <w:t>quencing were sent to SNRL Gauti</w:t>
            </w:r>
            <w:r w:rsidR="006F136C" w:rsidRPr="000F3267">
              <w:rPr>
                <w:rFonts w:asciiTheme="majorHAnsi" w:eastAsia="Times New Roman" w:hAnsiTheme="majorHAnsi" w:cstheme="majorHAnsi"/>
              </w:rPr>
              <w:t>ng for bioinformatics analysis in Fastq.qz format.</w:t>
            </w:r>
          </w:p>
          <w:p w14:paraId="0B4C4569" w14:textId="77777777" w:rsidR="000F3267" w:rsidRPr="000F3267" w:rsidRDefault="000F3267" w:rsidP="00F47032">
            <w:pPr>
              <w:spacing w:after="0" w:line="240" w:lineRule="auto"/>
              <w:jc w:val="both"/>
              <w:rPr>
                <w:rFonts w:asciiTheme="majorHAnsi" w:eastAsia="Times New Roman" w:hAnsiTheme="majorHAnsi" w:cstheme="majorHAnsi"/>
              </w:rPr>
            </w:pPr>
          </w:p>
          <w:p w14:paraId="5AEF65F6" w14:textId="2EB0B353" w:rsidR="006F136C" w:rsidRDefault="006F136C" w:rsidP="00F47032">
            <w:pPr>
              <w:spacing w:after="0" w:line="240" w:lineRule="auto"/>
              <w:jc w:val="both"/>
              <w:rPr>
                <w:rFonts w:asciiTheme="majorHAnsi" w:eastAsia="Times New Roman" w:hAnsiTheme="majorHAnsi" w:cstheme="majorHAnsi"/>
              </w:rPr>
            </w:pPr>
            <w:r w:rsidRPr="000F3267">
              <w:rPr>
                <w:rFonts w:asciiTheme="majorHAnsi" w:eastAsia="Times New Roman" w:hAnsiTheme="majorHAnsi" w:cstheme="majorHAnsi"/>
              </w:rPr>
              <w:t>The introduction of new drugs and treatment regimens for patients with pre- and XDR-TB will require an expansion of WGS research to adequately manage cases with this resistance spectrum.</w:t>
            </w:r>
          </w:p>
          <w:p w14:paraId="080F88DE" w14:textId="77777777" w:rsidR="000F3267" w:rsidRDefault="000F3267" w:rsidP="00F47032">
            <w:pPr>
              <w:spacing w:after="0" w:line="240" w:lineRule="auto"/>
              <w:jc w:val="both"/>
              <w:rPr>
                <w:rFonts w:asciiTheme="majorHAnsi" w:eastAsia="Times New Roman" w:hAnsiTheme="majorHAnsi" w:cstheme="majorHAnsi"/>
              </w:rPr>
            </w:pPr>
          </w:p>
          <w:p w14:paraId="778EC64F" w14:textId="7E2248DC" w:rsidR="000E0A55" w:rsidRPr="000F3267" w:rsidRDefault="005D475B" w:rsidP="00F47032">
            <w:pPr>
              <w:shd w:val="clear" w:color="auto" w:fill="FFFFFF" w:themeFill="background1"/>
              <w:spacing w:after="0" w:line="240" w:lineRule="auto"/>
              <w:jc w:val="both"/>
              <w:rPr>
                <w:rFonts w:asciiTheme="majorHAnsi" w:hAnsiTheme="majorHAnsi" w:cstheme="majorHAnsi"/>
                <w:b/>
              </w:rPr>
            </w:pPr>
            <w:r w:rsidRPr="000F3267">
              <w:rPr>
                <w:rFonts w:asciiTheme="majorHAnsi" w:hAnsiTheme="majorHAnsi" w:cstheme="majorHAnsi"/>
                <w:b/>
              </w:rPr>
              <w:t xml:space="preserve">Extension </w:t>
            </w:r>
            <w:r w:rsidR="000E0A55" w:rsidRPr="000F3267">
              <w:rPr>
                <w:rFonts w:asciiTheme="majorHAnsi" w:hAnsiTheme="majorHAnsi" w:cstheme="majorHAnsi"/>
                <w:b/>
              </w:rPr>
              <w:t>of coverage o</w:t>
            </w:r>
            <w:r w:rsidRPr="000F3267">
              <w:rPr>
                <w:rFonts w:asciiTheme="majorHAnsi" w:hAnsiTheme="majorHAnsi" w:cstheme="majorHAnsi"/>
                <w:b/>
              </w:rPr>
              <w:t xml:space="preserve">f the WHO-recommended new drugs and regimens under operational </w:t>
            </w:r>
            <w:proofErr w:type="gramStart"/>
            <w:r w:rsidRPr="000F3267">
              <w:rPr>
                <w:rFonts w:asciiTheme="majorHAnsi" w:hAnsiTheme="majorHAnsi" w:cstheme="majorHAnsi"/>
                <w:b/>
              </w:rPr>
              <w:t>researches</w:t>
            </w:r>
            <w:proofErr w:type="gramEnd"/>
            <w:r w:rsidR="000E0A55" w:rsidRPr="000F3267">
              <w:rPr>
                <w:rFonts w:asciiTheme="majorHAnsi" w:hAnsiTheme="majorHAnsi" w:cstheme="majorHAnsi"/>
                <w:b/>
              </w:rPr>
              <w:t xml:space="preserve"> currently underway. </w:t>
            </w:r>
          </w:p>
          <w:p w14:paraId="5A3CAC0A" w14:textId="6787D0A4" w:rsidR="005D475B" w:rsidRPr="000F3267" w:rsidRDefault="005D475B" w:rsidP="00F47032">
            <w:pPr>
              <w:shd w:val="clear" w:color="auto" w:fill="FFFFFF" w:themeFill="background1"/>
              <w:spacing w:after="0" w:line="240" w:lineRule="auto"/>
              <w:jc w:val="both"/>
              <w:rPr>
                <w:rFonts w:asciiTheme="majorHAnsi" w:hAnsiTheme="majorHAnsi" w:cstheme="majorHAnsi"/>
              </w:rPr>
            </w:pPr>
            <w:r w:rsidRPr="000F3267">
              <w:rPr>
                <w:rFonts w:asciiTheme="majorHAnsi" w:hAnsiTheme="majorHAnsi" w:cstheme="majorHAnsi"/>
              </w:rPr>
              <w:t xml:space="preserve">Given the high burden of resistance to anti-TB drugs, including to SLD, the NTP, with the support of the USAID and GF, has taken prompt actions to ensure the administration of new drug regimens and implement evidence-based interventions for intensive support and follow-up of DR-TB patients on treatment. </w:t>
            </w:r>
          </w:p>
          <w:p w14:paraId="06182635" w14:textId="77777777" w:rsidR="009B3886" w:rsidRPr="000F3267" w:rsidRDefault="009B3886" w:rsidP="00F47032">
            <w:pPr>
              <w:shd w:val="clear" w:color="auto" w:fill="FFFFFF" w:themeFill="background1"/>
              <w:spacing w:after="0" w:line="240" w:lineRule="auto"/>
              <w:jc w:val="both"/>
              <w:rPr>
                <w:rFonts w:asciiTheme="majorHAnsi" w:hAnsiTheme="majorHAnsi" w:cstheme="majorHAnsi"/>
              </w:rPr>
            </w:pPr>
          </w:p>
          <w:p w14:paraId="4DD1FCF9" w14:textId="79CFF798" w:rsidR="00EC7FAF" w:rsidRPr="000F3267" w:rsidRDefault="00EC7FAF" w:rsidP="00F47032">
            <w:pPr>
              <w:shd w:val="clear" w:color="auto" w:fill="FFFFFF" w:themeFill="background1"/>
              <w:spacing w:after="0" w:line="240" w:lineRule="auto"/>
              <w:jc w:val="both"/>
              <w:rPr>
                <w:rFonts w:asciiTheme="majorHAnsi" w:hAnsiTheme="majorHAnsi" w:cstheme="majorHAnsi"/>
              </w:rPr>
            </w:pPr>
            <w:r w:rsidRPr="000F3267">
              <w:rPr>
                <w:rFonts w:asciiTheme="majorHAnsi" w:hAnsiTheme="majorHAnsi" w:cstheme="majorHAnsi"/>
              </w:rPr>
              <w:t xml:space="preserve">The new drug regimens for DR-TB, together with Bedaquiline and Delamanid, has started in 2016 under the End TB Project and continued under the GF grants in civilian and penitentiary sectors. Since 2019 country has started procuring new drugs (Bdq and Dlm) from government resources through GDF pooled procurement mechanism. Also, the country participates in the operational research on the inclusion of short-term full-oral regimens for the treatment of rifampicin-resistant tuberculosis, initiated in 2019 by the WHO/Europe, with 170 </w:t>
            </w:r>
            <w:r w:rsidR="00177C89">
              <w:rPr>
                <w:rFonts w:asciiTheme="majorHAnsi" w:hAnsiTheme="majorHAnsi" w:cstheme="majorHAnsi"/>
              </w:rPr>
              <w:t>RR/MDR</w:t>
            </w:r>
            <w:r w:rsidRPr="000F3267">
              <w:rPr>
                <w:rFonts w:asciiTheme="majorHAnsi" w:hAnsiTheme="majorHAnsi" w:cstheme="majorHAnsi"/>
              </w:rPr>
              <w:t xml:space="preserve">-TB patients enrolled in the study that continued until October 2021.  </w:t>
            </w:r>
            <w:r w:rsidR="005D475B" w:rsidRPr="000F3267">
              <w:rPr>
                <w:rFonts w:asciiTheme="majorHAnsi" w:hAnsiTheme="majorHAnsi" w:cstheme="majorHAnsi"/>
              </w:rPr>
              <w:t>In addition, within the frame of the GF grant for OR, a cohort of 163 have started the treatment under two protocols (</w:t>
            </w:r>
            <w:r w:rsidRPr="000F3267">
              <w:rPr>
                <w:rFonts w:asciiTheme="majorHAnsi" w:hAnsiTheme="majorHAnsi" w:cstheme="majorHAnsi"/>
              </w:rPr>
              <w:t>PHI</w:t>
            </w:r>
            <w:r w:rsidR="005D475B" w:rsidRPr="000F3267">
              <w:rPr>
                <w:rFonts w:asciiTheme="majorHAnsi" w:hAnsiTheme="majorHAnsi" w:cstheme="majorHAnsi"/>
              </w:rPr>
              <w:t xml:space="preserve">, and WHO). The NTP expects that inclusion of patients in OR will continue in 2022, and additional resources are requested through the GF funds for 2023-2025, as the WHO recommendation for the programmatic use of modified oral STR might not come earlier than in 2025.    </w:t>
            </w:r>
          </w:p>
          <w:p w14:paraId="64A0CFED" w14:textId="0BE2ADE8" w:rsidR="005D475B" w:rsidRPr="000F3267" w:rsidRDefault="005D475B" w:rsidP="00F47032">
            <w:pPr>
              <w:shd w:val="clear" w:color="auto" w:fill="FFFFFF" w:themeFill="background1"/>
              <w:spacing w:after="0" w:line="240" w:lineRule="auto"/>
              <w:jc w:val="both"/>
              <w:rPr>
                <w:rFonts w:asciiTheme="majorHAnsi" w:hAnsiTheme="majorHAnsi" w:cstheme="majorHAnsi"/>
              </w:rPr>
            </w:pPr>
            <w:r w:rsidRPr="000F3267">
              <w:rPr>
                <w:rFonts w:asciiTheme="majorHAnsi" w:hAnsiTheme="majorHAnsi" w:cstheme="majorHAnsi"/>
              </w:rPr>
              <w:t xml:space="preserve"> </w:t>
            </w:r>
          </w:p>
          <w:p w14:paraId="45237886" w14:textId="77777777" w:rsidR="00CE34B1" w:rsidRPr="000F3267" w:rsidRDefault="00CE34B1" w:rsidP="00F47032">
            <w:pPr>
              <w:pStyle w:val="affff9"/>
              <w:spacing w:after="0" w:line="240" w:lineRule="auto"/>
              <w:rPr>
                <w:rFonts w:asciiTheme="majorHAnsi" w:hAnsiTheme="majorHAnsi" w:cstheme="majorHAnsi"/>
                <w:sz w:val="22"/>
                <w:szCs w:val="22"/>
              </w:rPr>
            </w:pPr>
            <w:r w:rsidRPr="000F3267">
              <w:rPr>
                <w:rFonts w:asciiTheme="majorHAnsi" w:hAnsiTheme="majorHAnsi" w:cstheme="majorHAnsi"/>
                <w:sz w:val="22"/>
                <w:szCs w:val="22"/>
              </w:rPr>
              <w:t xml:space="preserve">The strategy and objectives for the continuation of the OR on use of modified, all-oral shorter regimen </w:t>
            </w:r>
            <w:proofErr w:type="gramStart"/>
            <w:r w:rsidRPr="000F3267">
              <w:rPr>
                <w:rFonts w:asciiTheme="majorHAnsi" w:hAnsiTheme="majorHAnsi" w:cstheme="majorHAnsi"/>
                <w:sz w:val="22"/>
                <w:szCs w:val="22"/>
              </w:rPr>
              <w:t>are</w:t>
            </w:r>
            <w:proofErr w:type="gramEnd"/>
            <w:r w:rsidRPr="000F3267">
              <w:rPr>
                <w:rFonts w:asciiTheme="majorHAnsi" w:hAnsiTheme="majorHAnsi" w:cstheme="majorHAnsi"/>
                <w:sz w:val="22"/>
                <w:szCs w:val="22"/>
              </w:rPr>
              <w:t xml:space="preserve"> to:</w:t>
            </w:r>
          </w:p>
          <w:p w14:paraId="371B8803" w14:textId="77777777" w:rsidR="00CE34B1" w:rsidRPr="000F3267" w:rsidRDefault="00CE34B1" w:rsidP="006A0E08">
            <w:pPr>
              <w:pStyle w:val="affff9"/>
              <w:numPr>
                <w:ilvl w:val="0"/>
                <w:numId w:val="43"/>
              </w:numPr>
              <w:spacing w:after="0" w:line="240" w:lineRule="auto"/>
              <w:rPr>
                <w:rFonts w:asciiTheme="majorHAnsi" w:hAnsiTheme="majorHAnsi" w:cstheme="majorHAnsi"/>
                <w:sz w:val="22"/>
                <w:szCs w:val="22"/>
              </w:rPr>
            </w:pPr>
            <w:r w:rsidRPr="000F3267">
              <w:rPr>
                <w:rFonts w:asciiTheme="majorHAnsi" w:hAnsiTheme="majorHAnsi" w:cstheme="majorHAnsi"/>
                <w:sz w:val="22"/>
                <w:szCs w:val="22"/>
              </w:rPr>
              <w:t xml:space="preserve">preserve the progress achieved to </w:t>
            </w:r>
            <w:proofErr w:type="gramStart"/>
            <w:r w:rsidRPr="000F3267">
              <w:rPr>
                <w:rFonts w:asciiTheme="majorHAnsi" w:hAnsiTheme="majorHAnsi" w:cstheme="majorHAnsi"/>
                <w:sz w:val="22"/>
                <w:szCs w:val="22"/>
              </w:rPr>
              <w:t>date;</w:t>
            </w:r>
            <w:proofErr w:type="gramEnd"/>
          </w:p>
          <w:p w14:paraId="09FD17C2" w14:textId="7841FA80" w:rsidR="00CE34B1" w:rsidRPr="000F3267" w:rsidRDefault="00CE34B1" w:rsidP="006A0E08">
            <w:pPr>
              <w:pStyle w:val="affff9"/>
              <w:numPr>
                <w:ilvl w:val="0"/>
                <w:numId w:val="43"/>
              </w:numPr>
              <w:spacing w:after="0" w:line="240" w:lineRule="auto"/>
              <w:rPr>
                <w:rFonts w:asciiTheme="majorHAnsi" w:hAnsiTheme="majorHAnsi" w:cstheme="majorHAnsi"/>
                <w:sz w:val="22"/>
                <w:szCs w:val="22"/>
              </w:rPr>
            </w:pPr>
            <w:r w:rsidRPr="000F3267">
              <w:rPr>
                <w:rFonts w:asciiTheme="majorHAnsi" w:hAnsiTheme="majorHAnsi" w:cstheme="majorHAnsi"/>
                <w:sz w:val="22"/>
                <w:szCs w:val="22"/>
              </w:rPr>
              <w:t xml:space="preserve">share the experience accumulated with the use of mSTR for treatment of </w:t>
            </w:r>
            <w:r w:rsidR="00177C89">
              <w:rPr>
                <w:rFonts w:asciiTheme="majorHAnsi" w:hAnsiTheme="majorHAnsi" w:cstheme="majorHAnsi"/>
                <w:sz w:val="22"/>
                <w:szCs w:val="22"/>
              </w:rPr>
              <w:t>RR/MDR</w:t>
            </w:r>
            <w:r w:rsidRPr="000F3267">
              <w:rPr>
                <w:rFonts w:asciiTheme="majorHAnsi" w:hAnsiTheme="majorHAnsi" w:cstheme="majorHAnsi"/>
                <w:sz w:val="22"/>
                <w:szCs w:val="22"/>
              </w:rPr>
              <w:t xml:space="preserve">-TB patients in the pilot </w:t>
            </w:r>
            <w:proofErr w:type="gramStart"/>
            <w:r w:rsidRPr="000F3267">
              <w:rPr>
                <w:rFonts w:asciiTheme="majorHAnsi" w:hAnsiTheme="majorHAnsi" w:cstheme="majorHAnsi"/>
                <w:sz w:val="22"/>
                <w:szCs w:val="22"/>
              </w:rPr>
              <w:t>regions;</w:t>
            </w:r>
            <w:proofErr w:type="gramEnd"/>
          </w:p>
          <w:p w14:paraId="12FBE310" w14:textId="3382D5B6" w:rsidR="00CE34B1" w:rsidRPr="000F3267" w:rsidRDefault="00CE34B1" w:rsidP="006A0E08">
            <w:pPr>
              <w:pStyle w:val="affff9"/>
              <w:numPr>
                <w:ilvl w:val="0"/>
                <w:numId w:val="43"/>
              </w:numPr>
              <w:spacing w:after="0" w:line="240" w:lineRule="auto"/>
              <w:rPr>
                <w:rFonts w:asciiTheme="majorHAnsi" w:hAnsiTheme="majorHAnsi" w:cstheme="majorHAnsi"/>
                <w:sz w:val="22"/>
                <w:szCs w:val="22"/>
              </w:rPr>
            </w:pPr>
            <w:r w:rsidRPr="000F3267">
              <w:rPr>
                <w:rFonts w:asciiTheme="majorHAnsi" w:hAnsiTheme="majorHAnsi" w:cstheme="majorHAnsi"/>
                <w:sz w:val="22"/>
                <w:szCs w:val="22"/>
              </w:rPr>
              <w:t xml:space="preserve">eliminate </w:t>
            </w:r>
            <w:r w:rsidR="00980733" w:rsidRPr="000F3267">
              <w:rPr>
                <w:rFonts w:asciiTheme="majorHAnsi" w:hAnsiTheme="majorHAnsi" w:cstheme="majorHAnsi"/>
                <w:sz w:val="22"/>
                <w:szCs w:val="22"/>
              </w:rPr>
              <w:t>key barriers to accessing</w:t>
            </w:r>
            <w:r w:rsidRPr="000F3267">
              <w:rPr>
                <w:rFonts w:asciiTheme="majorHAnsi" w:hAnsiTheme="majorHAnsi" w:cstheme="majorHAnsi"/>
                <w:sz w:val="22"/>
                <w:szCs w:val="22"/>
              </w:rPr>
              <w:t xml:space="preserve"> modern and effective </w:t>
            </w:r>
            <w:proofErr w:type="gramStart"/>
            <w:r w:rsidRPr="000F3267">
              <w:rPr>
                <w:rFonts w:asciiTheme="majorHAnsi" w:hAnsiTheme="majorHAnsi" w:cstheme="majorHAnsi"/>
                <w:sz w:val="22"/>
                <w:szCs w:val="22"/>
              </w:rPr>
              <w:t>treatment;</w:t>
            </w:r>
            <w:proofErr w:type="gramEnd"/>
          </w:p>
          <w:p w14:paraId="72A7CD91" w14:textId="77777777" w:rsidR="00CE34B1" w:rsidRPr="000F3267" w:rsidRDefault="00CE34B1" w:rsidP="006A0E08">
            <w:pPr>
              <w:pStyle w:val="affff9"/>
              <w:numPr>
                <w:ilvl w:val="0"/>
                <w:numId w:val="43"/>
              </w:numPr>
              <w:spacing w:after="0" w:line="240" w:lineRule="auto"/>
              <w:rPr>
                <w:rFonts w:asciiTheme="majorHAnsi" w:hAnsiTheme="majorHAnsi" w:cstheme="majorHAnsi"/>
                <w:sz w:val="22"/>
                <w:szCs w:val="22"/>
              </w:rPr>
            </w:pPr>
            <w:proofErr w:type="gramStart"/>
            <w:r w:rsidRPr="000F3267">
              <w:rPr>
                <w:rFonts w:asciiTheme="majorHAnsi" w:hAnsiTheme="majorHAnsi" w:cstheme="majorHAnsi"/>
                <w:sz w:val="22"/>
                <w:szCs w:val="22"/>
              </w:rPr>
              <w:t>address  information</w:t>
            </w:r>
            <w:proofErr w:type="gramEnd"/>
            <w:r w:rsidRPr="000F3267">
              <w:rPr>
                <w:rFonts w:asciiTheme="majorHAnsi" w:hAnsiTheme="majorHAnsi" w:cstheme="majorHAnsi"/>
                <w:sz w:val="22"/>
                <w:szCs w:val="22"/>
              </w:rPr>
              <w:t xml:space="preserve"> gaps regarding the effectiveness and efficiency of mSTR;</w:t>
            </w:r>
          </w:p>
          <w:p w14:paraId="0D8288D6" w14:textId="0FEE902C" w:rsidR="00CE34B1" w:rsidRPr="000F3267" w:rsidRDefault="00913A8E" w:rsidP="006A0E08">
            <w:pPr>
              <w:pStyle w:val="affff9"/>
              <w:numPr>
                <w:ilvl w:val="0"/>
                <w:numId w:val="43"/>
              </w:numPr>
              <w:spacing w:after="0" w:line="240" w:lineRule="auto"/>
              <w:rPr>
                <w:rFonts w:asciiTheme="majorHAnsi" w:hAnsiTheme="majorHAnsi" w:cstheme="majorHAnsi"/>
                <w:sz w:val="22"/>
                <w:szCs w:val="22"/>
              </w:rPr>
            </w:pPr>
            <w:r w:rsidRPr="000F3267">
              <w:rPr>
                <w:rFonts w:asciiTheme="majorHAnsi" w:hAnsiTheme="majorHAnsi" w:cstheme="majorHAnsi"/>
                <w:sz w:val="22"/>
                <w:szCs w:val="22"/>
              </w:rPr>
              <w:t xml:space="preserve"> </w:t>
            </w:r>
            <w:r w:rsidR="00CE34B1" w:rsidRPr="000F3267">
              <w:rPr>
                <w:rFonts w:asciiTheme="majorHAnsi" w:hAnsiTheme="majorHAnsi" w:cstheme="majorHAnsi"/>
                <w:sz w:val="22"/>
                <w:szCs w:val="22"/>
              </w:rPr>
              <w:t>use the OR data to improve NTP effectiveness</w:t>
            </w:r>
            <w:r w:rsidR="00996546" w:rsidRPr="000F3267">
              <w:rPr>
                <w:rFonts w:asciiTheme="majorHAnsi" w:hAnsiTheme="majorHAnsi" w:cstheme="majorHAnsi"/>
                <w:sz w:val="22"/>
                <w:szCs w:val="22"/>
              </w:rPr>
              <w:t xml:space="preserve"> and </w:t>
            </w:r>
            <w:proofErr w:type="gramStart"/>
            <w:r w:rsidR="00996546" w:rsidRPr="000F3267">
              <w:rPr>
                <w:rFonts w:asciiTheme="majorHAnsi" w:hAnsiTheme="majorHAnsi" w:cstheme="majorHAnsi"/>
                <w:sz w:val="22"/>
                <w:szCs w:val="22"/>
              </w:rPr>
              <w:t>efficiency</w:t>
            </w:r>
            <w:r w:rsidR="00CE34B1" w:rsidRPr="000F3267">
              <w:rPr>
                <w:rFonts w:asciiTheme="majorHAnsi" w:hAnsiTheme="majorHAnsi" w:cstheme="majorHAnsi"/>
                <w:sz w:val="22"/>
                <w:szCs w:val="22"/>
              </w:rPr>
              <w:t>;</w:t>
            </w:r>
            <w:proofErr w:type="gramEnd"/>
          </w:p>
          <w:p w14:paraId="6F2905DC" w14:textId="56AB97E2" w:rsidR="00CE34B1" w:rsidRPr="000F3267" w:rsidRDefault="00913A8E" w:rsidP="006A0E08">
            <w:pPr>
              <w:pStyle w:val="affff9"/>
              <w:numPr>
                <w:ilvl w:val="0"/>
                <w:numId w:val="43"/>
              </w:numPr>
              <w:spacing w:after="0" w:line="240" w:lineRule="auto"/>
              <w:rPr>
                <w:rFonts w:asciiTheme="majorHAnsi" w:hAnsiTheme="majorHAnsi" w:cstheme="majorHAnsi"/>
                <w:sz w:val="22"/>
                <w:szCs w:val="22"/>
              </w:rPr>
            </w:pPr>
            <w:r w:rsidRPr="000F3267">
              <w:rPr>
                <w:rFonts w:asciiTheme="majorHAnsi" w:hAnsiTheme="majorHAnsi" w:cstheme="majorHAnsi"/>
                <w:sz w:val="22"/>
                <w:szCs w:val="22"/>
              </w:rPr>
              <w:t xml:space="preserve"> </w:t>
            </w:r>
            <w:r w:rsidR="00CE34B1" w:rsidRPr="000F3267">
              <w:rPr>
                <w:rFonts w:asciiTheme="majorHAnsi" w:hAnsiTheme="majorHAnsi" w:cstheme="majorHAnsi"/>
                <w:sz w:val="22"/>
                <w:szCs w:val="22"/>
              </w:rPr>
              <w:t xml:space="preserve">adopt the national policy allowing use of the mSTR programmatically, informed by generated country evidence on treatment outcomes. </w:t>
            </w:r>
          </w:p>
          <w:p w14:paraId="10404CE9" w14:textId="77777777" w:rsidR="00996546" w:rsidRPr="00A8113A" w:rsidRDefault="00996546" w:rsidP="00F47032">
            <w:pPr>
              <w:shd w:val="clear" w:color="auto" w:fill="FFFFFF" w:themeFill="background1"/>
              <w:spacing w:after="0" w:line="240" w:lineRule="auto"/>
              <w:jc w:val="both"/>
              <w:rPr>
                <w:rFonts w:asciiTheme="majorHAnsi" w:hAnsiTheme="majorHAnsi" w:cstheme="majorHAnsi"/>
              </w:rPr>
            </w:pPr>
          </w:p>
          <w:p w14:paraId="3872DBC4" w14:textId="7C7F3E67" w:rsidR="00B1654A" w:rsidRPr="000F3267" w:rsidRDefault="00B674E0" w:rsidP="00F47032">
            <w:pPr>
              <w:shd w:val="clear" w:color="auto" w:fill="FFFFFF" w:themeFill="background1"/>
              <w:spacing w:after="0" w:line="240" w:lineRule="auto"/>
              <w:jc w:val="both"/>
              <w:rPr>
                <w:rFonts w:asciiTheme="majorHAnsi" w:hAnsiTheme="majorHAnsi" w:cstheme="majorHAnsi"/>
              </w:rPr>
            </w:pPr>
            <w:r w:rsidRPr="000F3267">
              <w:rPr>
                <w:rFonts w:asciiTheme="majorHAnsi" w:hAnsiTheme="majorHAnsi" w:cstheme="majorHAnsi"/>
              </w:rPr>
              <w:t xml:space="preserve">Though the decrease in the absolute number of MDR-TB is recorded, the pre- and XDR-TB cases have increased in the past years. Despite the introduction of new (Bdq, Dlm) and the use of repurposed drugs in the treatment of drug-resistant tuberculosis, the treatment of pre- and XDR-TB yet remains a challenge, as there is often a lack of effective schemes and higher is the risk for non-adherence to long-term treatments (for approximately 20 months). As an alternative to long-term therapy, </w:t>
            </w:r>
            <w:r w:rsidR="00F57EA4" w:rsidRPr="000F3267">
              <w:rPr>
                <w:rFonts w:asciiTheme="majorHAnsi" w:hAnsiTheme="majorHAnsi" w:cstheme="majorHAnsi"/>
              </w:rPr>
              <w:t>the WHO recommends a novel BPaL</w:t>
            </w:r>
            <w:r w:rsidR="00207DD8" w:rsidRPr="000F3267">
              <w:rPr>
                <w:rFonts w:asciiTheme="majorHAnsi" w:hAnsiTheme="majorHAnsi" w:cstheme="majorHAnsi"/>
              </w:rPr>
              <w:t xml:space="preserve"> regimen</w:t>
            </w:r>
            <w:r w:rsidRPr="000F3267">
              <w:rPr>
                <w:rFonts w:asciiTheme="majorHAnsi" w:hAnsiTheme="majorHAnsi" w:cstheme="majorHAnsi"/>
              </w:rPr>
              <w:t xml:space="preserve"> for extensively drug-resistant TB. The treatment initiation began under operational research conditions to collect more country-specific data on regimen effectiveness and safety to be used to develop reco</w:t>
            </w:r>
            <w:r w:rsidR="00207DD8" w:rsidRPr="000F3267">
              <w:rPr>
                <w:rFonts w:asciiTheme="majorHAnsi" w:hAnsiTheme="majorHAnsi" w:cstheme="majorHAnsi"/>
              </w:rPr>
              <w:t>mmendations for programmatic application</w:t>
            </w:r>
            <w:r w:rsidRPr="000F3267">
              <w:rPr>
                <w:rFonts w:asciiTheme="majorHAnsi" w:hAnsiTheme="majorHAnsi" w:cstheme="majorHAnsi"/>
              </w:rPr>
              <w:t>. T</w:t>
            </w:r>
            <w:r w:rsidR="005D475B" w:rsidRPr="000F3267">
              <w:rPr>
                <w:rFonts w:asciiTheme="majorHAnsi" w:hAnsiTheme="majorHAnsi" w:cstheme="majorHAnsi"/>
              </w:rPr>
              <w:t xml:space="preserve">he </w:t>
            </w:r>
            <w:r w:rsidRPr="000F3267">
              <w:rPr>
                <w:rFonts w:asciiTheme="majorHAnsi" w:hAnsiTheme="majorHAnsi" w:cstheme="majorHAnsi"/>
              </w:rPr>
              <w:t>use</w:t>
            </w:r>
            <w:r w:rsidR="005D475B" w:rsidRPr="000F3267">
              <w:rPr>
                <w:rFonts w:asciiTheme="majorHAnsi" w:hAnsiTheme="majorHAnsi" w:cstheme="majorHAnsi"/>
              </w:rPr>
              <w:t xml:space="preserve"> of the BPaL regimen</w:t>
            </w:r>
            <w:r w:rsidRPr="000F3267">
              <w:rPr>
                <w:rFonts w:asciiTheme="majorHAnsi" w:hAnsiTheme="majorHAnsi" w:cstheme="majorHAnsi"/>
              </w:rPr>
              <w:t xml:space="preserve"> that</w:t>
            </w:r>
            <w:r w:rsidR="005D475B" w:rsidRPr="000F3267">
              <w:rPr>
                <w:rFonts w:asciiTheme="majorHAnsi" w:hAnsiTheme="majorHAnsi" w:cstheme="majorHAnsi"/>
              </w:rPr>
              <w:t xml:space="preserve"> shown its effectiveness in the Nix-TB3 study (98% of treatment success), will enable patients with pre-XDR-TB to receive effective treatment within a shorter period </w:t>
            </w:r>
            <w:r w:rsidR="00B1654A" w:rsidRPr="000F3267">
              <w:rPr>
                <w:rFonts w:asciiTheme="majorHAnsi" w:hAnsiTheme="majorHAnsi" w:cstheme="majorHAnsi"/>
              </w:rPr>
              <w:t xml:space="preserve">of six </w:t>
            </w:r>
            <w:r w:rsidR="00207DD8" w:rsidRPr="000F3267">
              <w:rPr>
                <w:rFonts w:asciiTheme="majorHAnsi" w:hAnsiTheme="majorHAnsi" w:cstheme="majorHAnsi"/>
              </w:rPr>
              <w:t xml:space="preserve">up </w:t>
            </w:r>
            <w:r w:rsidR="00B1654A" w:rsidRPr="000F3267">
              <w:rPr>
                <w:rFonts w:asciiTheme="majorHAnsi" w:hAnsiTheme="majorHAnsi" w:cstheme="majorHAnsi"/>
              </w:rPr>
              <w:t>to nine</w:t>
            </w:r>
            <w:r w:rsidR="005D475B" w:rsidRPr="000F3267">
              <w:rPr>
                <w:rFonts w:asciiTheme="majorHAnsi" w:hAnsiTheme="majorHAnsi" w:cstheme="majorHAnsi"/>
              </w:rPr>
              <w:t xml:space="preserve"> months and, in general, will improve the epidemiological situation in the country. Since 2020, </w:t>
            </w:r>
            <w:r w:rsidR="00B1654A" w:rsidRPr="000F3267">
              <w:rPr>
                <w:rFonts w:asciiTheme="majorHAnsi" w:hAnsiTheme="majorHAnsi" w:cstheme="majorHAnsi"/>
              </w:rPr>
              <w:t>the NSCP</w:t>
            </w:r>
            <w:r w:rsidR="005D475B" w:rsidRPr="000F3267">
              <w:rPr>
                <w:rFonts w:asciiTheme="majorHAnsi" w:hAnsiTheme="majorHAnsi" w:cstheme="majorHAnsi"/>
              </w:rPr>
              <w:t xml:space="preserve"> with support of K</w:t>
            </w:r>
            <w:r w:rsidR="00360056">
              <w:rPr>
                <w:rFonts w:asciiTheme="majorHAnsi" w:hAnsiTheme="majorHAnsi" w:cstheme="majorHAnsi"/>
              </w:rPr>
              <w:t>NCV</w:t>
            </w:r>
            <w:r w:rsidR="00B1654A" w:rsidRPr="000F3267">
              <w:rPr>
                <w:rFonts w:asciiTheme="majorHAnsi" w:hAnsiTheme="majorHAnsi" w:cstheme="majorHAnsi"/>
              </w:rPr>
              <w:t xml:space="preserve"> has </w:t>
            </w:r>
            <w:r w:rsidR="005D475B" w:rsidRPr="000F3267">
              <w:rPr>
                <w:rFonts w:asciiTheme="majorHAnsi" w:hAnsiTheme="majorHAnsi" w:cstheme="majorHAnsi"/>
              </w:rPr>
              <w:t>started preparation for implementation of BPaL regimen</w:t>
            </w:r>
            <w:r w:rsidR="00207DD8" w:rsidRPr="000F3267">
              <w:rPr>
                <w:rFonts w:asciiTheme="majorHAnsi" w:hAnsiTheme="majorHAnsi" w:cstheme="majorHAnsi"/>
              </w:rPr>
              <w:t xml:space="preserve"> in Kazakhstan</w:t>
            </w:r>
            <w:r w:rsidR="005D475B" w:rsidRPr="000F3267">
              <w:rPr>
                <w:rFonts w:asciiTheme="majorHAnsi" w:hAnsiTheme="majorHAnsi" w:cstheme="majorHAnsi"/>
              </w:rPr>
              <w:t xml:space="preserve">. </w:t>
            </w:r>
          </w:p>
          <w:p w14:paraId="417B96E0" w14:textId="77777777" w:rsidR="00B1654A" w:rsidRPr="000F3267" w:rsidRDefault="00B1654A" w:rsidP="00F47032">
            <w:pPr>
              <w:shd w:val="clear" w:color="auto" w:fill="FFFFFF" w:themeFill="background1"/>
              <w:spacing w:after="0" w:line="240" w:lineRule="auto"/>
              <w:jc w:val="both"/>
              <w:rPr>
                <w:rFonts w:asciiTheme="majorHAnsi" w:hAnsiTheme="majorHAnsi" w:cstheme="majorHAnsi"/>
              </w:rPr>
            </w:pPr>
          </w:p>
          <w:p w14:paraId="201BCF65" w14:textId="1E3259EE" w:rsidR="00BE1058" w:rsidRPr="000F3267" w:rsidRDefault="00C30B6A" w:rsidP="00F47032">
            <w:pPr>
              <w:shd w:val="clear" w:color="auto" w:fill="FFFFFF" w:themeFill="background1"/>
              <w:spacing w:after="0" w:line="240" w:lineRule="auto"/>
              <w:jc w:val="both"/>
              <w:rPr>
                <w:rFonts w:asciiTheme="majorHAnsi" w:hAnsiTheme="majorHAnsi" w:cstheme="majorHAnsi"/>
              </w:rPr>
            </w:pPr>
            <w:r w:rsidRPr="000F3267">
              <w:rPr>
                <w:rFonts w:asciiTheme="majorHAnsi" w:hAnsiTheme="majorHAnsi" w:cstheme="majorHAnsi"/>
              </w:rPr>
              <w:t>Within the frame of technical support to NSCP, the implementation plan was developed, and operational research protocol elaborated, negotiation with</w:t>
            </w:r>
            <w:r w:rsidR="0089575B" w:rsidRPr="000F3267">
              <w:rPr>
                <w:rFonts w:asciiTheme="majorHAnsi" w:hAnsiTheme="majorHAnsi" w:cstheme="majorHAnsi"/>
              </w:rPr>
              <w:t xml:space="preserve"> pretomanid' manufacturer</w:t>
            </w:r>
            <w:r w:rsidRPr="000F3267">
              <w:rPr>
                <w:rFonts w:asciiTheme="majorHAnsi" w:hAnsiTheme="majorHAnsi" w:cstheme="majorHAnsi"/>
              </w:rPr>
              <w:t xml:space="preserve">- Viatres- on the drug registration and supply has been completed. An analysis of the legal-regulatory framework and consultations with </w:t>
            </w:r>
            <w:r w:rsidR="008141A9" w:rsidRPr="000F3267">
              <w:rPr>
                <w:rFonts w:asciiTheme="majorHAnsi" w:hAnsiTheme="majorHAnsi" w:cstheme="majorHAnsi"/>
              </w:rPr>
              <w:t xml:space="preserve">the </w:t>
            </w:r>
            <w:r w:rsidRPr="000F3267">
              <w:rPr>
                <w:rFonts w:asciiTheme="majorHAnsi" w:hAnsiTheme="majorHAnsi" w:cstheme="majorHAnsi"/>
              </w:rPr>
              <w:t>MoH, the National Center of Expertise of Medicines and Medical Devices, and the National Research Center for Health Development named Salidat Kairbekova were carried out. According to the</w:t>
            </w:r>
            <w:r w:rsidR="008141A9" w:rsidRPr="000F3267">
              <w:rPr>
                <w:rFonts w:asciiTheme="majorHAnsi" w:hAnsiTheme="majorHAnsi" w:cstheme="majorHAnsi"/>
              </w:rPr>
              <w:t xml:space="preserve"> manufacturer, registration of the</w:t>
            </w:r>
            <w:r w:rsidRPr="000F3267">
              <w:rPr>
                <w:rFonts w:asciiTheme="majorHAnsi" w:hAnsiTheme="majorHAnsi" w:cstheme="majorHAnsi"/>
              </w:rPr>
              <w:t xml:space="preserve"> pretomanid in Kazakhstan is expected in the first quarter of 2022.</w:t>
            </w:r>
          </w:p>
          <w:p w14:paraId="65F02770" w14:textId="77777777" w:rsidR="002A5F6E" w:rsidRPr="000F3267" w:rsidRDefault="002A5F6E" w:rsidP="00F47032">
            <w:pPr>
              <w:shd w:val="clear" w:color="auto" w:fill="FFFFFF" w:themeFill="background1"/>
              <w:spacing w:after="0" w:line="240" w:lineRule="auto"/>
              <w:jc w:val="both"/>
              <w:rPr>
                <w:rFonts w:asciiTheme="majorHAnsi" w:hAnsiTheme="majorHAnsi" w:cstheme="majorHAnsi"/>
              </w:rPr>
            </w:pPr>
          </w:p>
          <w:p w14:paraId="67506DD9" w14:textId="77777777" w:rsidR="00613369" w:rsidRPr="000F3267" w:rsidRDefault="002A5F6E" w:rsidP="00F47032">
            <w:pPr>
              <w:shd w:val="clear" w:color="auto" w:fill="FFFFFF" w:themeFill="background1"/>
              <w:spacing w:after="0" w:line="240" w:lineRule="auto"/>
              <w:jc w:val="both"/>
              <w:rPr>
                <w:rFonts w:asciiTheme="majorHAnsi" w:hAnsiTheme="majorHAnsi" w:cstheme="majorHAnsi"/>
                <w:b/>
              </w:rPr>
            </w:pPr>
            <w:r w:rsidRPr="000F3267">
              <w:rPr>
                <w:rFonts w:asciiTheme="majorHAnsi" w:hAnsiTheme="majorHAnsi" w:cstheme="majorHAnsi"/>
                <w:b/>
                <w:lang w:val="ru-RU"/>
              </w:rPr>
              <w:t>С</w:t>
            </w:r>
            <w:r w:rsidRPr="000F3267">
              <w:rPr>
                <w:rFonts w:asciiTheme="majorHAnsi" w:hAnsiTheme="majorHAnsi" w:cstheme="majorHAnsi"/>
                <w:b/>
              </w:rPr>
              <w:t>oordination and managem</w:t>
            </w:r>
            <w:r w:rsidR="00613369" w:rsidRPr="000F3267">
              <w:rPr>
                <w:rFonts w:asciiTheme="majorHAnsi" w:hAnsiTheme="majorHAnsi" w:cstheme="majorHAnsi"/>
                <w:b/>
              </w:rPr>
              <w:t xml:space="preserve">ent of TB medicine supply, and </w:t>
            </w:r>
            <w:r w:rsidRPr="000F3267">
              <w:rPr>
                <w:rFonts w:asciiTheme="majorHAnsi" w:hAnsiTheme="majorHAnsi" w:cstheme="majorHAnsi"/>
                <w:b/>
              </w:rPr>
              <w:t>aDSM</w:t>
            </w:r>
            <w:r w:rsidR="00613369" w:rsidRPr="000F3267">
              <w:rPr>
                <w:rFonts w:asciiTheme="majorHAnsi" w:hAnsiTheme="majorHAnsi" w:cstheme="majorHAnsi"/>
                <w:b/>
              </w:rPr>
              <w:t>.</w:t>
            </w:r>
          </w:p>
          <w:p w14:paraId="0CF71C53" w14:textId="52CE25BC" w:rsidR="00613369" w:rsidRPr="000F3267" w:rsidRDefault="00AD7915" w:rsidP="00F47032">
            <w:pPr>
              <w:shd w:val="clear" w:color="auto" w:fill="FFFFFF" w:themeFill="background1"/>
              <w:spacing w:after="0" w:line="240" w:lineRule="auto"/>
              <w:jc w:val="both"/>
              <w:rPr>
                <w:rFonts w:asciiTheme="majorHAnsi" w:hAnsiTheme="majorHAnsi" w:cstheme="majorHAnsi"/>
              </w:rPr>
            </w:pPr>
            <w:r w:rsidRPr="000F3267">
              <w:rPr>
                <w:rFonts w:asciiTheme="majorHAnsi" w:hAnsiTheme="majorHAnsi" w:cstheme="majorHAnsi"/>
              </w:rPr>
              <w:t>The new drugs and regimens under the OR require robust systems for patient monitoring, drugs management, and pharmacovigilance to prevent severe adverse events and resistance to new anti-TB medicines.</w:t>
            </w:r>
          </w:p>
          <w:p w14:paraId="2DA26B67" w14:textId="77777777" w:rsidR="002965FD" w:rsidRPr="000F3267" w:rsidRDefault="002965FD" w:rsidP="00F47032">
            <w:pPr>
              <w:shd w:val="clear" w:color="auto" w:fill="FFFFFF" w:themeFill="background1"/>
              <w:spacing w:after="0" w:line="240" w:lineRule="auto"/>
              <w:jc w:val="both"/>
              <w:rPr>
                <w:rFonts w:asciiTheme="majorHAnsi" w:hAnsiTheme="majorHAnsi" w:cstheme="majorHAnsi"/>
              </w:rPr>
            </w:pPr>
          </w:p>
          <w:p w14:paraId="60D84213" w14:textId="21512AB3" w:rsidR="00AD7915" w:rsidRPr="00974FD7" w:rsidRDefault="008141A9" w:rsidP="00F47032">
            <w:pPr>
              <w:spacing w:after="0" w:line="240" w:lineRule="auto"/>
              <w:jc w:val="both"/>
              <w:rPr>
                <w:rFonts w:asciiTheme="majorHAnsi" w:hAnsiTheme="majorHAnsi" w:cstheme="majorHAnsi"/>
              </w:rPr>
            </w:pPr>
            <w:r w:rsidRPr="00974FD7">
              <w:rPr>
                <w:rFonts w:asciiTheme="majorHAnsi" w:hAnsiTheme="majorHAnsi" w:cstheme="majorHAnsi"/>
              </w:rPr>
              <w:t xml:space="preserve">The </w:t>
            </w:r>
            <w:r w:rsidR="002965FD" w:rsidRPr="00974FD7">
              <w:rPr>
                <w:rFonts w:asciiTheme="majorHAnsi" w:hAnsiTheme="majorHAnsi" w:cstheme="majorHAnsi"/>
              </w:rPr>
              <w:t>TB drugs provision is a complex procedure involving multiple mandatory steps to be accomplished by various actors at regional and central levels. In recent years, it has become more complicated with the introduction of new technologies and treatment options, focusing on individualized treatment regimens, following revisited recommendations from the WHO and other technical partners.</w:t>
            </w:r>
          </w:p>
          <w:p w14:paraId="327E78CB" w14:textId="77777777" w:rsidR="002965FD" w:rsidRPr="00974FD7" w:rsidRDefault="002965FD" w:rsidP="00F47032">
            <w:pPr>
              <w:spacing w:after="0" w:line="240" w:lineRule="auto"/>
              <w:jc w:val="both"/>
              <w:rPr>
                <w:rFonts w:asciiTheme="majorHAnsi" w:hAnsiTheme="majorHAnsi" w:cstheme="majorHAnsi"/>
              </w:rPr>
            </w:pPr>
          </w:p>
          <w:p w14:paraId="69CAAA39" w14:textId="2B65CA2A" w:rsidR="00662315" w:rsidRPr="00974FD7" w:rsidRDefault="002510B2" w:rsidP="00F47032">
            <w:pPr>
              <w:shd w:val="clear" w:color="auto" w:fill="FFFFFF" w:themeFill="background1"/>
              <w:spacing w:after="0" w:line="240" w:lineRule="auto"/>
              <w:jc w:val="both"/>
              <w:rPr>
                <w:rFonts w:asciiTheme="majorHAnsi" w:hAnsiTheme="majorHAnsi" w:cstheme="majorHAnsi"/>
              </w:rPr>
            </w:pPr>
            <w:r w:rsidRPr="00974FD7">
              <w:rPr>
                <w:rFonts w:asciiTheme="majorHAnsi" w:hAnsiTheme="majorHAnsi" w:cstheme="majorHAnsi"/>
              </w:rPr>
              <w:t>Accordingly, all these developments require improved coordination of the processes, including the issues of monitoring of the availability of anti-TB drugs in the market and registration, revising the National Drugs Formulary and medicines list within the volume of free medic</w:t>
            </w:r>
            <w:r w:rsidR="006A78B8" w:rsidRPr="00974FD7">
              <w:rPr>
                <w:rFonts w:asciiTheme="majorHAnsi" w:hAnsiTheme="majorHAnsi" w:cstheme="majorHAnsi"/>
              </w:rPr>
              <w:t>al care and in a system of CSHI. Additionally,</w:t>
            </w:r>
            <w:r w:rsidRPr="00974FD7">
              <w:rPr>
                <w:rFonts w:asciiTheme="majorHAnsi" w:hAnsiTheme="majorHAnsi" w:cstheme="majorHAnsi"/>
              </w:rPr>
              <w:t xml:space="preserve"> extra procurement and redistribution of anti-TB drugs among regions </w:t>
            </w:r>
            <w:r w:rsidR="006A78B8" w:rsidRPr="00974FD7">
              <w:rPr>
                <w:rFonts w:asciiTheme="majorHAnsi" w:hAnsiTheme="majorHAnsi" w:cstheme="majorHAnsi"/>
              </w:rPr>
              <w:t xml:space="preserve">might be needed </w:t>
            </w:r>
            <w:r w:rsidRPr="00974FD7">
              <w:rPr>
                <w:rFonts w:asciiTheme="majorHAnsi" w:hAnsiTheme="majorHAnsi" w:cstheme="majorHAnsi"/>
              </w:rPr>
              <w:t xml:space="preserve">to mitigate possible risks with the </w:t>
            </w:r>
            <w:r w:rsidR="006A78B8" w:rsidRPr="00974FD7">
              <w:rPr>
                <w:rFonts w:asciiTheme="majorHAnsi" w:hAnsiTheme="majorHAnsi" w:cstheme="majorHAnsi"/>
              </w:rPr>
              <w:t xml:space="preserve">medicines' </w:t>
            </w:r>
            <w:r w:rsidRPr="00974FD7">
              <w:rPr>
                <w:rFonts w:asciiTheme="majorHAnsi" w:hAnsiTheme="majorHAnsi" w:cstheme="majorHAnsi"/>
              </w:rPr>
              <w:t>supply. The essential functions in the drug supply chain are the needs assessment, forecasting, and the order's formation for drug purchases and distribution, which are the responsibility of the regional TB Centers. Recent amendments</w:t>
            </w:r>
            <w:r w:rsidR="00E7119B" w:rsidRPr="000F3267">
              <w:rPr>
                <w:rStyle w:val="af"/>
                <w:rFonts w:asciiTheme="majorHAnsi" w:hAnsiTheme="majorHAnsi" w:cstheme="majorHAnsi"/>
              </w:rPr>
              <w:footnoteReference w:id="71"/>
            </w:r>
            <w:r w:rsidRPr="00974FD7">
              <w:rPr>
                <w:rFonts w:asciiTheme="majorHAnsi" w:hAnsiTheme="majorHAnsi" w:cstheme="majorHAnsi"/>
              </w:rPr>
              <w:t xml:space="preserve"> in the legal and regulatory frameworks increase the requirements for preparing and approving an application for the procurement of anti-TB drugs, including the need to have the written approval of consolidated orders from regions at the central NSCP level.  </w:t>
            </w:r>
            <w:r w:rsidR="00BA7DA6" w:rsidRPr="00974FD7">
              <w:rPr>
                <w:rFonts w:asciiTheme="majorHAnsi" w:hAnsiTheme="majorHAnsi" w:cstheme="majorHAnsi"/>
              </w:rPr>
              <w:t xml:space="preserve">Also, improved coordination and leadership at the central level is required for medicines redistrubution between regional TB Centers with involvement of the SHIF.   </w:t>
            </w:r>
          </w:p>
          <w:p w14:paraId="2D9DF16B" w14:textId="77777777" w:rsidR="00662315" w:rsidRPr="00974FD7" w:rsidRDefault="00662315" w:rsidP="00F47032">
            <w:pPr>
              <w:shd w:val="clear" w:color="auto" w:fill="FFFFFF" w:themeFill="background1"/>
              <w:spacing w:after="0" w:line="240" w:lineRule="auto"/>
              <w:jc w:val="both"/>
              <w:rPr>
                <w:rFonts w:asciiTheme="majorHAnsi" w:hAnsiTheme="majorHAnsi" w:cstheme="majorHAnsi"/>
              </w:rPr>
            </w:pPr>
          </w:p>
          <w:p w14:paraId="0EC094C9" w14:textId="248FC0F5" w:rsidR="00E8392C" w:rsidRPr="00974FD7" w:rsidRDefault="003C7FD3" w:rsidP="00F47032">
            <w:pPr>
              <w:shd w:val="clear" w:color="auto" w:fill="FFFFFF" w:themeFill="background1"/>
              <w:spacing w:after="0" w:line="240" w:lineRule="auto"/>
              <w:jc w:val="both"/>
              <w:rPr>
                <w:rFonts w:asciiTheme="majorHAnsi" w:hAnsiTheme="majorHAnsi" w:cstheme="majorHAnsi"/>
              </w:rPr>
            </w:pPr>
            <w:r w:rsidRPr="00974FD7">
              <w:rPr>
                <w:rFonts w:asciiTheme="majorHAnsi" w:hAnsiTheme="majorHAnsi" w:cstheme="majorHAnsi"/>
              </w:rPr>
              <w:t xml:space="preserve">The drug supply chain digitalization in recent years catalyzes the digitalization of processes in the provision of anti-TB drugs and requires the expansion of the Drug Supply Management Coordinator's functions. Monitoring the provision and rational use of anti-TB drugs through monthly and quarterly analysis of regional reports remains </w:t>
            </w:r>
            <w:r w:rsidR="00316EAA" w:rsidRPr="00974FD7">
              <w:rPr>
                <w:rFonts w:asciiTheme="majorHAnsi" w:hAnsiTheme="majorHAnsi" w:cstheme="majorHAnsi"/>
              </w:rPr>
              <w:t>the central level responsibility.</w:t>
            </w:r>
          </w:p>
          <w:p w14:paraId="39EA381E" w14:textId="77777777" w:rsidR="00316EAA" w:rsidRPr="00974FD7" w:rsidRDefault="00316EAA" w:rsidP="00F47032">
            <w:pPr>
              <w:shd w:val="clear" w:color="auto" w:fill="FFFFFF" w:themeFill="background1"/>
              <w:spacing w:after="0" w:line="240" w:lineRule="auto"/>
              <w:jc w:val="both"/>
              <w:rPr>
                <w:rFonts w:asciiTheme="majorHAnsi" w:hAnsiTheme="majorHAnsi" w:cstheme="majorHAnsi"/>
              </w:rPr>
            </w:pPr>
          </w:p>
          <w:p w14:paraId="005301B9" w14:textId="7529141C" w:rsidR="002A5F6E" w:rsidRPr="00974FD7" w:rsidRDefault="00A67A3F" w:rsidP="00F47032">
            <w:pPr>
              <w:shd w:val="clear" w:color="auto" w:fill="FFFFFF" w:themeFill="background1"/>
              <w:spacing w:after="0" w:line="240" w:lineRule="auto"/>
              <w:jc w:val="both"/>
              <w:rPr>
                <w:rFonts w:asciiTheme="majorHAnsi" w:hAnsiTheme="majorHAnsi" w:cstheme="majorHAnsi"/>
              </w:rPr>
            </w:pPr>
            <w:r w:rsidRPr="00974FD7">
              <w:rPr>
                <w:rFonts w:asciiTheme="majorHAnsi" w:hAnsiTheme="majorHAnsi" w:cstheme="majorHAnsi"/>
              </w:rPr>
              <w:t>The provision of active monitoring of the safety of anti-TB drugs is a special requirement for the management of DR-TB treatment, as new anti-TB drugs do not yet have a complete safety profile. Also,</w:t>
            </w:r>
            <w:r w:rsidR="00BC24B3" w:rsidRPr="00974FD7">
              <w:rPr>
                <w:rFonts w:asciiTheme="majorHAnsi" w:hAnsiTheme="majorHAnsi" w:cstheme="majorHAnsi"/>
              </w:rPr>
              <w:t xml:space="preserve"> new and</w:t>
            </w:r>
            <w:r w:rsidRPr="00974FD7">
              <w:rPr>
                <w:rFonts w:asciiTheme="majorHAnsi" w:hAnsiTheme="majorHAnsi" w:cstheme="majorHAnsi"/>
              </w:rPr>
              <w:t xml:space="preserve"> repurposed drugs included in the first two groups of anti-TB drugs for priority use in DR-TB </w:t>
            </w:r>
            <w:proofErr w:type="gramStart"/>
            <w:r w:rsidR="008450C8" w:rsidRPr="00974FD7">
              <w:rPr>
                <w:rFonts w:asciiTheme="majorHAnsi" w:hAnsiTheme="majorHAnsi" w:cstheme="majorHAnsi"/>
              </w:rPr>
              <w:t>patients</w:t>
            </w:r>
            <w:proofErr w:type="gramEnd"/>
            <w:r w:rsidR="008450C8" w:rsidRPr="00974FD7">
              <w:rPr>
                <w:rFonts w:asciiTheme="majorHAnsi" w:hAnsiTheme="majorHAnsi" w:cstheme="majorHAnsi"/>
              </w:rPr>
              <w:t xml:space="preserve"> therapy are under “off-label” </w:t>
            </w:r>
            <w:r w:rsidR="00411C5E" w:rsidRPr="00974FD7">
              <w:rPr>
                <w:rFonts w:asciiTheme="majorHAnsi" w:hAnsiTheme="majorHAnsi" w:cstheme="majorHAnsi"/>
              </w:rPr>
              <w:t>prescribing</w:t>
            </w:r>
            <w:r w:rsidRPr="00974FD7">
              <w:rPr>
                <w:rFonts w:asciiTheme="majorHAnsi" w:hAnsiTheme="majorHAnsi" w:cstheme="majorHAnsi"/>
              </w:rPr>
              <w:t>.</w:t>
            </w:r>
            <w:r w:rsidR="00411C5E" w:rsidRPr="00974FD7">
              <w:rPr>
                <w:rFonts w:asciiTheme="majorHAnsi" w:hAnsiTheme="majorHAnsi" w:cstheme="majorHAnsi"/>
              </w:rPr>
              <w:t xml:space="preserve"> Moreover, the inclusion of new and repurposed anti-TB</w:t>
            </w:r>
            <w:r w:rsidR="00BC24B3" w:rsidRPr="00974FD7">
              <w:rPr>
                <w:rFonts w:asciiTheme="majorHAnsi" w:hAnsiTheme="majorHAnsi" w:cstheme="majorHAnsi"/>
              </w:rPr>
              <w:t xml:space="preserve"> drugs in treatment regimens for</w:t>
            </w:r>
            <w:r w:rsidR="00411C5E" w:rsidRPr="00974FD7">
              <w:rPr>
                <w:rFonts w:asciiTheme="majorHAnsi" w:hAnsiTheme="majorHAnsi" w:cstheme="majorHAnsi"/>
              </w:rPr>
              <w:t xml:space="preserve"> </w:t>
            </w:r>
            <w:r w:rsidR="00BC24B3" w:rsidRPr="00974FD7">
              <w:rPr>
                <w:rFonts w:asciiTheme="majorHAnsi" w:hAnsiTheme="majorHAnsi" w:cstheme="majorHAnsi"/>
              </w:rPr>
              <w:t>programmatic use</w:t>
            </w:r>
            <w:r w:rsidR="00411C5E" w:rsidRPr="00974FD7">
              <w:rPr>
                <w:rFonts w:asciiTheme="majorHAnsi" w:hAnsiTheme="majorHAnsi" w:cstheme="majorHAnsi"/>
              </w:rPr>
              <w:t xml:space="preserve"> suggests that there </w:t>
            </w:r>
            <w:r w:rsidR="00BC24B3" w:rsidRPr="00974FD7">
              <w:rPr>
                <w:rFonts w:asciiTheme="majorHAnsi" w:hAnsiTheme="majorHAnsi" w:cstheme="majorHAnsi"/>
              </w:rPr>
              <w:t xml:space="preserve">should be a robust </w:t>
            </w:r>
            <w:r w:rsidR="00411C5E" w:rsidRPr="00974FD7">
              <w:rPr>
                <w:rFonts w:asciiTheme="majorHAnsi" w:hAnsiTheme="majorHAnsi" w:cstheme="majorHAnsi"/>
              </w:rPr>
              <w:t xml:space="preserve">system </w:t>
            </w:r>
            <w:r w:rsidR="00BC24B3" w:rsidRPr="00974FD7">
              <w:rPr>
                <w:rFonts w:asciiTheme="majorHAnsi" w:hAnsiTheme="majorHAnsi" w:cstheme="majorHAnsi"/>
              </w:rPr>
              <w:t xml:space="preserve">in place for </w:t>
            </w:r>
            <w:r w:rsidR="00411C5E" w:rsidRPr="00974FD7">
              <w:rPr>
                <w:rFonts w:asciiTheme="majorHAnsi" w:hAnsiTheme="majorHAnsi" w:cstheme="majorHAnsi"/>
              </w:rPr>
              <w:t>active drug safety monitoring</w:t>
            </w:r>
            <w:r w:rsidR="00BC24B3" w:rsidRPr="00974FD7">
              <w:rPr>
                <w:rFonts w:asciiTheme="majorHAnsi" w:hAnsiTheme="majorHAnsi" w:cstheme="majorHAnsi"/>
              </w:rPr>
              <w:t>.</w:t>
            </w:r>
            <w:r w:rsidR="00411C5E" w:rsidRPr="00974FD7">
              <w:rPr>
                <w:rFonts w:asciiTheme="majorHAnsi" w:hAnsiTheme="majorHAnsi" w:cstheme="majorHAnsi"/>
              </w:rPr>
              <w:t xml:space="preserve"> </w:t>
            </w:r>
            <w:r w:rsidR="00BC24B3" w:rsidRPr="00974FD7">
              <w:rPr>
                <w:rFonts w:asciiTheme="majorHAnsi" w:hAnsiTheme="majorHAnsi" w:cstheme="majorHAnsi"/>
              </w:rPr>
              <w:t>A</w:t>
            </w:r>
            <w:r w:rsidR="00016C17" w:rsidRPr="00974FD7">
              <w:rPr>
                <w:rFonts w:asciiTheme="majorHAnsi" w:hAnsiTheme="majorHAnsi" w:cstheme="majorHAnsi"/>
              </w:rPr>
              <w:t xml:space="preserve"> key component</w:t>
            </w:r>
            <w:r w:rsidR="00BC24B3" w:rsidRPr="00974FD7">
              <w:rPr>
                <w:rFonts w:asciiTheme="majorHAnsi" w:hAnsiTheme="majorHAnsi" w:cstheme="majorHAnsi"/>
              </w:rPr>
              <w:t xml:space="preserve"> of the sustainability of aDSM system, including pharmacovigilance, is the proper management </w:t>
            </w:r>
            <w:r w:rsidR="007F62D0" w:rsidRPr="00974FD7">
              <w:rPr>
                <w:rFonts w:asciiTheme="majorHAnsi" w:hAnsiTheme="majorHAnsi" w:cstheme="majorHAnsi"/>
              </w:rPr>
              <w:t>at</w:t>
            </w:r>
            <w:r w:rsidR="00BC24B3" w:rsidRPr="00974FD7">
              <w:rPr>
                <w:rFonts w:asciiTheme="majorHAnsi" w:hAnsiTheme="majorHAnsi" w:cstheme="majorHAnsi"/>
              </w:rPr>
              <w:t xml:space="preserve"> the NTP' central level. The commitment of the </w:t>
            </w:r>
            <w:r w:rsidR="00CF7105" w:rsidRPr="00974FD7">
              <w:rPr>
                <w:rFonts w:asciiTheme="majorHAnsi" w:hAnsiTheme="majorHAnsi" w:cstheme="majorHAnsi"/>
              </w:rPr>
              <w:t>MoH</w:t>
            </w:r>
            <w:r w:rsidR="00BC24B3" w:rsidRPr="00974FD7">
              <w:rPr>
                <w:rFonts w:asciiTheme="majorHAnsi" w:hAnsiTheme="majorHAnsi" w:cstheme="majorHAnsi"/>
              </w:rPr>
              <w:t xml:space="preserve"> to improve monitoring of the safety and efficacy of medicines and medical devices is confirmed by the rules</w:t>
            </w:r>
            <w:r w:rsidR="00BA36EF" w:rsidRPr="000F3267">
              <w:rPr>
                <w:rStyle w:val="af"/>
                <w:rFonts w:asciiTheme="majorHAnsi" w:hAnsiTheme="majorHAnsi" w:cstheme="majorHAnsi"/>
              </w:rPr>
              <w:footnoteReference w:id="72"/>
            </w:r>
            <w:r w:rsidR="00BC24B3" w:rsidRPr="00974FD7">
              <w:rPr>
                <w:rFonts w:asciiTheme="majorHAnsi" w:hAnsiTheme="majorHAnsi" w:cstheme="majorHAnsi"/>
              </w:rPr>
              <w:t xml:space="preserve"> for pharmacovigilance and monitoring of the safety, </w:t>
            </w:r>
            <w:proofErr w:type="gramStart"/>
            <w:r w:rsidR="00BC24B3" w:rsidRPr="00974FD7">
              <w:rPr>
                <w:rFonts w:asciiTheme="majorHAnsi" w:hAnsiTheme="majorHAnsi" w:cstheme="majorHAnsi"/>
              </w:rPr>
              <w:t>quality</w:t>
            </w:r>
            <w:proofErr w:type="gramEnd"/>
            <w:r w:rsidR="00BC24B3" w:rsidRPr="00974FD7">
              <w:rPr>
                <w:rFonts w:asciiTheme="majorHAnsi" w:hAnsiTheme="majorHAnsi" w:cstheme="majorHAnsi"/>
              </w:rPr>
              <w:t xml:space="preserve"> and effectiveness of medical devices, which establish the requirements for </w:t>
            </w:r>
            <w:r w:rsidR="00CF7105" w:rsidRPr="00974FD7">
              <w:rPr>
                <w:rFonts w:asciiTheme="majorHAnsi" w:hAnsiTheme="majorHAnsi" w:cstheme="majorHAnsi"/>
              </w:rPr>
              <w:t>assigning a specialist</w:t>
            </w:r>
            <w:r w:rsidR="00BC24B3" w:rsidRPr="00974FD7">
              <w:rPr>
                <w:rFonts w:asciiTheme="majorHAnsi" w:hAnsiTheme="majorHAnsi" w:cstheme="majorHAnsi"/>
              </w:rPr>
              <w:t xml:space="preserve"> responsible for </w:t>
            </w:r>
            <w:r w:rsidR="00016C17" w:rsidRPr="00974FD7">
              <w:rPr>
                <w:rFonts w:asciiTheme="majorHAnsi" w:hAnsiTheme="majorHAnsi" w:cstheme="majorHAnsi"/>
              </w:rPr>
              <w:t xml:space="preserve">the </w:t>
            </w:r>
            <w:r w:rsidR="00BC24B3" w:rsidRPr="00974FD7">
              <w:rPr>
                <w:rFonts w:asciiTheme="majorHAnsi" w:hAnsiTheme="majorHAnsi" w:cstheme="majorHAnsi"/>
              </w:rPr>
              <w:t xml:space="preserve">monitoring </w:t>
            </w:r>
            <w:r w:rsidR="00CF7105" w:rsidRPr="00974FD7">
              <w:rPr>
                <w:rFonts w:asciiTheme="majorHAnsi" w:hAnsiTheme="majorHAnsi" w:cstheme="majorHAnsi"/>
              </w:rPr>
              <w:t xml:space="preserve">of </w:t>
            </w:r>
            <w:r w:rsidR="00BC24B3" w:rsidRPr="00974FD7">
              <w:rPr>
                <w:rFonts w:asciiTheme="majorHAnsi" w:hAnsiTheme="majorHAnsi" w:cstheme="majorHAnsi"/>
              </w:rPr>
              <w:t xml:space="preserve">adverse reactions in </w:t>
            </w:r>
            <w:r w:rsidR="00CF7105" w:rsidRPr="00974FD7">
              <w:rPr>
                <w:rFonts w:asciiTheme="majorHAnsi" w:hAnsiTheme="majorHAnsi" w:cstheme="majorHAnsi"/>
              </w:rPr>
              <w:t>healt</w:t>
            </w:r>
            <w:r w:rsidR="00016C17" w:rsidRPr="00974FD7">
              <w:rPr>
                <w:rFonts w:asciiTheme="majorHAnsi" w:hAnsiTheme="majorHAnsi" w:cstheme="majorHAnsi"/>
              </w:rPr>
              <w:t>h</w:t>
            </w:r>
            <w:r w:rsidR="00CF7105" w:rsidRPr="00974FD7">
              <w:rPr>
                <w:rFonts w:asciiTheme="majorHAnsi" w:hAnsiTheme="majorHAnsi" w:cstheme="majorHAnsi"/>
              </w:rPr>
              <w:t>care organizations.</w:t>
            </w:r>
            <w:r w:rsidR="000656F8" w:rsidRPr="00974FD7">
              <w:rPr>
                <w:rFonts w:asciiTheme="majorHAnsi" w:hAnsiTheme="majorHAnsi" w:cstheme="majorHAnsi"/>
              </w:rPr>
              <w:t xml:space="preserve"> These functions </w:t>
            </w:r>
            <w:r w:rsidR="007F62D0" w:rsidRPr="000F3267">
              <w:rPr>
                <w:rFonts w:asciiTheme="majorHAnsi" w:hAnsiTheme="majorHAnsi" w:cstheme="majorHAnsi"/>
              </w:rPr>
              <w:t>are not reflected</w:t>
            </w:r>
            <w:r w:rsidR="007F62D0" w:rsidRPr="00974FD7">
              <w:rPr>
                <w:rFonts w:asciiTheme="majorHAnsi" w:hAnsiTheme="majorHAnsi" w:cstheme="majorHAnsi"/>
              </w:rPr>
              <w:t xml:space="preserve"> </w:t>
            </w:r>
            <w:r w:rsidR="000656F8" w:rsidRPr="00974FD7">
              <w:rPr>
                <w:rFonts w:asciiTheme="majorHAnsi" w:hAnsiTheme="majorHAnsi" w:cstheme="majorHAnsi"/>
              </w:rPr>
              <w:t>in the current funding of</w:t>
            </w:r>
            <w:r w:rsidR="007F62D0" w:rsidRPr="00974FD7">
              <w:rPr>
                <w:rFonts w:asciiTheme="majorHAnsi" w:hAnsiTheme="majorHAnsi" w:cstheme="majorHAnsi"/>
              </w:rPr>
              <w:t xml:space="preserve"> NTP</w:t>
            </w:r>
            <w:r w:rsidR="000656F8" w:rsidRPr="00974FD7">
              <w:rPr>
                <w:rFonts w:asciiTheme="majorHAnsi" w:hAnsiTheme="majorHAnsi" w:cstheme="majorHAnsi"/>
              </w:rPr>
              <w:t xml:space="preserve"> activities</w:t>
            </w:r>
            <w:r w:rsidR="00083551" w:rsidRPr="00974FD7">
              <w:rPr>
                <w:rFonts w:asciiTheme="majorHAnsi" w:hAnsiTheme="majorHAnsi" w:cstheme="majorHAnsi"/>
              </w:rPr>
              <w:t xml:space="preserve"> and expected to be supported through the GF fund with full takeover by the country</w:t>
            </w:r>
            <w:r w:rsidR="005F2BF9" w:rsidRPr="00974FD7">
              <w:rPr>
                <w:rFonts w:asciiTheme="majorHAnsi" w:hAnsiTheme="majorHAnsi" w:cstheme="majorHAnsi"/>
              </w:rPr>
              <w:t xml:space="preserve"> financing mech</w:t>
            </w:r>
            <w:r w:rsidR="00083551" w:rsidRPr="00974FD7">
              <w:rPr>
                <w:rFonts w:asciiTheme="majorHAnsi" w:hAnsiTheme="majorHAnsi" w:cstheme="majorHAnsi"/>
              </w:rPr>
              <w:t>a</w:t>
            </w:r>
            <w:r w:rsidR="005F2BF9" w:rsidRPr="00974FD7">
              <w:rPr>
                <w:rFonts w:asciiTheme="majorHAnsi" w:hAnsiTheme="majorHAnsi" w:cstheme="majorHAnsi"/>
              </w:rPr>
              <w:t>n</w:t>
            </w:r>
            <w:r w:rsidR="00083551" w:rsidRPr="00974FD7">
              <w:rPr>
                <w:rFonts w:asciiTheme="majorHAnsi" w:hAnsiTheme="majorHAnsi" w:cstheme="majorHAnsi"/>
              </w:rPr>
              <w:t>ism.</w:t>
            </w:r>
          </w:p>
          <w:p w14:paraId="1638D419" w14:textId="77777777" w:rsidR="00D87CCD" w:rsidRPr="00974FD7" w:rsidRDefault="00D87CCD" w:rsidP="00F47032">
            <w:pPr>
              <w:shd w:val="clear" w:color="auto" w:fill="FFFFFF" w:themeFill="background1"/>
              <w:spacing w:after="0" w:line="240" w:lineRule="auto"/>
              <w:jc w:val="both"/>
              <w:rPr>
                <w:rFonts w:asciiTheme="majorHAnsi" w:hAnsiTheme="majorHAnsi" w:cstheme="majorHAnsi"/>
              </w:rPr>
            </w:pPr>
          </w:p>
          <w:p w14:paraId="329365D0" w14:textId="2BC7BF06" w:rsidR="00342727" w:rsidRPr="00974FD7" w:rsidRDefault="006425D9" w:rsidP="00F47032">
            <w:pPr>
              <w:shd w:val="clear" w:color="auto" w:fill="FFFFFF" w:themeFill="background1"/>
              <w:spacing w:after="0" w:line="240" w:lineRule="auto"/>
              <w:jc w:val="both"/>
              <w:rPr>
                <w:rFonts w:asciiTheme="majorHAnsi" w:hAnsiTheme="majorHAnsi" w:cstheme="majorHAnsi"/>
                <w:b/>
              </w:rPr>
            </w:pPr>
            <w:r w:rsidRPr="000F3267">
              <w:rPr>
                <w:rFonts w:asciiTheme="majorHAnsi" w:hAnsiTheme="majorHAnsi" w:cstheme="majorHAnsi"/>
                <w:b/>
              </w:rPr>
              <w:t>Development</w:t>
            </w:r>
            <w:r w:rsidRPr="00974FD7">
              <w:rPr>
                <w:rFonts w:asciiTheme="majorHAnsi" w:hAnsiTheme="majorHAnsi" w:cstheme="majorHAnsi"/>
                <w:b/>
              </w:rPr>
              <w:t xml:space="preserve"> </w:t>
            </w:r>
            <w:r w:rsidRPr="000F3267">
              <w:rPr>
                <w:rFonts w:asciiTheme="majorHAnsi" w:hAnsiTheme="majorHAnsi" w:cstheme="majorHAnsi"/>
                <w:b/>
              </w:rPr>
              <w:t>and</w:t>
            </w:r>
            <w:r w:rsidRPr="00974FD7">
              <w:rPr>
                <w:rFonts w:asciiTheme="majorHAnsi" w:hAnsiTheme="majorHAnsi" w:cstheme="majorHAnsi"/>
                <w:b/>
              </w:rPr>
              <w:t xml:space="preserve"> </w:t>
            </w:r>
            <w:r w:rsidRPr="000F3267">
              <w:rPr>
                <w:rFonts w:asciiTheme="majorHAnsi" w:hAnsiTheme="majorHAnsi" w:cstheme="majorHAnsi"/>
                <w:b/>
              </w:rPr>
              <w:t>maintenance</w:t>
            </w:r>
            <w:r w:rsidRPr="00974FD7">
              <w:rPr>
                <w:rFonts w:asciiTheme="majorHAnsi" w:hAnsiTheme="majorHAnsi" w:cstheme="majorHAnsi"/>
                <w:b/>
              </w:rPr>
              <w:t xml:space="preserve"> </w:t>
            </w:r>
            <w:r w:rsidRPr="000F3267">
              <w:rPr>
                <w:rFonts w:asciiTheme="majorHAnsi" w:hAnsiTheme="majorHAnsi" w:cstheme="majorHAnsi"/>
                <w:b/>
              </w:rPr>
              <w:t>of</w:t>
            </w:r>
            <w:r w:rsidRPr="00974FD7">
              <w:rPr>
                <w:rFonts w:asciiTheme="majorHAnsi" w:hAnsiTheme="majorHAnsi" w:cstheme="majorHAnsi"/>
                <w:b/>
              </w:rPr>
              <w:t xml:space="preserve"> </w:t>
            </w:r>
            <w:r w:rsidRPr="000F3267">
              <w:rPr>
                <w:rFonts w:asciiTheme="majorHAnsi" w:hAnsiTheme="majorHAnsi" w:cstheme="majorHAnsi"/>
                <w:b/>
              </w:rPr>
              <w:t>the</w:t>
            </w:r>
            <w:r w:rsidRPr="00974FD7">
              <w:rPr>
                <w:rFonts w:asciiTheme="majorHAnsi" w:hAnsiTheme="majorHAnsi" w:cstheme="majorHAnsi"/>
                <w:b/>
              </w:rPr>
              <w:t xml:space="preserve"> </w:t>
            </w:r>
            <w:r w:rsidRPr="000F3267">
              <w:rPr>
                <w:rFonts w:asciiTheme="majorHAnsi" w:hAnsiTheme="majorHAnsi" w:cstheme="majorHAnsi"/>
                <w:b/>
              </w:rPr>
              <w:t>e</w:t>
            </w:r>
            <w:r w:rsidRPr="00974FD7">
              <w:rPr>
                <w:rFonts w:asciiTheme="majorHAnsi" w:hAnsiTheme="majorHAnsi" w:cstheme="majorHAnsi"/>
                <w:b/>
              </w:rPr>
              <w:t>-</w:t>
            </w:r>
            <w:r w:rsidRPr="000F3267">
              <w:rPr>
                <w:rFonts w:asciiTheme="majorHAnsi" w:hAnsiTheme="majorHAnsi" w:cstheme="majorHAnsi"/>
                <w:b/>
              </w:rPr>
              <w:t>Learning</w:t>
            </w:r>
            <w:r w:rsidRPr="00974FD7">
              <w:rPr>
                <w:rFonts w:asciiTheme="majorHAnsi" w:hAnsiTheme="majorHAnsi" w:cstheme="majorHAnsi"/>
                <w:b/>
              </w:rPr>
              <w:t xml:space="preserve"> </w:t>
            </w:r>
            <w:r w:rsidRPr="000F3267">
              <w:rPr>
                <w:rFonts w:asciiTheme="majorHAnsi" w:hAnsiTheme="majorHAnsi" w:cstheme="majorHAnsi"/>
                <w:b/>
              </w:rPr>
              <w:t>platform</w:t>
            </w:r>
            <w:r w:rsidRPr="00974FD7">
              <w:rPr>
                <w:rFonts w:asciiTheme="majorHAnsi" w:hAnsiTheme="majorHAnsi" w:cstheme="majorHAnsi"/>
                <w:b/>
              </w:rPr>
              <w:t xml:space="preserve"> </w:t>
            </w:r>
            <w:r w:rsidRPr="000F3267">
              <w:rPr>
                <w:rFonts w:asciiTheme="majorHAnsi" w:hAnsiTheme="majorHAnsi" w:cstheme="majorHAnsi"/>
                <w:b/>
              </w:rPr>
              <w:t>to</w:t>
            </w:r>
            <w:r w:rsidRPr="00974FD7">
              <w:rPr>
                <w:rFonts w:asciiTheme="majorHAnsi" w:hAnsiTheme="majorHAnsi" w:cstheme="majorHAnsi"/>
                <w:b/>
              </w:rPr>
              <w:t xml:space="preserve"> </w:t>
            </w:r>
            <w:r w:rsidRPr="000F3267">
              <w:rPr>
                <w:rFonts w:asciiTheme="majorHAnsi" w:hAnsiTheme="majorHAnsi" w:cstheme="majorHAnsi"/>
                <w:b/>
              </w:rPr>
              <w:t>strengthen</w:t>
            </w:r>
            <w:r w:rsidRPr="00974FD7">
              <w:rPr>
                <w:rFonts w:asciiTheme="majorHAnsi" w:hAnsiTheme="majorHAnsi" w:cstheme="majorHAnsi"/>
                <w:b/>
              </w:rPr>
              <w:t xml:space="preserve"> </w:t>
            </w:r>
            <w:r w:rsidRPr="000F3267">
              <w:rPr>
                <w:rFonts w:asciiTheme="majorHAnsi" w:hAnsiTheme="majorHAnsi" w:cstheme="majorHAnsi"/>
                <w:b/>
              </w:rPr>
              <w:t>the</w:t>
            </w:r>
            <w:r w:rsidRPr="00974FD7">
              <w:rPr>
                <w:rFonts w:asciiTheme="majorHAnsi" w:hAnsiTheme="majorHAnsi" w:cstheme="majorHAnsi"/>
                <w:b/>
              </w:rPr>
              <w:t xml:space="preserve"> </w:t>
            </w:r>
            <w:r w:rsidRPr="000F3267">
              <w:rPr>
                <w:rFonts w:asciiTheme="majorHAnsi" w:hAnsiTheme="majorHAnsi" w:cstheme="majorHAnsi"/>
                <w:b/>
              </w:rPr>
              <w:t>capacities</w:t>
            </w:r>
            <w:r w:rsidRPr="00974FD7">
              <w:rPr>
                <w:rFonts w:asciiTheme="majorHAnsi" w:hAnsiTheme="majorHAnsi" w:cstheme="majorHAnsi"/>
                <w:b/>
              </w:rPr>
              <w:t xml:space="preserve"> </w:t>
            </w:r>
            <w:r w:rsidRPr="000F3267">
              <w:rPr>
                <w:rFonts w:asciiTheme="majorHAnsi" w:hAnsiTheme="majorHAnsi" w:cstheme="majorHAnsi"/>
                <w:b/>
              </w:rPr>
              <w:t>of</w:t>
            </w:r>
            <w:r w:rsidRPr="00974FD7">
              <w:rPr>
                <w:rFonts w:asciiTheme="majorHAnsi" w:hAnsiTheme="majorHAnsi" w:cstheme="majorHAnsi"/>
                <w:b/>
              </w:rPr>
              <w:t xml:space="preserve"> </w:t>
            </w:r>
            <w:r w:rsidR="00BD0D06" w:rsidRPr="000F3267">
              <w:rPr>
                <w:rFonts w:asciiTheme="majorHAnsi" w:hAnsiTheme="majorHAnsi" w:cstheme="majorHAnsi"/>
                <w:b/>
              </w:rPr>
              <w:t>health workers</w:t>
            </w:r>
            <w:r w:rsidRPr="00974FD7">
              <w:rPr>
                <w:rFonts w:asciiTheme="majorHAnsi" w:hAnsiTheme="majorHAnsi" w:cstheme="majorHAnsi"/>
                <w:b/>
              </w:rPr>
              <w:t xml:space="preserve"> </w:t>
            </w:r>
            <w:r w:rsidRPr="000F3267">
              <w:rPr>
                <w:rFonts w:asciiTheme="majorHAnsi" w:hAnsiTheme="majorHAnsi" w:cstheme="majorHAnsi"/>
                <w:b/>
              </w:rPr>
              <w:t>and</w:t>
            </w:r>
            <w:r w:rsidRPr="00974FD7">
              <w:rPr>
                <w:rFonts w:asciiTheme="majorHAnsi" w:hAnsiTheme="majorHAnsi" w:cstheme="majorHAnsi"/>
                <w:b/>
              </w:rPr>
              <w:t xml:space="preserve"> </w:t>
            </w:r>
            <w:r w:rsidR="00BD0D06" w:rsidRPr="000F3267">
              <w:rPr>
                <w:rFonts w:asciiTheme="majorHAnsi" w:hAnsiTheme="majorHAnsi" w:cstheme="majorHAnsi"/>
                <w:b/>
              </w:rPr>
              <w:t>community-based</w:t>
            </w:r>
            <w:r w:rsidRPr="00974FD7">
              <w:rPr>
                <w:rFonts w:asciiTheme="majorHAnsi" w:hAnsiTheme="majorHAnsi" w:cstheme="majorHAnsi"/>
                <w:b/>
              </w:rPr>
              <w:t xml:space="preserve"> </w:t>
            </w:r>
            <w:r w:rsidRPr="000F3267">
              <w:rPr>
                <w:rFonts w:asciiTheme="majorHAnsi" w:hAnsiTheme="majorHAnsi" w:cstheme="majorHAnsi"/>
                <w:b/>
              </w:rPr>
              <w:t>organizations</w:t>
            </w:r>
            <w:r w:rsidRPr="00974FD7">
              <w:rPr>
                <w:rFonts w:asciiTheme="majorHAnsi" w:hAnsiTheme="majorHAnsi" w:cstheme="majorHAnsi"/>
                <w:b/>
              </w:rPr>
              <w:t xml:space="preserve"> </w:t>
            </w:r>
            <w:r w:rsidRPr="000F3267">
              <w:rPr>
                <w:rFonts w:asciiTheme="majorHAnsi" w:hAnsiTheme="majorHAnsi" w:cstheme="majorHAnsi"/>
                <w:b/>
              </w:rPr>
              <w:t>in</w:t>
            </w:r>
            <w:r w:rsidRPr="00974FD7">
              <w:rPr>
                <w:rFonts w:asciiTheme="majorHAnsi" w:hAnsiTheme="majorHAnsi" w:cstheme="majorHAnsi"/>
                <w:b/>
              </w:rPr>
              <w:t xml:space="preserve"> </w:t>
            </w:r>
            <w:r w:rsidRPr="000F3267">
              <w:rPr>
                <w:rFonts w:asciiTheme="majorHAnsi" w:hAnsiTheme="majorHAnsi" w:cstheme="majorHAnsi"/>
                <w:b/>
              </w:rPr>
              <w:t>TB</w:t>
            </w:r>
            <w:r w:rsidRPr="00974FD7">
              <w:rPr>
                <w:rFonts w:asciiTheme="majorHAnsi" w:hAnsiTheme="majorHAnsi" w:cstheme="majorHAnsi"/>
                <w:b/>
              </w:rPr>
              <w:t xml:space="preserve"> </w:t>
            </w:r>
            <w:r w:rsidRPr="000F3267">
              <w:rPr>
                <w:rFonts w:asciiTheme="majorHAnsi" w:hAnsiTheme="majorHAnsi" w:cstheme="majorHAnsi"/>
                <w:b/>
              </w:rPr>
              <w:t>control</w:t>
            </w:r>
          </w:p>
          <w:p w14:paraId="799A15B1" w14:textId="60710511" w:rsidR="00342727" w:rsidRPr="00974FD7" w:rsidRDefault="008E369D" w:rsidP="00F47032">
            <w:pPr>
              <w:shd w:val="clear" w:color="auto" w:fill="FFFFFF" w:themeFill="background1"/>
              <w:spacing w:after="0" w:line="240" w:lineRule="auto"/>
              <w:jc w:val="both"/>
              <w:rPr>
                <w:rFonts w:asciiTheme="majorHAnsi" w:hAnsiTheme="majorHAnsi" w:cstheme="majorHAnsi"/>
              </w:rPr>
            </w:pPr>
            <w:r w:rsidRPr="00974FD7">
              <w:rPr>
                <w:rFonts w:asciiTheme="majorHAnsi" w:hAnsiTheme="majorHAnsi" w:cstheme="majorHAnsi"/>
              </w:rPr>
              <w:t xml:space="preserve">Full-fledged operation of continuing education in tuberculosis requires introducing new approaches, performing updates, improving existing organizational models, and training activities to </w:t>
            </w:r>
            <w:r w:rsidR="00E36D0F" w:rsidRPr="00974FD7">
              <w:rPr>
                <w:rFonts w:asciiTheme="majorHAnsi" w:hAnsiTheme="majorHAnsi" w:cstheme="majorHAnsi"/>
              </w:rPr>
              <w:t>strengthen</w:t>
            </w:r>
            <w:r w:rsidR="00974816" w:rsidRPr="00974FD7">
              <w:rPr>
                <w:rFonts w:asciiTheme="majorHAnsi" w:hAnsiTheme="majorHAnsi" w:cstheme="majorHAnsi"/>
              </w:rPr>
              <w:t xml:space="preserve"> competencies and knowledge</w:t>
            </w:r>
            <w:r w:rsidRPr="00974FD7">
              <w:rPr>
                <w:rFonts w:asciiTheme="majorHAnsi" w:hAnsiTheme="majorHAnsi" w:cstheme="majorHAnsi"/>
              </w:rPr>
              <w:t xml:space="preserve"> of healthcare workers involved in TB control, enabling early detection and appropriate care.</w:t>
            </w:r>
          </w:p>
          <w:p w14:paraId="273F287B" w14:textId="77777777" w:rsidR="00342727" w:rsidRPr="00974FD7" w:rsidRDefault="00342727" w:rsidP="00F47032">
            <w:pPr>
              <w:shd w:val="clear" w:color="auto" w:fill="FFFFFF" w:themeFill="background1"/>
              <w:spacing w:after="0" w:line="240" w:lineRule="auto"/>
              <w:jc w:val="both"/>
              <w:rPr>
                <w:rFonts w:asciiTheme="majorHAnsi" w:hAnsiTheme="majorHAnsi" w:cstheme="majorHAnsi"/>
              </w:rPr>
            </w:pPr>
          </w:p>
          <w:p w14:paraId="425109AC" w14:textId="30BD7360" w:rsidR="00DD3592" w:rsidRPr="00974FD7" w:rsidRDefault="00DD3592" w:rsidP="00F47032">
            <w:pPr>
              <w:spacing w:after="0" w:line="240" w:lineRule="auto"/>
              <w:jc w:val="both"/>
              <w:rPr>
                <w:rFonts w:asciiTheme="majorHAnsi" w:hAnsiTheme="majorHAnsi" w:cstheme="majorHAnsi"/>
              </w:rPr>
            </w:pPr>
            <w:r w:rsidRPr="00974FD7">
              <w:rPr>
                <w:rFonts w:asciiTheme="majorHAnsi" w:hAnsiTheme="majorHAnsi" w:cstheme="majorHAnsi"/>
              </w:rPr>
              <w:t xml:space="preserve">To prepare high-quality human resources for health, especially during the period of enhanced quarantine measures, it is necessary to have accessible, reliable education technologies with the ability to update programs and training materials with an emphasis on mastering practical skills and the latest knowledge on various topics. </w:t>
            </w:r>
          </w:p>
          <w:p w14:paraId="1D2D8BFD" w14:textId="77777777" w:rsidR="00D87CCD" w:rsidRPr="00974FD7" w:rsidRDefault="00D87CCD" w:rsidP="00F47032">
            <w:pPr>
              <w:spacing w:after="0" w:line="240" w:lineRule="auto"/>
              <w:jc w:val="both"/>
              <w:rPr>
                <w:rFonts w:asciiTheme="majorHAnsi" w:hAnsiTheme="majorHAnsi" w:cstheme="majorHAnsi"/>
              </w:rPr>
            </w:pPr>
          </w:p>
          <w:p w14:paraId="6E64BF0E" w14:textId="0BF4471F" w:rsidR="00841501" w:rsidRPr="00974FD7" w:rsidRDefault="00841501" w:rsidP="00F47032">
            <w:pPr>
              <w:shd w:val="clear" w:color="auto" w:fill="FFFFFF" w:themeFill="background1"/>
              <w:spacing w:after="0" w:line="240" w:lineRule="auto"/>
              <w:jc w:val="both"/>
              <w:rPr>
                <w:rFonts w:asciiTheme="majorHAnsi" w:hAnsiTheme="majorHAnsi" w:cstheme="majorHAnsi"/>
              </w:rPr>
            </w:pPr>
            <w:r w:rsidRPr="00974FD7">
              <w:rPr>
                <w:rFonts w:asciiTheme="majorHAnsi" w:hAnsiTheme="majorHAnsi" w:cstheme="majorHAnsi"/>
              </w:rPr>
              <w:t>The modern world requires reliable sources of information, interactive communication in the online space to fulfill the intended goals and objectives successfully, and the attraction of competitive employees with self-education and cascade learning skills. Without these components, the sustainabili</w:t>
            </w:r>
            <w:r w:rsidR="006B2E9C" w:rsidRPr="00974FD7">
              <w:rPr>
                <w:rFonts w:asciiTheme="majorHAnsi" w:hAnsiTheme="majorHAnsi" w:cstheme="majorHAnsi"/>
              </w:rPr>
              <w:t>ty and quality of</w:t>
            </w:r>
            <w:r w:rsidRPr="00974FD7">
              <w:rPr>
                <w:rFonts w:asciiTheme="majorHAnsi" w:hAnsiTheme="majorHAnsi" w:cstheme="majorHAnsi"/>
              </w:rPr>
              <w:t xml:space="preserve"> </w:t>
            </w:r>
            <w:r w:rsidR="006B2E9C" w:rsidRPr="00974FD7">
              <w:rPr>
                <w:rFonts w:asciiTheme="majorHAnsi" w:hAnsiTheme="majorHAnsi" w:cstheme="majorHAnsi"/>
              </w:rPr>
              <w:t xml:space="preserve">realization of plans </w:t>
            </w:r>
            <w:r w:rsidRPr="00974FD7">
              <w:rPr>
                <w:rFonts w:asciiTheme="majorHAnsi" w:hAnsiTheme="majorHAnsi" w:cstheme="majorHAnsi"/>
              </w:rPr>
              <w:t xml:space="preserve">are at risk since the personnel </w:t>
            </w:r>
            <w:r w:rsidR="006B2E9C" w:rsidRPr="00974FD7">
              <w:rPr>
                <w:rFonts w:asciiTheme="majorHAnsi" w:hAnsiTheme="majorHAnsi" w:cstheme="majorHAnsi"/>
              </w:rPr>
              <w:t>and their professional level are</w:t>
            </w:r>
            <w:r w:rsidRPr="00974FD7">
              <w:rPr>
                <w:rFonts w:asciiTheme="majorHAnsi" w:hAnsiTheme="majorHAnsi" w:cstheme="majorHAnsi"/>
              </w:rPr>
              <w:t xml:space="preserve"> essential in any field of activity. </w:t>
            </w:r>
          </w:p>
          <w:p w14:paraId="40DA8922" w14:textId="77777777" w:rsidR="008E369D" w:rsidRPr="00974FD7" w:rsidRDefault="008E369D" w:rsidP="00F47032">
            <w:pPr>
              <w:shd w:val="clear" w:color="auto" w:fill="FFFFFF" w:themeFill="background1"/>
              <w:spacing w:after="0" w:line="240" w:lineRule="auto"/>
              <w:jc w:val="both"/>
              <w:rPr>
                <w:rFonts w:asciiTheme="majorHAnsi" w:hAnsiTheme="majorHAnsi" w:cstheme="majorHAnsi"/>
              </w:rPr>
            </w:pPr>
          </w:p>
          <w:p w14:paraId="35593AAB" w14:textId="79A59128" w:rsidR="006B2E9C" w:rsidRPr="00974FD7" w:rsidRDefault="00F74E28" w:rsidP="00F47032">
            <w:pPr>
              <w:shd w:val="clear" w:color="auto" w:fill="FFFFFF" w:themeFill="background1"/>
              <w:spacing w:after="0" w:line="240" w:lineRule="auto"/>
              <w:jc w:val="both"/>
              <w:rPr>
                <w:rFonts w:asciiTheme="majorHAnsi" w:hAnsiTheme="majorHAnsi" w:cstheme="majorHAnsi"/>
              </w:rPr>
            </w:pPr>
            <w:r w:rsidRPr="00974FD7">
              <w:rPr>
                <w:rFonts w:asciiTheme="majorHAnsi" w:hAnsiTheme="majorHAnsi" w:cstheme="majorHAnsi"/>
              </w:rPr>
              <w:t>Digitalization of the healthcare environment in Kazakhstan is one of the priority objectives</w:t>
            </w:r>
            <w:r w:rsidR="00BB2826" w:rsidRPr="00974FD7">
              <w:rPr>
                <w:rFonts w:asciiTheme="majorHAnsi" w:hAnsiTheme="majorHAnsi" w:cstheme="majorHAnsi"/>
              </w:rPr>
              <w:t xml:space="preserve"> of the government. </w:t>
            </w:r>
            <w:r w:rsidRPr="00974FD7">
              <w:rPr>
                <w:rFonts w:asciiTheme="majorHAnsi" w:hAnsiTheme="majorHAnsi" w:cstheme="majorHAnsi"/>
              </w:rPr>
              <w:t>The development of innovative medical services is envisaged in the country's health strategic plan and reflected in the Comprehensive Plan for developing the phthisiopulmonological service for 2022 - 2026. It is equally important the introduction of innovative methods for capacity building for healthcare workers. Digital adoption had taken a quantum leap during the COVID-19 pandemic, when, for objective reasons, access to timely consultations of medical workers and the exchange of information for both patients and medical staff were significantly hampered.</w:t>
            </w:r>
          </w:p>
          <w:p w14:paraId="1EB4D09C" w14:textId="77777777" w:rsidR="00F74E28" w:rsidRPr="00974FD7" w:rsidRDefault="00F74E28" w:rsidP="00F47032">
            <w:pPr>
              <w:shd w:val="clear" w:color="auto" w:fill="FFFFFF" w:themeFill="background1"/>
              <w:spacing w:after="0" w:line="240" w:lineRule="auto"/>
              <w:jc w:val="both"/>
              <w:rPr>
                <w:rFonts w:asciiTheme="majorHAnsi" w:hAnsiTheme="majorHAnsi" w:cstheme="majorHAnsi"/>
              </w:rPr>
            </w:pPr>
          </w:p>
          <w:p w14:paraId="05585FED" w14:textId="77777777" w:rsidR="00551274" w:rsidRPr="00974FD7" w:rsidRDefault="00E94F51" w:rsidP="00F47032">
            <w:pPr>
              <w:spacing w:after="0" w:line="240" w:lineRule="auto"/>
              <w:jc w:val="both"/>
              <w:rPr>
                <w:rFonts w:asciiTheme="majorHAnsi" w:hAnsiTheme="majorHAnsi" w:cstheme="majorHAnsi"/>
              </w:rPr>
            </w:pPr>
            <w:r w:rsidRPr="00974FD7">
              <w:rPr>
                <w:rFonts w:asciiTheme="majorHAnsi" w:hAnsiTheme="majorHAnsi" w:cstheme="majorHAnsi"/>
              </w:rPr>
              <w:t xml:space="preserve">The current GF grant </w:t>
            </w:r>
            <w:r w:rsidR="00AF28C7" w:rsidRPr="00974FD7">
              <w:rPr>
                <w:rFonts w:asciiTheme="majorHAnsi" w:hAnsiTheme="majorHAnsi" w:cstheme="majorHAnsi"/>
              </w:rPr>
              <w:t xml:space="preserve">project </w:t>
            </w:r>
            <w:r w:rsidRPr="00974FD7">
              <w:rPr>
                <w:rFonts w:asciiTheme="majorHAnsi" w:hAnsiTheme="majorHAnsi" w:cstheme="majorHAnsi"/>
              </w:rPr>
              <w:t xml:space="preserve">supported the establishment of an e-learning platform and equipped the NSCP's Center for Clinical Mentoring and Advanced Training.  </w:t>
            </w:r>
            <w:r w:rsidR="00D86F73" w:rsidRPr="00974FD7">
              <w:rPr>
                <w:rFonts w:asciiTheme="majorHAnsi" w:hAnsiTheme="majorHAnsi" w:cstheme="majorHAnsi"/>
              </w:rPr>
              <w:t>Fifteen</w:t>
            </w:r>
            <w:r w:rsidR="00F74E28" w:rsidRPr="00974FD7">
              <w:rPr>
                <w:rFonts w:asciiTheme="majorHAnsi" w:hAnsiTheme="majorHAnsi" w:cstheme="majorHAnsi"/>
              </w:rPr>
              <w:t xml:space="preserve"> online training module</w:t>
            </w:r>
            <w:r w:rsidR="00D86F73" w:rsidRPr="00974FD7">
              <w:rPr>
                <w:rFonts w:asciiTheme="majorHAnsi" w:hAnsiTheme="majorHAnsi" w:cstheme="majorHAnsi"/>
              </w:rPr>
              <w:t xml:space="preserve">s have been prepared, and the training sessions </w:t>
            </w:r>
            <w:r w:rsidR="00D2692A" w:rsidRPr="00974FD7">
              <w:rPr>
                <w:rFonts w:asciiTheme="majorHAnsi" w:hAnsiTheme="majorHAnsi" w:cstheme="majorHAnsi"/>
              </w:rPr>
              <w:t>organised</w:t>
            </w:r>
            <w:r w:rsidR="00F74E28" w:rsidRPr="00974FD7">
              <w:rPr>
                <w:rFonts w:asciiTheme="majorHAnsi" w:hAnsiTheme="majorHAnsi" w:cstheme="majorHAnsi"/>
              </w:rPr>
              <w:t xml:space="preserve">. By mid-November 2021, 298 students completed online training on </w:t>
            </w:r>
            <w:r w:rsidR="00D86F73" w:rsidRPr="00974FD7">
              <w:rPr>
                <w:rFonts w:asciiTheme="majorHAnsi" w:hAnsiTheme="majorHAnsi" w:cstheme="majorHAnsi"/>
              </w:rPr>
              <w:t>eight</w:t>
            </w:r>
            <w:r w:rsidR="00F74E28" w:rsidRPr="00974FD7">
              <w:rPr>
                <w:rFonts w:asciiTheme="majorHAnsi" w:hAnsiTheme="majorHAnsi" w:cstheme="majorHAnsi"/>
              </w:rPr>
              <w:t xml:space="preserve"> </w:t>
            </w:r>
            <w:r w:rsidR="00F242F7" w:rsidRPr="00974FD7">
              <w:rPr>
                <w:rFonts w:asciiTheme="majorHAnsi" w:hAnsiTheme="majorHAnsi" w:cstheme="majorHAnsi"/>
              </w:rPr>
              <w:t>topics</w:t>
            </w:r>
            <w:r w:rsidR="00F74E28" w:rsidRPr="00974FD7">
              <w:rPr>
                <w:rFonts w:asciiTheme="majorHAnsi" w:hAnsiTheme="majorHAnsi" w:cstheme="majorHAnsi"/>
              </w:rPr>
              <w:t xml:space="preserve">. </w:t>
            </w:r>
            <w:r w:rsidR="0077518A" w:rsidRPr="00974FD7">
              <w:rPr>
                <w:rFonts w:asciiTheme="majorHAnsi" w:hAnsiTheme="majorHAnsi" w:cstheme="majorHAnsi"/>
              </w:rPr>
              <w:t xml:space="preserve">Moreover, during 2020-2021, 280 online meetings of the NSCP' Central Consilium were held, providing evidence-based clinical </w:t>
            </w:r>
            <w:proofErr w:type="gramStart"/>
            <w:r w:rsidR="0077518A" w:rsidRPr="00974FD7">
              <w:rPr>
                <w:rFonts w:asciiTheme="majorHAnsi" w:hAnsiTheme="majorHAnsi" w:cstheme="majorHAnsi"/>
              </w:rPr>
              <w:t>advice</w:t>
            </w:r>
            <w:proofErr w:type="gramEnd"/>
            <w:r w:rsidR="0077518A" w:rsidRPr="00974FD7">
              <w:rPr>
                <w:rFonts w:asciiTheme="majorHAnsi" w:hAnsiTheme="majorHAnsi" w:cstheme="majorHAnsi"/>
              </w:rPr>
              <w:t xml:space="preserve"> and discussing issues related to the management of MDR-TB and other difficult-to-treat TB cases, prescribing treatment schemes for XDR-TB patients, regimens modifications due to observed resistance to drugs or side </w:t>
            </w:r>
            <w:r w:rsidR="00F242F7" w:rsidRPr="00974FD7">
              <w:rPr>
                <w:rFonts w:asciiTheme="majorHAnsi" w:hAnsiTheme="majorHAnsi" w:cstheme="majorHAnsi"/>
              </w:rPr>
              <w:t>effects of therapy, and interesting</w:t>
            </w:r>
            <w:r w:rsidR="0077518A" w:rsidRPr="00974FD7">
              <w:rPr>
                <w:rFonts w:asciiTheme="majorHAnsi" w:hAnsiTheme="majorHAnsi" w:cstheme="majorHAnsi"/>
              </w:rPr>
              <w:t xml:space="preserve"> clinical cases for participants' competencies </w:t>
            </w:r>
            <w:r w:rsidR="00F242F7" w:rsidRPr="00974FD7">
              <w:rPr>
                <w:rFonts w:asciiTheme="majorHAnsi" w:hAnsiTheme="majorHAnsi" w:cstheme="majorHAnsi"/>
              </w:rPr>
              <w:t xml:space="preserve">further </w:t>
            </w:r>
            <w:r w:rsidR="0077518A" w:rsidRPr="00974FD7">
              <w:rPr>
                <w:rFonts w:asciiTheme="majorHAnsi" w:hAnsiTheme="majorHAnsi" w:cstheme="majorHAnsi"/>
              </w:rPr>
              <w:t xml:space="preserve">development. </w:t>
            </w:r>
          </w:p>
          <w:p w14:paraId="776038A1" w14:textId="77777777" w:rsidR="00D87CCD" w:rsidRPr="00974FD7" w:rsidRDefault="00D87CCD" w:rsidP="00F47032">
            <w:pPr>
              <w:spacing w:after="0" w:line="240" w:lineRule="auto"/>
              <w:jc w:val="both"/>
              <w:rPr>
                <w:rFonts w:asciiTheme="majorHAnsi" w:hAnsiTheme="majorHAnsi" w:cstheme="majorHAnsi"/>
              </w:rPr>
            </w:pPr>
          </w:p>
          <w:p w14:paraId="781DF7EF" w14:textId="6976A6CA" w:rsidR="00F74E28" w:rsidRPr="00974FD7" w:rsidRDefault="00551274" w:rsidP="00F47032">
            <w:pPr>
              <w:shd w:val="clear" w:color="auto" w:fill="FFFFFF" w:themeFill="background1"/>
              <w:spacing w:after="0" w:line="240" w:lineRule="auto"/>
              <w:jc w:val="both"/>
              <w:rPr>
                <w:rFonts w:asciiTheme="majorHAnsi" w:hAnsiTheme="majorHAnsi" w:cstheme="majorHAnsi"/>
              </w:rPr>
            </w:pPr>
            <w:r w:rsidRPr="00974FD7">
              <w:rPr>
                <w:rFonts w:asciiTheme="majorHAnsi" w:hAnsiTheme="majorHAnsi" w:cstheme="majorHAnsi"/>
              </w:rPr>
              <w:t xml:space="preserve">Over the coming years, additional funds will be needed to develop online training modules </w:t>
            </w:r>
            <w:r w:rsidR="00184A14" w:rsidRPr="00974FD7">
              <w:rPr>
                <w:rFonts w:asciiTheme="majorHAnsi" w:hAnsiTheme="majorHAnsi" w:cstheme="majorHAnsi"/>
              </w:rPr>
              <w:t>reflecting</w:t>
            </w:r>
            <w:r w:rsidRPr="00974FD7">
              <w:rPr>
                <w:rFonts w:asciiTheme="majorHAnsi" w:hAnsiTheme="majorHAnsi" w:cstheme="majorHAnsi"/>
              </w:rPr>
              <w:t xml:space="preserve"> the new WHO recommendations, the translation of core modules into the Kazakh language and the preparation of ToT for the subsequent expansion of distance learning and mentoring activities at the regional level before the NSCP </w:t>
            </w:r>
            <w:r w:rsidR="00184A14" w:rsidRPr="00974FD7">
              <w:rPr>
                <w:rFonts w:asciiTheme="majorHAnsi" w:hAnsiTheme="majorHAnsi" w:cstheme="majorHAnsi"/>
              </w:rPr>
              <w:t xml:space="preserve">will </w:t>
            </w:r>
            <w:r w:rsidRPr="00974FD7">
              <w:rPr>
                <w:rFonts w:asciiTheme="majorHAnsi" w:hAnsiTheme="majorHAnsi" w:cstheme="majorHAnsi"/>
              </w:rPr>
              <w:t xml:space="preserve">take complete responsibility to finance the </w:t>
            </w:r>
            <w:r w:rsidR="00D11C85" w:rsidRPr="00974FD7">
              <w:rPr>
                <w:rFonts w:asciiTheme="majorHAnsi" w:hAnsiTheme="majorHAnsi" w:cstheme="majorHAnsi"/>
              </w:rPr>
              <w:t>learning</w:t>
            </w:r>
            <w:r w:rsidRPr="00974FD7">
              <w:rPr>
                <w:rFonts w:asciiTheme="majorHAnsi" w:hAnsiTheme="majorHAnsi" w:cstheme="majorHAnsi"/>
              </w:rPr>
              <w:t xml:space="preserve"> center from the internal resources.</w:t>
            </w:r>
          </w:p>
          <w:p w14:paraId="503C2911" w14:textId="77777777" w:rsidR="006425D9" w:rsidRPr="00974FD7" w:rsidRDefault="006425D9" w:rsidP="00F47032">
            <w:pPr>
              <w:shd w:val="clear" w:color="auto" w:fill="FFFFFF" w:themeFill="background1"/>
              <w:spacing w:after="0" w:line="240" w:lineRule="auto"/>
              <w:jc w:val="both"/>
              <w:rPr>
                <w:rFonts w:asciiTheme="majorHAnsi" w:hAnsiTheme="majorHAnsi" w:cstheme="majorHAnsi"/>
                <w:color w:val="00B050"/>
              </w:rPr>
            </w:pPr>
          </w:p>
          <w:p w14:paraId="72D3C0B9" w14:textId="563AC7F4" w:rsidR="002D2426" w:rsidRPr="000F3267" w:rsidRDefault="00C228F9" w:rsidP="00F47032">
            <w:pPr>
              <w:shd w:val="clear" w:color="auto" w:fill="FFFFFF" w:themeFill="background1"/>
              <w:spacing w:after="0" w:line="240" w:lineRule="auto"/>
              <w:jc w:val="both"/>
              <w:rPr>
                <w:rFonts w:asciiTheme="majorHAnsi" w:hAnsiTheme="majorHAnsi" w:cstheme="majorHAnsi"/>
                <w:b/>
              </w:rPr>
            </w:pPr>
            <w:r w:rsidRPr="000F3267">
              <w:rPr>
                <w:rFonts w:asciiTheme="majorHAnsi" w:hAnsiTheme="majorHAnsi" w:cstheme="majorHAnsi"/>
                <w:b/>
              </w:rPr>
              <w:t>Increased c</w:t>
            </w:r>
            <w:r w:rsidR="006425D9" w:rsidRPr="000F3267">
              <w:rPr>
                <w:rFonts w:asciiTheme="majorHAnsi" w:hAnsiTheme="majorHAnsi" w:cstheme="majorHAnsi"/>
                <w:b/>
              </w:rPr>
              <w:t>oordination of the NTP</w:t>
            </w:r>
            <w:r w:rsidRPr="000F3267">
              <w:rPr>
                <w:rFonts w:asciiTheme="majorHAnsi" w:hAnsiTheme="majorHAnsi" w:cstheme="majorHAnsi"/>
                <w:b/>
              </w:rPr>
              <w:t xml:space="preserve"> and enhanced partnership</w:t>
            </w:r>
          </w:p>
          <w:p w14:paraId="1B7022C0" w14:textId="7663061F" w:rsidR="00950D4F" w:rsidRPr="00974FD7" w:rsidRDefault="00950D4F" w:rsidP="00F47032">
            <w:pPr>
              <w:shd w:val="clear" w:color="auto" w:fill="FFFFFF" w:themeFill="background1"/>
              <w:spacing w:after="0" w:line="240" w:lineRule="auto"/>
              <w:jc w:val="both"/>
              <w:rPr>
                <w:rFonts w:asciiTheme="majorHAnsi" w:hAnsiTheme="majorHAnsi" w:cstheme="majorHAnsi"/>
              </w:rPr>
            </w:pPr>
            <w:r w:rsidRPr="00974FD7">
              <w:rPr>
                <w:rFonts w:asciiTheme="majorHAnsi" w:hAnsiTheme="majorHAnsi" w:cstheme="majorHAnsi"/>
              </w:rPr>
              <w:t xml:space="preserve">The Comprehensive Plan and current NTP recognize the critical role of addressing the socio-economic determinants of TB and the need to cover the service gaps at the community level and make the system sustainable towards achieving its goals and objectives. These are cross-cutting issues requiring special attention for reinforced inter and intra sectoral approaches.  </w:t>
            </w:r>
          </w:p>
          <w:p w14:paraId="4FEEDB55" w14:textId="77777777" w:rsidR="00950D4F" w:rsidRPr="000F3267" w:rsidRDefault="00950D4F" w:rsidP="00F47032">
            <w:pPr>
              <w:shd w:val="clear" w:color="auto" w:fill="FFFFFF" w:themeFill="background1"/>
              <w:spacing w:after="0" w:line="240" w:lineRule="auto"/>
              <w:jc w:val="both"/>
              <w:rPr>
                <w:rFonts w:asciiTheme="majorHAnsi" w:hAnsiTheme="majorHAnsi" w:cstheme="majorHAnsi"/>
              </w:rPr>
            </w:pPr>
          </w:p>
          <w:p w14:paraId="0F0B1C1A" w14:textId="6F5E2F1F" w:rsidR="001F7DDD" w:rsidRDefault="000906AC" w:rsidP="00F47032">
            <w:pPr>
              <w:shd w:val="clear" w:color="auto" w:fill="FFFFFF" w:themeFill="background1"/>
              <w:spacing w:after="0" w:line="240" w:lineRule="auto"/>
              <w:jc w:val="both"/>
              <w:rPr>
                <w:rFonts w:asciiTheme="majorHAnsi" w:hAnsiTheme="majorHAnsi" w:cstheme="majorHAnsi"/>
              </w:rPr>
            </w:pPr>
            <w:r w:rsidRPr="000F3267">
              <w:rPr>
                <w:rFonts w:asciiTheme="majorHAnsi" w:eastAsia="Times New Roman" w:hAnsiTheme="majorHAnsi" w:cstheme="majorHAnsi"/>
                <w:color w:val="000000"/>
                <w:shd w:val="clear" w:color="auto" w:fill="FFFFFF"/>
              </w:rPr>
              <w:t>The proposed activities aim to increase coordination among key stakeholders, relevant government bodies, civil society and the national platform on d</w:t>
            </w:r>
            <w:r w:rsidR="00F06FF3" w:rsidRPr="000F3267">
              <w:rPr>
                <w:rFonts w:asciiTheme="majorHAnsi" w:eastAsia="Times New Roman" w:hAnsiTheme="majorHAnsi" w:cstheme="majorHAnsi"/>
                <w:color w:val="000000"/>
                <w:shd w:val="clear" w:color="auto" w:fill="FFFFFF"/>
              </w:rPr>
              <w:t>rugs procurement and management. By s</w:t>
            </w:r>
            <w:r w:rsidRPr="000F3267">
              <w:rPr>
                <w:rFonts w:asciiTheme="majorHAnsi" w:eastAsia="Times New Roman" w:hAnsiTheme="majorHAnsi" w:cstheme="majorHAnsi"/>
                <w:color w:val="000000"/>
                <w:shd w:val="clear" w:color="auto" w:fill="FFFFFF"/>
              </w:rPr>
              <w:t>upplement</w:t>
            </w:r>
            <w:r w:rsidR="00F06FF3" w:rsidRPr="000F3267">
              <w:rPr>
                <w:rFonts w:asciiTheme="majorHAnsi" w:eastAsia="Times New Roman" w:hAnsiTheme="majorHAnsi" w:cstheme="majorHAnsi"/>
                <w:color w:val="000000"/>
                <w:shd w:val="clear" w:color="auto" w:fill="FFFFFF"/>
              </w:rPr>
              <w:t>ing</w:t>
            </w:r>
            <w:r w:rsidRPr="000F3267">
              <w:rPr>
                <w:rFonts w:asciiTheme="majorHAnsi" w:eastAsia="Times New Roman" w:hAnsiTheme="majorHAnsi" w:cstheme="majorHAnsi"/>
                <w:color w:val="000000"/>
                <w:shd w:val="clear" w:color="auto" w:fill="FFFFFF"/>
              </w:rPr>
              <w:t xml:space="preserve"> the CCM efforts </w:t>
            </w:r>
            <w:r w:rsidRPr="000F3267">
              <w:rPr>
                <w:rFonts w:asciiTheme="majorHAnsi" w:hAnsiTheme="majorHAnsi" w:cstheme="majorHAnsi"/>
              </w:rPr>
              <w:t>through enhanced complementarity of TB control and care activities impl</w:t>
            </w:r>
            <w:r w:rsidR="00B047CB" w:rsidRPr="000F3267">
              <w:rPr>
                <w:rFonts w:asciiTheme="majorHAnsi" w:hAnsiTheme="majorHAnsi" w:cstheme="majorHAnsi"/>
              </w:rPr>
              <w:t>emented by regional TB Centers, primary healthcare</w:t>
            </w:r>
            <w:r w:rsidR="00F06FF3" w:rsidRPr="000F3267">
              <w:rPr>
                <w:rFonts w:asciiTheme="majorHAnsi" w:hAnsiTheme="majorHAnsi" w:cstheme="majorHAnsi"/>
              </w:rPr>
              <w:t xml:space="preserve"> network</w:t>
            </w:r>
            <w:r w:rsidRPr="000F3267">
              <w:rPr>
                <w:rFonts w:asciiTheme="majorHAnsi" w:hAnsiTheme="majorHAnsi" w:cstheme="majorHAnsi"/>
              </w:rPr>
              <w:t xml:space="preserve">, NGOs and </w:t>
            </w:r>
            <w:r w:rsidR="00F06FF3" w:rsidRPr="000F3267">
              <w:rPr>
                <w:rFonts w:asciiTheme="majorHAnsi" w:hAnsiTheme="majorHAnsi" w:cstheme="majorHAnsi"/>
              </w:rPr>
              <w:t>affected and high-risk communities, will harmonize the national TB response</w:t>
            </w:r>
            <w:r w:rsidR="00CB5276" w:rsidRPr="000F3267">
              <w:rPr>
                <w:rFonts w:asciiTheme="majorHAnsi" w:hAnsiTheme="majorHAnsi" w:cstheme="majorHAnsi"/>
              </w:rPr>
              <w:t>, including uniformity of TB care</w:t>
            </w:r>
            <w:r w:rsidR="00F06FF3" w:rsidRPr="000F3267">
              <w:rPr>
                <w:rFonts w:asciiTheme="majorHAnsi" w:hAnsiTheme="majorHAnsi" w:cstheme="majorHAnsi"/>
              </w:rPr>
              <w:t xml:space="preserve">. </w:t>
            </w:r>
            <w:r w:rsidR="002D2426" w:rsidRPr="000F3267">
              <w:rPr>
                <w:rFonts w:asciiTheme="majorHAnsi" w:hAnsiTheme="majorHAnsi" w:cstheme="majorHAnsi"/>
              </w:rPr>
              <w:t xml:space="preserve">The </w:t>
            </w:r>
            <w:r w:rsidR="00F06FF3" w:rsidRPr="000F3267">
              <w:rPr>
                <w:rFonts w:asciiTheme="majorHAnsi" w:hAnsiTheme="majorHAnsi" w:cstheme="majorHAnsi"/>
              </w:rPr>
              <w:t>NTP</w:t>
            </w:r>
            <w:r w:rsidR="002D2426" w:rsidRPr="000F3267">
              <w:rPr>
                <w:rFonts w:asciiTheme="majorHAnsi" w:hAnsiTheme="majorHAnsi" w:cstheme="majorHAnsi"/>
              </w:rPr>
              <w:t xml:space="preserve"> will continue </w:t>
            </w:r>
            <w:r w:rsidR="00F06FF3" w:rsidRPr="000F3267">
              <w:rPr>
                <w:rFonts w:asciiTheme="majorHAnsi" w:hAnsiTheme="majorHAnsi" w:cstheme="majorHAnsi"/>
              </w:rPr>
              <w:t>focusing</w:t>
            </w:r>
            <w:r w:rsidR="00CB5276" w:rsidRPr="000F3267">
              <w:rPr>
                <w:rFonts w:asciiTheme="majorHAnsi" w:hAnsiTheme="majorHAnsi" w:cstheme="majorHAnsi"/>
              </w:rPr>
              <w:t xml:space="preserve"> on</w:t>
            </w:r>
            <w:r w:rsidR="002D2426" w:rsidRPr="000F3267">
              <w:rPr>
                <w:rFonts w:asciiTheme="majorHAnsi" w:hAnsiTheme="majorHAnsi" w:cstheme="majorHAnsi"/>
              </w:rPr>
              <w:t xml:space="preserve"> </w:t>
            </w:r>
            <w:r w:rsidR="00E1651E" w:rsidRPr="000F3267">
              <w:rPr>
                <w:rFonts w:asciiTheme="majorHAnsi" w:hAnsiTheme="majorHAnsi" w:cstheme="majorHAnsi"/>
              </w:rPr>
              <w:t xml:space="preserve">awareness and </w:t>
            </w:r>
            <w:r w:rsidR="002D2426" w:rsidRPr="000F3267">
              <w:rPr>
                <w:rFonts w:asciiTheme="majorHAnsi" w:hAnsiTheme="majorHAnsi" w:cstheme="majorHAnsi"/>
              </w:rPr>
              <w:t>knowledge creation</w:t>
            </w:r>
            <w:r w:rsidR="00E1651E" w:rsidRPr="000F3267">
              <w:rPr>
                <w:rFonts w:asciiTheme="majorHAnsi" w:hAnsiTheme="majorHAnsi" w:cstheme="majorHAnsi"/>
              </w:rPr>
              <w:t xml:space="preserve"> </w:t>
            </w:r>
            <w:r w:rsidR="002D2426" w:rsidRPr="000F3267">
              <w:rPr>
                <w:rFonts w:asciiTheme="majorHAnsi" w:hAnsiTheme="majorHAnsi" w:cstheme="majorHAnsi"/>
              </w:rPr>
              <w:t xml:space="preserve">and policy advice </w:t>
            </w:r>
            <w:r w:rsidR="00F06FF3" w:rsidRPr="000F3267">
              <w:rPr>
                <w:rFonts w:asciiTheme="majorHAnsi" w:hAnsiTheme="majorHAnsi" w:cstheme="majorHAnsi"/>
              </w:rPr>
              <w:t>actions</w:t>
            </w:r>
            <w:r w:rsidR="002D2426" w:rsidRPr="000F3267">
              <w:rPr>
                <w:rFonts w:asciiTheme="majorHAnsi" w:hAnsiTheme="majorHAnsi" w:cstheme="majorHAnsi"/>
              </w:rPr>
              <w:t xml:space="preserve"> on its areas of comparative advantage</w:t>
            </w:r>
            <w:r w:rsidR="00F06FF3" w:rsidRPr="000F3267">
              <w:rPr>
                <w:rFonts w:asciiTheme="majorHAnsi" w:hAnsiTheme="majorHAnsi" w:cstheme="majorHAnsi"/>
              </w:rPr>
              <w:t xml:space="preserve"> </w:t>
            </w:r>
            <w:r w:rsidR="00E1651E" w:rsidRPr="000F3267">
              <w:rPr>
                <w:rFonts w:asciiTheme="majorHAnsi" w:hAnsiTheme="majorHAnsi" w:cstheme="majorHAnsi"/>
              </w:rPr>
              <w:t xml:space="preserve">and </w:t>
            </w:r>
            <w:r w:rsidR="00CB5276" w:rsidRPr="000F3267">
              <w:rPr>
                <w:rFonts w:asciiTheme="majorHAnsi" w:hAnsiTheme="majorHAnsi" w:cstheme="majorHAnsi"/>
              </w:rPr>
              <w:t>will seek stakeholders and partners</w:t>
            </w:r>
            <w:r w:rsidR="002D2426" w:rsidRPr="000F3267">
              <w:rPr>
                <w:rFonts w:asciiTheme="majorHAnsi" w:hAnsiTheme="majorHAnsi" w:cstheme="majorHAnsi"/>
              </w:rPr>
              <w:t xml:space="preserve">’ </w:t>
            </w:r>
            <w:r w:rsidR="00E1651E" w:rsidRPr="000F3267">
              <w:rPr>
                <w:rFonts w:asciiTheme="majorHAnsi" w:hAnsiTheme="majorHAnsi" w:cstheme="majorHAnsi"/>
              </w:rPr>
              <w:t>support through enhanced partnership on</w:t>
            </w:r>
            <w:r w:rsidR="002D2426" w:rsidRPr="000F3267">
              <w:rPr>
                <w:rFonts w:asciiTheme="majorHAnsi" w:hAnsiTheme="majorHAnsi" w:cstheme="majorHAnsi"/>
              </w:rPr>
              <w:t xml:space="preserve"> areas in which it has limited comparative benefit. </w:t>
            </w:r>
            <w:r w:rsidR="00E1651E" w:rsidRPr="000F3267">
              <w:rPr>
                <w:rFonts w:asciiTheme="majorHAnsi" w:hAnsiTheme="majorHAnsi" w:cstheme="majorHAnsi"/>
              </w:rPr>
              <w:t>In this context, a</w:t>
            </w:r>
            <w:r w:rsidR="002D2426" w:rsidRPr="000F3267">
              <w:rPr>
                <w:rFonts w:asciiTheme="majorHAnsi" w:hAnsiTheme="majorHAnsi" w:cstheme="majorHAnsi"/>
              </w:rPr>
              <w:t xml:space="preserve">n enabling environment will be </w:t>
            </w:r>
            <w:r w:rsidR="00CB5276" w:rsidRPr="000F3267">
              <w:rPr>
                <w:rFonts w:asciiTheme="majorHAnsi" w:hAnsiTheme="majorHAnsi" w:cstheme="majorHAnsi"/>
              </w:rPr>
              <w:t>maintained</w:t>
            </w:r>
            <w:r w:rsidR="002D2426" w:rsidRPr="000F3267">
              <w:rPr>
                <w:rFonts w:asciiTheme="majorHAnsi" w:hAnsiTheme="majorHAnsi" w:cstheme="majorHAnsi"/>
              </w:rPr>
              <w:t xml:space="preserve"> </w:t>
            </w:r>
            <w:r w:rsidR="00CB5276" w:rsidRPr="000F3267">
              <w:rPr>
                <w:rFonts w:asciiTheme="majorHAnsi" w:hAnsiTheme="majorHAnsi" w:cstheme="majorHAnsi"/>
              </w:rPr>
              <w:t xml:space="preserve">and further strengthened </w:t>
            </w:r>
            <w:r w:rsidR="002D2426" w:rsidRPr="000F3267">
              <w:rPr>
                <w:rFonts w:asciiTheme="majorHAnsi" w:hAnsiTheme="majorHAnsi" w:cstheme="majorHAnsi"/>
              </w:rPr>
              <w:t xml:space="preserve">through regular interaction with </w:t>
            </w:r>
            <w:r w:rsidR="00CB5276" w:rsidRPr="000F3267">
              <w:rPr>
                <w:rFonts w:asciiTheme="majorHAnsi" w:hAnsiTheme="majorHAnsi" w:cstheme="majorHAnsi"/>
              </w:rPr>
              <w:t>all actors</w:t>
            </w:r>
            <w:r w:rsidR="00D24B11" w:rsidRPr="000F3267">
              <w:rPr>
                <w:rFonts w:asciiTheme="majorHAnsi" w:hAnsiTheme="majorHAnsi" w:cstheme="majorHAnsi"/>
              </w:rPr>
              <w:t>, including private and business communities and and public sector,</w:t>
            </w:r>
            <w:r w:rsidR="002D2426" w:rsidRPr="000F3267">
              <w:rPr>
                <w:rFonts w:asciiTheme="majorHAnsi" w:hAnsiTheme="majorHAnsi" w:cstheme="majorHAnsi"/>
              </w:rPr>
              <w:t xml:space="preserve"> </w:t>
            </w:r>
            <w:r w:rsidR="00E34782" w:rsidRPr="000F3267">
              <w:rPr>
                <w:rFonts w:asciiTheme="majorHAnsi" w:hAnsiTheme="majorHAnsi" w:cstheme="majorHAnsi"/>
              </w:rPr>
              <w:t>promoting</w:t>
            </w:r>
            <w:r w:rsidR="002D2426" w:rsidRPr="000F3267">
              <w:rPr>
                <w:rFonts w:asciiTheme="majorHAnsi" w:hAnsiTheme="majorHAnsi" w:cstheme="majorHAnsi"/>
              </w:rPr>
              <w:t xml:space="preserve"> TB contro</w:t>
            </w:r>
            <w:r w:rsidR="00E1651E" w:rsidRPr="000F3267">
              <w:rPr>
                <w:rFonts w:asciiTheme="majorHAnsi" w:hAnsiTheme="majorHAnsi" w:cstheme="majorHAnsi"/>
              </w:rPr>
              <w:t>l initiatives at district, regional</w:t>
            </w:r>
            <w:r w:rsidR="002D2426" w:rsidRPr="000F3267">
              <w:rPr>
                <w:rFonts w:asciiTheme="majorHAnsi" w:hAnsiTheme="majorHAnsi" w:cstheme="majorHAnsi"/>
              </w:rPr>
              <w:t xml:space="preserve"> and national level</w:t>
            </w:r>
            <w:r w:rsidR="00E1651E" w:rsidRPr="000F3267">
              <w:rPr>
                <w:rFonts w:asciiTheme="majorHAnsi" w:hAnsiTheme="majorHAnsi" w:cstheme="majorHAnsi"/>
              </w:rPr>
              <w:t>s</w:t>
            </w:r>
            <w:r w:rsidR="002D2426" w:rsidRPr="000F3267">
              <w:rPr>
                <w:rFonts w:asciiTheme="majorHAnsi" w:hAnsiTheme="majorHAnsi" w:cstheme="majorHAnsi"/>
              </w:rPr>
              <w:t xml:space="preserve">. </w:t>
            </w:r>
          </w:p>
          <w:p w14:paraId="416982E2" w14:textId="77777777" w:rsidR="00D87CCD" w:rsidRPr="00974FD7" w:rsidRDefault="00D87CCD" w:rsidP="00F47032">
            <w:pPr>
              <w:shd w:val="clear" w:color="auto" w:fill="FFFFFF" w:themeFill="background1"/>
              <w:spacing w:after="0" w:line="240" w:lineRule="auto"/>
              <w:jc w:val="both"/>
              <w:rPr>
                <w:rFonts w:asciiTheme="majorHAnsi" w:hAnsiTheme="majorHAnsi" w:cstheme="majorHAnsi"/>
              </w:rPr>
            </w:pPr>
          </w:p>
          <w:p w14:paraId="286059AB" w14:textId="6D8C12C7" w:rsidR="006425D9" w:rsidRPr="000F3267" w:rsidRDefault="00950D4F" w:rsidP="00F47032">
            <w:pPr>
              <w:spacing w:after="0" w:line="240" w:lineRule="auto"/>
              <w:jc w:val="both"/>
              <w:rPr>
                <w:rFonts w:asciiTheme="majorHAnsi" w:hAnsiTheme="majorHAnsi" w:cstheme="majorHAnsi"/>
              </w:rPr>
            </w:pPr>
            <w:r w:rsidRPr="000F3267">
              <w:rPr>
                <w:rFonts w:asciiTheme="majorHAnsi" w:hAnsiTheme="majorHAnsi" w:cstheme="majorHAnsi"/>
              </w:rPr>
              <w:t xml:space="preserve">To reach out to populations with multiple risks and vulnerabilities, NTP will also be linked to other national programs, including HIV response, NGOs working with the UN agencies on migration and </w:t>
            </w:r>
            <w:proofErr w:type="gramStart"/>
            <w:r w:rsidRPr="000F3267">
              <w:rPr>
                <w:rFonts w:asciiTheme="majorHAnsi" w:hAnsiTheme="majorHAnsi" w:cstheme="majorHAnsi"/>
              </w:rPr>
              <w:t>refugees</w:t>
            </w:r>
            <w:proofErr w:type="gramEnd"/>
            <w:r w:rsidRPr="000F3267">
              <w:rPr>
                <w:rFonts w:asciiTheme="majorHAnsi" w:hAnsiTheme="majorHAnsi" w:cstheme="majorHAnsi"/>
              </w:rPr>
              <w:t xml:space="preserve"> issues, and local governments implementing community-based integrated programs. In addressing human rights, stigma, gender, and other equity issues, special efforts will be directed by engaging concerned departments and agencies in planned activities.</w:t>
            </w:r>
          </w:p>
        </w:tc>
      </w:tr>
      <w:tr w:rsidR="00007BFF" w:rsidRPr="00BF4BEE" w14:paraId="2A1A6487" w14:textId="77777777" w:rsidTr="00F47032">
        <w:trPr>
          <w:trHeight w:val="431"/>
        </w:trPr>
        <w:tc>
          <w:tcPr>
            <w:tcW w:w="2448" w:type="dxa"/>
            <w:shd w:val="clear" w:color="auto" w:fill="F2F2F2"/>
            <w:vAlign w:val="center"/>
          </w:tcPr>
          <w:p w14:paraId="67B964DA" w14:textId="769F4D17" w:rsidR="00007BFF" w:rsidRPr="00BF4BEE" w:rsidRDefault="00007BFF" w:rsidP="00F47032">
            <w:pPr>
              <w:spacing w:after="0"/>
            </w:pPr>
            <w:r w:rsidRPr="00BF4BEE">
              <w:t>Expected Outcome</w:t>
            </w:r>
          </w:p>
        </w:tc>
        <w:tc>
          <w:tcPr>
            <w:tcW w:w="7902" w:type="dxa"/>
          </w:tcPr>
          <w:p w14:paraId="18888EA3" w14:textId="754ADC24" w:rsidR="003006C5" w:rsidRPr="000F3267" w:rsidRDefault="003006C5" w:rsidP="006A0E08">
            <w:pPr>
              <w:pStyle w:val="affff3"/>
              <w:numPr>
                <w:ilvl w:val="0"/>
                <w:numId w:val="30"/>
              </w:numPr>
              <w:spacing w:after="0" w:line="240" w:lineRule="auto"/>
              <w:jc w:val="both"/>
              <w:rPr>
                <w:rFonts w:asciiTheme="majorHAnsi" w:hAnsiTheme="majorHAnsi" w:cstheme="majorHAnsi"/>
              </w:rPr>
            </w:pPr>
            <w:r w:rsidRPr="000F3267">
              <w:rPr>
                <w:rFonts w:asciiTheme="majorHAnsi" w:eastAsia="Times New Roman" w:hAnsiTheme="majorHAnsi" w:cstheme="majorHAnsi"/>
                <w:color w:val="0E101A"/>
              </w:rPr>
              <w:t>Providing access to GeneXpert XDR will significantly minimize the barriers to accessing rapid and reliable diagnosis and help </w:t>
            </w:r>
            <w:r w:rsidRPr="000F3267">
              <w:rPr>
                <w:rFonts w:asciiTheme="majorHAnsi" w:eastAsia="Times New Roman" w:hAnsiTheme="majorHAnsi" w:cstheme="majorHAnsi"/>
                <w:iCs/>
                <w:color w:val="0E101A"/>
              </w:rPr>
              <w:t>phthisiatricians</w:t>
            </w:r>
            <w:r w:rsidRPr="000F3267">
              <w:rPr>
                <w:rFonts w:asciiTheme="majorHAnsi" w:eastAsia="Times New Roman" w:hAnsiTheme="majorHAnsi" w:cstheme="majorHAnsi"/>
                <w:color w:val="0E101A"/>
              </w:rPr>
              <w:t> quickly select the most appropriate individualized treatment or adjust the regimens for pre- and XDR-TB patients. </w:t>
            </w:r>
          </w:p>
          <w:p w14:paraId="02476EE1" w14:textId="5CE5501D" w:rsidR="00453F51" w:rsidRPr="000F3267" w:rsidRDefault="00A45702" w:rsidP="006A0E08">
            <w:pPr>
              <w:pStyle w:val="affff3"/>
              <w:numPr>
                <w:ilvl w:val="0"/>
                <w:numId w:val="30"/>
              </w:numPr>
              <w:spacing w:after="0" w:line="240" w:lineRule="auto"/>
              <w:jc w:val="both"/>
              <w:rPr>
                <w:rFonts w:asciiTheme="majorHAnsi" w:hAnsiTheme="majorHAnsi" w:cstheme="majorHAnsi"/>
              </w:rPr>
            </w:pPr>
            <w:r w:rsidRPr="000F3267">
              <w:rPr>
                <w:rFonts w:asciiTheme="majorHAnsi" w:hAnsiTheme="majorHAnsi" w:cstheme="majorHAnsi"/>
              </w:rPr>
              <w:t>Ensuring universal coverage by</w:t>
            </w:r>
            <w:r w:rsidR="00EE6358" w:rsidRPr="000F3267">
              <w:rPr>
                <w:rFonts w:asciiTheme="majorHAnsi" w:hAnsiTheme="majorHAnsi" w:cstheme="majorHAnsi"/>
              </w:rPr>
              <w:t xml:space="preserve"> quality DST will allow </w:t>
            </w:r>
            <w:r w:rsidRPr="000F3267">
              <w:rPr>
                <w:rFonts w:asciiTheme="majorHAnsi" w:hAnsiTheme="majorHAnsi" w:cstheme="majorHAnsi"/>
              </w:rPr>
              <w:t>promt</w:t>
            </w:r>
            <w:r w:rsidR="00EE6358" w:rsidRPr="000F3267">
              <w:rPr>
                <w:rFonts w:asciiTheme="majorHAnsi" w:hAnsiTheme="majorHAnsi" w:cstheme="majorHAnsi"/>
              </w:rPr>
              <w:t xml:space="preserve"> and appropriate</w:t>
            </w:r>
            <w:r w:rsidR="00453F51" w:rsidRPr="000F3267">
              <w:rPr>
                <w:rFonts w:asciiTheme="majorHAnsi" w:hAnsiTheme="majorHAnsi" w:cstheme="majorHAnsi"/>
              </w:rPr>
              <w:t xml:space="preserve"> </w:t>
            </w:r>
            <w:r w:rsidR="00EE6358" w:rsidRPr="000F3267">
              <w:rPr>
                <w:rFonts w:asciiTheme="majorHAnsi" w:hAnsiTheme="majorHAnsi" w:cstheme="majorHAnsi"/>
              </w:rPr>
              <w:t xml:space="preserve">treatment </w:t>
            </w:r>
            <w:r w:rsidRPr="000F3267">
              <w:rPr>
                <w:rFonts w:asciiTheme="majorHAnsi" w:hAnsiTheme="majorHAnsi" w:cstheme="majorHAnsi"/>
              </w:rPr>
              <w:t>initiation</w:t>
            </w:r>
            <w:r w:rsidR="00453F51" w:rsidRPr="000F3267">
              <w:rPr>
                <w:rFonts w:asciiTheme="majorHAnsi" w:hAnsiTheme="majorHAnsi" w:cstheme="majorHAnsi"/>
              </w:rPr>
              <w:t xml:space="preserve"> based on the </w:t>
            </w:r>
            <w:r w:rsidR="00A84699" w:rsidRPr="000F3267">
              <w:rPr>
                <w:rFonts w:asciiTheme="majorHAnsi" w:hAnsiTheme="majorHAnsi" w:cstheme="majorHAnsi"/>
              </w:rPr>
              <w:t xml:space="preserve">drug </w:t>
            </w:r>
            <w:r w:rsidR="00453F51" w:rsidRPr="000F3267">
              <w:rPr>
                <w:rFonts w:asciiTheme="majorHAnsi" w:hAnsiTheme="majorHAnsi" w:cstheme="majorHAnsi"/>
              </w:rPr>
              <w:t xml:space="preserve">resistance profile, including effective implementation of modified shorter treatment regimens for DR-TB based on DST </w:t>
            </w:r>
            <w:r w:rsidR="00B0385F" w:rsidRPr="000F3267">
              <w:rPr>
                <w:rFonts w:asciiTheme="majorHAnsi" w:hAnsiTheme="majorHAnsi" w:cstheme="majorHAnsi"/>
              </w:rPr>
              <w:t>for</w:t>
            </w:r>
            <w:r w:rsidR="00EE6358" w:rsidRPr="000F3267">
              <w:rPr>
                <w:rFonts w:asciiTheme="majorHAnsi" w:hAnsiTheme="majorHAnsi" w:cstheme="majorHAnsi"/>
              </w:rPr>
              <w:t xml:space="preserve"> </w:t>
            </w:r>
            <w:r w:rsidR="00B0385F" w:rsidRPr="000F3267">
              <w:rPr>
                <w:rFonts w:asciiTheme="majorHAnsi" w:hAnsiTheme="majorHAnsi" w:cstheme="majorHAnsi"/>
              </w:rPr>
              <w:t xml:space="preserve">new and repurposed drugs resistance. </w:t>
            </w:r>
          </w:p>
          <w:p w14:paraId="2D2C678D" w14:textId="77777777" w:rsidR="003F0790" w:rsidRPr="000F3267" w:rsidRDefault="00453F51" w:rsidP="006A0E08">
            <w:pPr>
              <w:pStyle w:val="affff3"/>
              <w:numPr>
                <w:ilvl w:val="0"/>
                <w:numId w:val="30"/>
              </w:numPr>
              <w:spacing w:after="0" w:line="240" w:lineRule="auto"/>
              <w:jc w:val="both"/>
              <w:rPr>
                <w:rFonts w:asciiTheme="majorHAnsi" w:eastAsia="Times New Roman" w:hAnsiTheme="majorHAnsi" w:cstheme="majorHAnsi"/>
              </w:rPr>
            </w:pPr>
            <w:r w:rsidRPr="000F3267">
              <w:rPr>
                <w:rFonts w:asciiTheme="majorHAnsi" w:hAnsiTheme="majorHAnsi" w:cstheme="majorHAnsi"/>
              </w:rPr>
              <w:t xml:space="preserve">Expanding the </w:t>
            </w:r>
            <w:r w:rsidR="00B0385F" w:rsidRPr="000F3267">
              <w:rPr>
                <w:rFonts w:asciiTheme="majorHAnsi" w:hAnsiTheme="majorHAnsi" w:cstheme="majorHAnsi"/>
              </w:rPr>
              <w:t xml:space="preserve">access to </w:t>
            </w:r>
            <w:r w:rsidRPr="000F3267">
              <w:rPr>
                <w:rFonts w:asciiTheme="majorHAnsi" w:hAnsiTheme="majorHAnsi" w:cstheme="majorHAnsi"/>
              </w:rPr>
              <w:t>new anti-TB drugs and t</w:t>
            </w:r>
            <w:r w:rsidR="00B0385F" w:rsidRPr="000F3267">
              <w:rPr>
                <w:rFonts w:asciiTheme="majorHAnsi" w:hAnsiTheme="majorHAnsi" w:cstheme="majorHAnsi"/>
              </w:rPr>
              <w:t xml:space="preserve">reatment </w:t>
            </w:r>
            <w:r w:rsidR="003F0790" w:rsidRPr="000F3267">
              <w:rPr>
                <w:rFonts w:asciiTheme="majorHAnsi" w:hAnsiTheme="majorHAnsi" w:cstheme="majorHAnsi"/>
              </w:rPr>
              <w:t xml:space="preserve">regimens </w:t>
            </w:r>
            <w:r w:rsidR="00E83141" w:rsidRPr="000F3267">
              <w:rPr>
                <w:rFonts w:asciiTheme="majorHAnsi" w:hAnsiTheme="majorHAnsi" w:cstheme="majorHAnsi"/>
              </w:rPr>
              <w:t xml:space="preserve">can help patients </w:t>
            </w:r>
            <w:r w:rsidR="003F0790" w:rsidRPr="000F3267">
              <w:rPr>
                <w:rFonts w:asciiTheme="majorHAnsi" w:hAnsiTheme="majorHAnsi" w:cstheme="majorHAnsi"/>
              </w:rPr>
              <w:t xml:space="preserve">with extensively drug-resistant TB and make treatment shorter and less toxic. </w:t>
            </w:r>
          </w:p>
          <w:p w14:paraId="7CB053C5" w14:textId="77777777" w:rsidR="00052467" w:rsidRPr="000F3267" w:rsidRDefault="003F0790" w:rsidP="006A0E08">
            <w:pPr>
              <w:pStyle w:val="affff3"/>
              <w:numPr>
                <w:ilvl w:val="0"/>
                <w:numId w:val="30"/>
              </w:numPr>
              <w:spacing w:after="0" w:line="240" w:lineRule="auto"/>
              <w:jc w:val="both"/>
              <w:rPr>
                <w:rFonts w:asciiTheme="majorHAnsi" w:eastAsia="Times New Roman" w:hAnsiTheme="majorHAnsi" w:cstheme="majorHAnsi"/>
              </w:rPr>
            </w:pPr>
            <w:r w:rsidRPr="000F3267">
              <w:rPr>
                <w:rFonts w:asciiTheme="majorHAnsi" w:hAnsiTheme="majorHAnsi" w:cstheme="majorHAnsi"/>
              </w:rPr>
              <w:t xml:space="preserve">From the estimated number of </w:t>
            </w:r>
            <w:r w:rsidRPr="000F3267">
              <w:rPr>
                <w:rFonts w:asciiTheme="majorHAnsi" w:eastAsia="Times New Roman" w:hAnsiTheme="majorHAnsi" w:cstheme="majorHAnsi"/>
                <w:bCs/>
                <w:color w:val="202124"/>
              </w:rPr>
              <w:t xml:space="preserve">patients who present with symptoms suggestive of TB, </w:t>
            </w:r>
            <w:r w:rsidRPr="000F3267">
              <w:rPr>
                <w:rFonts w:asciiTheme="majorHAnsi" w:hAnsiTheme="majorHAnsi" w:cstheme="majorHAnsi"/>
              </w:rPr>
              <w:t xml:space="preserve">95% </w:t>
            </w:r>
            <w:r w:rsidRPr="000F3267">
              <w:rPr>
                <w:rFonts w:asciiTheme="majorHAnsi" w:eastAsia="Times New Roman" w:hAnsiTheme="majorHAnsi" w:cstheme="majorHAnsi"/>
                <w:bCs/>
                <w:color w:val="202124"/>
              </w:rPr>
              <w:t xml:space="preserve">will be covered </w:t>
            </w:r>
            <w:r w:rsidRPr="000F3267">
              <w:rPr>
                <w:rFonts w:asciiTheme="majorHAnsi" w:hAnsiTheme="majorHAnsi" w:cstheme="majorHAnsi"/>
              </w:rPr>
              <w:t>with GeneXpert testing</w:t>
            </w:r>
            <w:r w:rsidR="00453F51" w:rsidRPr="000F3267">
              <w:rPr>
                <w:rFonts w:asciiTheme="majorHAnsi" w:hAnsiTheme="majorHAnsi" w:cstheme="majorHAnsi"/>
              </w:rPr>
              <w:t>.</w:t>
            </w:r>
          </w:p>
          <w:p w14:paraId="5A16A43C" w14:textId="74BE17EB" w:rsidR="00052467" w:rsidRPr="000F3267" w:rsidRDefault="00453F51" w:rsidP="006A0E08">
            <w:pPr>
              <w:pStyle w:val="affff3"/>
              <w:numPr>
                <w:ilvl w:val="0"/>
                <w:numId w:val="30"/>
              </w:numPr>
              <w:spacing w:after="0" w:line="240" w:lineRule="auto"/>
              <w:ind w:left="357" w:hanging="357"/>
              <w:jc w:val="both"/>
              <w:rPr>
                <w:rFonts w:asciiTheme="majorHAnsi" w:eastAsia="Times New Roman" w:hAnsiTheme="majorHAnsi" w:cstheme="majorHAnsi"/>
              </w:rPr>
            </w:pPr>
            <w:r w:rsidRPr="000F3267">
              <w:rPr>
                <w:rFonts w:asciiTheme="majorHAnsi" w:hAnsiTheme="majorHAnsi" w:cstheme="majorHAnsi"/>
              </w:rPr>
              <w:t>More than 95% of t</w:t>
            </w:r>
            <w:r w:rsidR="003F0790" w:rsidRPr="000F3267">
              <w:rPr>
                <w:rFonts w:asciiTheme="majorHAnsi" w:hAnsiTheme="majorHAnsi" w:cstheme="majorHAnsi"/>
              </w:rPr>
              <w:t xml:space="preserve">he bacteriological confirmed </w:t>
            </w:r>
            <w:r w:rsidR="00177C89">
              <w:rPr>
                <w:rFonts w:asciiTheme="majorHAnsi" w:hAnsiTheme="majorHAnsi" w:cstheme="majorHAnsi"/>
              </w:rPr>
              <w:t>RR/</w:t>
            </w:r>
            <w:r w:rsidRPr="000F3267">
              <w:rPr>
                <w:rFonts w:asciiTheme="majorHAnsi" w:hAnsiTheme="majorHAnsi" w:cstheme="majorHAnsi"/>
              </w:rPr>
              <w:t xml:space="preserve">MDR-TB </w:t>
            </w:r>
            <w:r w:rsidR="00052467" w:rsidRPr="000F3267">
              <w:rPr>
                <w:rFonts w:asciiTheme="majorHAnsi" w:hAnsiTheme="majorHAnsi" w:cstheme="majorHAnsi"/>
              </w:rPr>
              <w:t xml:space="preserve">patients will undergo </w:t>
            </w:r>
            <w:r w:rsidR="00052467" w:rsidRPr="000F3267">
              <w:rPr>
                <w:rFonts w:asciiTheme="majorHAnsi" w:eastAsia="Times New Roman" w:hAnsiTheme="majorHAnsi" w:cstheme="majorHAnsi"/>
                <w:color w:val="333333"/>
                <w:shd w:val="clear" w:color="auto" w:fill="FFFFFF"/>
              </w:rPr>
              <w:t>phenotypic and genotypic diagnostic investigations on resistance</w:t>
            </w:r>
            <w:r w:rsidR="003E208C" w:rsidRPr="000F3267">
              <w:rPr>
                <w:rFonts w:asciiTheme="majorHAnsi" w:eastAsia="Times New Roman" w:hAnsiTheme="majorHAnsi" w:cstheme="majorHAnsi"/>
                <w:color w:val="333333"/>
                <w:shd w:val="clear" w:color="auto" w:fill="FFFFFF"/>
              </w:rPr>
              <w:t xml:space="preserve"> </w:t>
            </w:r>
            <w:r w:rsidR="00052467" w:rsidRPr="000F3267">
              <w:rPr>
                <w:rFonts w:asciiTheme="majorHAnsi" w:eastAsia="Times New Roman" w:hAnsiTheme="majorHAnsi" w:cstheme="majorHAnsi"/>
                <w:color w:val="333333"/>
                <w:shd w:val="clear" w:color="auto" w:fill="FFFFFF"/>
              </w:rPr>
              <w:t>to fluoroquinolones</w:t>
            </w:r>
            <w:r w:rsidR="003E208C" w:rsidRPr="000F3267">
              <w:rPr>
                <w:rFonts w:asciiTheme="majorHAnsi" w:eastAsia="Times New Roman" w:hAnsiTheme="majorHAnsi" w:cstheme="majorHAnsi"/>
                <w:color w:val="333333"/>
                <w:shd w:val="clear" w:color="auto" w:fill="FFFFFF"/>
              </w:rPr>
              <w:t>.</w:t>
            </w:r>
          </w:p>
          <w:p w14:paraId="6CA57603" w14:textId="2085065A" w:rsidR="00453F51" w:rsidRPr="000F3267" w:rsidRDefault="00052467" w:rsidP="006A0E08">
            <w:pPr>
              <w:pStyle w:val="affff3"/>
              <w:numPr>
                <w:ilvl w:val="0"/>
                <w:numId w:val="30"/>
              </w:numPr>
              <w:spacing w:after="0" w:line="240" w:lineRule="auto"/>
              <w:jc w:val="both"/>
              <w:rPr>
                <w:rFonts w:asciiTheme="majorHAnsi" w:hAnsiTheme="majorHAnsi" w:cstheme="majorHAnsi"/>
              </w:rPr>
            </w:pPr>
            <w:r w:rsidRPr="000F3267">
              <w:rPr>
                <w:rFonts w:asciiTheme="majorHAnsi" w:hAnsiTheme="majorHAnsi" w:cstheme="majorHAnsi"/>
              </w:rPr>
              <w:t>The coverage by mSTR</w:t>
            </w:r>
            <w:r w:rsidR="0089575B" w:rsidRPr="000F3267">
              <w:rPr>
                <w:rFonts w:asciiTheme="majorHAnsi" w:hAnsiTheme="majorHAnsi" w:cstheme="majorHAnsi"/>
              </w:rPr>
              <w:t xml:space="preserve"> will be</w:t>
            </w:r>
            <w:r w:rsidRPr="000F3267">
              <w:rPr>
                <w:rFonts w:asciiTheme="majorHAnsi" w:hAnsiTheme="majorHAnsi" w:cstheme="majorHAnsi"/>
              </w:rPr>
              <w:t xml:space="preserve"> expanded, and </w:t>
            </w:r>
            <w:r w:rsidR="004463A9" w:rsidRPr="000F3267">
              <w:rPr>
                <w:rFonts w:asciiTheme="majorHAnsi" w:hAnsiTheme="majorHAnsi" w:cstheme="majorHAnsi"/>
              </w:rPr>
              <w:t xml:space="preserve">1,800 RR/MDR-TB </w:t>
            </w:r>
            <w:proofErr w:type="gramStart"/>
            <w:r w:rsidR="0089575B" w:rsidRPr="000F3267">
              <w:rPr>
                <w:rFonts w:asciiTheme="majorHAnsi" w:hAnsiTheme="majorHAnsi" w:cstheme="majorHAnsi"/>
              </w:rPr>
              <w:t>patients</w:t>
            </w:r>
            <w:proofErr w:type="gramEnd"/>
            <w:r w:rsidR="0089575B" w:rsidRPr="000F3267">
              <w:rPr>
                <w:rFonts w:asciiTheme="majorHAnsi" w:hAnsiTheme="majorHAnsi" w:cstheme="majorHAnsi"/>
              </w:rPr>
              <w:t xml:space="preserve"> treatment will receive</w:t>
            </w:r>
            <w:r w:rsidRPr="000F3267">
              <w:rPr>
                <w:rFonts w:asciiTheme="majorHAnsi" w:hAnsiTheme="majorHAnsi" w:cstheme="majorHAnsi"/>
              </w:rPr>
              <w:t xml:space="preserve"> with fully oral </w:t>
            </w:r>
            <w:r w:rsidRPr="000F3267">
              <w:rPr>
                <w:rFonts w:asciiTheme="majorHAnsi" w:eastAsia="Times New Roman" w:hAnsiTheme="majorHAnsi" w:cstheme="majorHAnsi"/>
                <w:shd w:val="clear" w:color="auto" w:fill="FFFFFF"/>
              </w:rPr>
              <w:t xml:space="preserve">modified shorter regimens, following the </w:t>
            </w:r>
            <w:r w:rsidR="00453F51" w:rsidRPr="000F3267">
              <w:rPr>
                <w:rFonts w:asciiTheme="majorHAnsi" w:hAnsiTheme="majorHAnsi" w:cstheme="majorHAnsi"/>
              </w:rPr>
              <w:t>WHO EURO OR</w:t>
            </w:r>
            <w:r w:rsidR="00BF333D" w:rsidRPr="000F3267">
              <w:rPr>
                <w:rFonts w:asciiTheme="majorHAnsi" w:hAnsiTheme="majorHAnsi" w:cstheme="majorHAnsi"/>
              </w:rPr>
              <w:t>’</w:t>
            </w:r>
            <w:r w:rsidR="00453F51" w:rsidRPr="000F3267">
              <w:rPr>
                <w:rFonts w:asciiTheme="majorHAnsi" w:hAnsiTheme="majorHAnsi" w:cstheme="majorHAnsi"/>
              </w:rPr>
              <w:t xml:space="preserve"> protocol</w:t>
            </w:r>
            <w:r w:rsidR="004463A9" w:rsidRPr="000F3267">
              <w:rPr>
                <w:rFonts w:asciiTheme="majorHAnsi" w:hAnsiTheme="majorHAnsi" w:cstheme="majorHAnsi"/>
              </w:rPr>
              <w:t>.</w:t>
            </w:r>
          </w:p>
          <w:p w14:paraId="22AD52A5" w14:textId="0FF58B73" w:rsidR="00453F51" w:rsidRPr="000F3267" w:rsidRDefault="00052467" w:rsidP="006A0E08">
            <w:pPr>
              <w:pStyle w:val="affff3"/>
              <w:numPr>
                <w:ilvl w:val="0"/>
                <w:numId w:val="30"/>
              </w:numPr>
              <w:spacing w:after="0" w:line="240" w:lineRule="auto"/>
              <w:jc w:val="both"/>
              <w:rPr>
                <w:rFonts w:asciiTheme="majorHAnsi" w:hAnsiTheme="majorHAnsi" w:cstheme="majorHAnsi"/>
              </w:rPr>
            </w:pPr>
            <w:r w:rsidRPr="000F3267">
              <w:rPr>
                <w:rFonts w:asciiTheme="majorHAnsi" w:hAnsiTheme="majorHAnsi" w:cstheme="majorHAnsi"/>
              </w:rPr>
              <w:t xml:space="preserve">Seventy </w:t>
            </w:r>
            <w:r w:rsidR="00453F51" w:rsidRPr="000F3267">
              <w:rPr>
                <w:rFonts w:asciiTheme="majorHAnsi" w:hAnsiTheme="majorHAnsi" w:cstheme="majorHAnsi"/>
              </w:rPr>
              <w:t xml:space="preserve">pre- and XDR-TB patients </w:t>
            </w:r>
            <w:r w:rsidR="00722FAA" w:rsidRPr="000F3267">
              <w:rPr>
                <w:rFonts w:asciiTheme="majorHAnsi" w:hAnsiTheme="majorHAnsi" w:cstheme="majorHAnsi"/>
              </w:rPr>
              <w:t xml:space="preserve">have </w:t>
            </w:r>
            <w:r w:rsidR="00453F51" w:rsidRPr="000F3267">
              <w:rPr>
                <w:rFonts w:asciiTheme="majorHAnsi" w:hAnsiTheme="majorHAnsi" w:cstheme="majorHAnsi"/>
              </w:rPr>
              <w:t>receive</w:t>
            </w:r>
            <w:r w:rsidR="00722FAA" w:rsidRPr="000F3267">
              <w:rPr>
                <w:rFonts w:asciiTheme="majorHAnsi" w:hAnsiTheme="majorHAnsi" w:cstheme="majorHAnsi"/>
              </w:rPr>
              <w:t>d</w:t>
            </w:r>
            <w:r w:rsidR="00453F51" w:rsidRPr="000F3267">
              <w:rPr>
                <w:rFonts w:asciiTheme="majorHAnsi" w:hAnsiTheme="majorHAnsi" w:cstheme="majorHAnsi"/>
              </w:rPr>
              <w:t xml:space="preserve"> </w:t>
            </w:r>
            <w:r w:rsidRPr="000F3267">
              <w:rPr>
                <w:rFonts w:asciiTheme="majorHAnsi" w:hAnsiTheme="majorHAnsi" w:cstheme="majorHAnsi"/>
              </w:rPr>
              <w:t xml:space="preserve">the </w:t>
            </w:r>
            <w:r w:rsidR="00453F51" w:rsidRPr="000F3267">
              <w:rPr>
                <w:rFonts w:asciiTheme="majorHAnsi" w:hAnsiTheme="majorHAnsi" w:cstheme="majorHAnsi"/>
              </w:rPr>
              <w:t>BPaL treatment regimen under OR.</w:t>
            </w:r>
          </w:p>
          <w:p w14:paraId="6E4839AA" w14:textId="59E6EF9B" w:rsidR="00453F51" w:rsidRPr="000F3267" w:rsidRDefault="00722FAA" w:rsidP="006A0E08">
            <w:pPr>
              <w:pStyle w:val="affff3"/>
              <w:numPr>
                <w:ilvl w:val="0"/>
                <w:numId w:val="30"/>
              </w:numPr>
              <w:spacing w:after="0" w:line="240" w:lineRule="auto"/>
              <w:jc w:val="both"/>
              <w:rPr>
                <w:rFonts w:asciiTheme="majorHAnsi" w:hAnsiTheme="majorHAnsi" w:cstheme="majorHAnsi"/>
              </w:rPr>
            </w:pPr>
            <w:r w:rsidRPr="000F3267">
              <w:rPr>
                <w:rFonts w:asciiTheme="majorHAnsi" w:hAnsiTheme="majorHAnsi" w:cstheme="majorHAnsi"/>
              </w:rPr>
              <w:t xml:space="preserve">650 </w:t>
            </w:r>
            <w:r w:rsidR="00DE492E" w:rsidRPr="000F3267">
              <w:rPr>
                <w:rFonts w:asciiTheme="majorHAnsi" w:hAnsiTheme="majorHAnsi" w:cstheme="majorHAnsi"/>
              </w:rPr>
              <w:t>trainers</w:t>
            </w:r>
            <w:r w:rsidRPr="000F3267">
              <w:rPr>
                <w:rFonts w:asciiTheme="majorHAnsi" w:hAnsiTheme="majorHAnsi" w:cstheme="majorHAnsi"/>
              </w:rPr>
              <w:t xml:space="preserve"> </w:t>
            </w:r>
            <w:r w:rsidR="0089575B" w:rsidRPr="000F3267">
              <w:rPr>
                <w:rFonts w:asciiTheme="majorHAnsi" w:hAnsiTheme="majorHAnsi" w:cstheme="majorHAnsi"/>
              </w:rPr>
              <w:t>will be</w:t>
            </w:r>
            <w:r w:rsidR="00052467" w:rsidRPr="000F3267">
              <w:rPr>
                <w:rFonts w:asciiTheme="majorHAnsi" w:hAnsiTheme="majorHAnsi" w:cstheme="majorHAnsi"/>
              </w:rPr>
              <w:t xml:space="preserve"> </w:t>
            </w:r>
            <w:r w:rsidR="00453F51" w:rsidRPr="000F3267">
              <w:rPr>
                <w:rFonts w:asciiTheme="majorHAnsi" w:hAnsiTheme="majorHAnsi" w:cstheme="majorHAnsi"/>
              </w:rPr>
              <w:t>prepared using e-Learning platform.</w:t>
            </w:r>
          </w:p>
          <w:p w14:paraId="3FBD466C" w14:textId="2341EEE6" w:rsidR="008F7F51" w:rsidRPr="000F3267" w:rsidRDefault="00453F51" w:rsidP="006A0E08">
            <w:pPr>
              <w:pStyle w:val="affff3"/>
              <w:numPr>
                <w:ilvl w:val="0"/>
                <w:numId w:val="30"/>
              </w:numPr>
              <w:spacing w:after="0" w:line="240" w:lineRule="auto"/>
              <w:jc w:val="both"/>
              <w:rPr>
                <w:rFonts w:asciiTheme="majorHAnsi" w:hAnsiTheme="majorHAnsi" w:cstheme="majorHAnsi"/>
                <w:b/>
              </w:rPr>
            </w:pPr>
            <w:r w:rsidRPr="000F3267">
              <w:rPr>
                <w:rFonts w:asciiTheme="majorHAnsi" w:hAnsiTheme="majorHAnsi" w:cstheme="majorHAnsi"/>
              </w:rPr>
              <w:t>Coordination and ma</w:t>
            </w:r>
            <w:r w:rsidR="00DE492E" w:rsidRPr="000F3267">
              <w:rPr>
                <w:rFonts w:asciiTheme="majorHAnsi" w:hAnsiTheme="majorHAnsi" w:cstheme="majorHAnsi"/>
              </w:rPr>
              <w:t>nagement of TB medicine supply,</w:t>
            </w:r>
            <w:r w:rsidRPr="000F3267">
              <w:rPr>
                <w:rFonts w:asciiTheme="majorHAnsi" w:hAnsiTheme="majorHAnsi" w:cstheme="majorHAnsi"/>
              </w:rPr>
              <w:t xml:space="preserve"> and aDSM activities of the NTP </w:t>
            </w:r>
            <w:r w:rsidR="0089575B" w:rsidRPr="000F3267">
              <w:rPr>
                <w:rFonts w:asciiTheme="majorHAnsi" w:hAnsiTheme="majorHAnsi" w:cstheme="majorHAnsi"/>
              </w:rPr>
              <w:t>will be</w:t>
            </w:r>
            <w:r w:rsidR="00DE492E" w:rsidRPr="000F3267">
              <w:rPr>
                <w:rFonts w:asciiTheme="majorHAnsi" w:hAnsiTheme="majorHAnsi" w:cstheme="majorHAnsi"/>
              </w:rPr>
              <w:t xml:space="preserve"> strengthened</w:t>
            </w:r>
            <w:r w:rsidRPr="000F3267">
              <w:rPr>
                <w:rFonts w:asciiTheme="majorHAnsi" w:hAnsiTheme="majorHAnsi" w:cstheme="majorHAnsi"/>
              </w:rPr>
              <w:t>.</w:t>
            </w:r>
          </w:p>
          <w:p w14:paraId="4BE786BD" w14:textId="7126D964" w:rsidR="00007BFF" w:rsidRPr="000F3267" w:rsidRDefault="00453F51" w:rsidP="006A0E08">
            <w:pPr>
              <w:pStyle w:val="affff3"/>
              <w:numPr>
                <w:ilvl w:val="0"/>
                <w:numId w:val="30"/>
              </w:numPr>
              <w:spacing w:after="0" w:line="240" w:lineRule="auto"/>
              <w:jc w:val="both"/>
              <w:rPr>
                <w:rFonts w:asciiTheme="majorHAnsi" w:hAnsiTheme="majorHAnsi" w:cstheme="majorHAnsi"/>
                <w:b/>
              </w:rPr>
            </w:pPr>
            <w:r w:rsidRPr="000F3267">
              <w:rPr>
                <w:rFonts w:asciiTheme="majorHAnsi" w:hAnsiTheme="majorHAnsi" w:cstheme="majorHAnsi"/>
              </w:rPr>
              <w:t xml:space="preserve">Knowledge </w:t>
            </w:r>
            <w:r w:rsidR="00EE1698" w:rsidRPr="000F3267">
              <w:rPr>
                <w:rFonts w:asciiTheme="majorHAnsi" w:hAnsiTheme="majorHAnsi" w:cstheme="majorHAnsi"/>
              </w:rPr>
              <w:t>increase of the medical personel from</w:t>
            </w:r>
            <w:r w:rsidRPr="000F3267">
              <w:rPr>
                <w:rFonts w:asciiTheme="majorHAnsi" w:hAnsiTheme="majorHAnsi" w:cstheme="majorHAnsi"/>
              </w:rPr>
              <w:t xml:space="preserve"> the TB </w:t>
            </w:r>
            <w:r w:rsidR="008F7F51" w:rsidRPr="000F3267">
              <w:rPr>
                <w:rFonts w:asciiTheme="majorHAnsi" w:hAnsiTheme="majorHAnsi" w:cstheme="majorHAnsi"/>
              </w:rPr>
              <w:t>Service</w:t>
            </w:r>
            <w:r w:rsidR="00EE1698" w:rsidRPr="000F3267">
              <w:rPr>
                <w:rFonts w:asciiTheme="majorHAnsi" w:hAnsiTheme="majorHAnsi" w:cstheme="majorHAnsi"/>
              </w:rPr>
              <w:t xml:space="preserve"> </w:t>
            </w:r>
            <w:r w:rsidRPr="000F3267">
              <w:rPr>
                <w:rFonts w:asciiTheme="majorHAnsi" w:hAnsiTheme="majorHAnsi" w:cstheme="majorHAnsi"/>
              </w:rPr>
              <w:t xml:space="preserve">and PHC </w:t>
            </w:r>
            <w:r w:rsidR="00EE1698" w:rsidRPr="000F3267">
              <w:rPr>
                <w:rFonts w:asciiTheme="majorHAnsi" w:hAnsiTheme="majorHAnsi" w:cstheme="majorHAnsi"/>
              </w:rPr>
              <w:t>facilities</w:t>
            </w:r>
            <w:r w:rsidR="00865821">
              <w:rPr>
                <w:rFonts w:asciiTheme="majorHAnsi" w:hAnsiTheme="majorHAnsi" w:cstheme="majorHAnsi"/>
              </w:rPr>
              <w:t xml:space="preserve"> on implementation of the lat</w:t>
            </w:r>
            <w:r w:rsidR="008F7F51" w:rsidRPr="000F3267">
              <w:rPr>
                <w:rFonts w:asciiTheme="majorHAnsi" w:hAnsiTheme="majorHAnsi" w:cstheme="majorHAnsi"/>
              </w:rPr>
              <w:t>est</w:t>
            </w:r>
            <w:r w:rsidRPr="000F3267">
              <w:rPr>
                <w:rFonts w:asciiTheme="majorHAnsi" w:hAnsiTheme="majorHAnsi" w:cstheme="majorHAnsi"/>
              </w:rPr>
              <w:t xml:space="preserve"> WHO recommendations </w:t>
            </w:r>
            <w:r w:rsidR="008F7F51" w:rsidRPr="000F3267">
              <w:rPr>
                <w:rFonts w:asciiTheme="majorHAnsi" w:hAnsiTheme="majorHAnsi" w:cstheme="majorHAnsi"/>
              </w:rPr>
              <w:t>regarding the introduction of a</w:t>
            </w:r>
            <w:r w:rsidR="008F7F51" w:rsidRPr="000F3267">
              <w:rPr>
                <w:rFonts w:asciiTheme="majorHAnsi" w:eastAsia="Times New Roman" w:hAnsiTheme="majorHAnsi" w:cstheme="majorHAnsi"/>
                <w:color w:val="202124"/>
                <w:shd w:val="clear" w:color="auto" w:fill="FFFFFF"/>
              </w:rPr>
              <w:t xml:space="preserve"> Nucleic Acid Amplification Test (NAAT) for TB</w:t>
            </w:r>
            <w:r w:rsidRPr="000F3267">
              <w:rPr>
                <w:rFonts w:asciiTheme="majorHAnsi" w:hAnsiTheme="majorHAnsi" w:cstheme="majorHAnsi"/>
              </w:rPr>
              <w:t>, ne</w:t>
            </w:r>
            <w:r w:rsidR="008F7F51" w:rsidRPr="000F3267">
              <w:rPr>
                <w:rFonts w:asciiTheme="majorHAnsi" w:hAnsiTheme="majorHAnsi" w:cstheme="majorHAnsi"/>
              </w:rPr>
              <w:t xml:space="preserve">w </w:t>
            </w:r>
            <w:proofErr w:type="gramStart"/>
            <w:r w:rsidR="00087AF9" w:rsidRPr="000F3267">
              <w:rPr>
                <w:rFonts w:asciiTheme="majorHAnsi" w:hAnsiTheme="majorHAnsi" w:cstheme="majorHAnsi"/>
              </w:rPr>
              <w:t>drugs</w:t>
            </w:r>
            <w:proofErr w:type="gramEnd"/>
            <w:r w:rsidR="00087AF9" w:rsidRPr="000F3267">
              <w:rPr>
                <w:rFonts w:asciiTheme="majorHAnsi" w:hAnsiTheme="majorHAnsi" w:cstheme="majorHAnsi"/>
              </w:rPr>
              <w:t xml:space="preserve"> and </w:t>
            </w:r>
            <w:r w:rsidR="008F7F51" w:rsidRPr="000F3267">
              <w:rPr>
                <w:rFonts w:asciiTheme="majorHAnsi" w:hAnsiTheme="majorHAnsi" w:cstheme="majorHAnsi"/>
              </w:rPr>
              <w:t xml:space="preserve">regimens for </w:t>
            </w:r>
            <w:r w:rsidR="0089575B" w:rsidRPr="000F3267">
              <w:rPr>
                <w:rFonts w:asciiTheme="majorHAnsi" w:hAnsiTheme="majorHAnsi" w:cstheme="majorHAnsi"/>
              </w:rPr>
              <w:t>RR/</w:t>
            </w:r>
            <w:r w:rsidRPr="000F3267">
              <w:rPr>
                <w:rFonts w:asciiTheme="majorHAnsi" w:hAnsiTheme="majorHAnsi" w:cstheme="majorHAnsi"/>
              </w:rPr>
              <w:t>MDR</w:t>
            </w:r>
            <w:r w:rsidR="008F7F51" w:rsidRPr="000F3267">
              <w:rPr>
                <w:rFonts w:asciiTheme="majorHAnsi" w:hAnsiTheme="majorHAnsi" w:cstheme="majorHAnsi"/>
              </w:rPr>
              <w:t>-TB patients,</w:t>
            </w:r>
            <w:r w:rsidRPr="000F3267">
              <w:rPr>
                <w:rFonts w:asciiTheme="majorHAnsi" w:hAnsiTheme="majorHAnsi" w:cstheme="majorHAnsi"/>
              </w:rPr>
              <w:t xml:space="preserve"> </w:t>
            </w:r>
            <w:r w:rsidR="008F7F51" w:rsidRPr="000F3267">
              <w:rPr>
                <w:rFonts w:asciiTheme="majorHAnsi" w:hAnsiTheme="majorHAnsi" w:cstheme="majorHAnsi"/>
              </w:rPr>
              <w:t xml:space="preserve">operation of </w:t>
            </w:r>
            <w:r w:rsidRPr="000F3267">
              <w:rPr>
                <w:rFonts w:asciiTheme="majorHAnsi" w:hAnsiTheme="majorHAnsi" w:cstheme="majorHAnsi"/>
              </w:rPr>
              <w:t>people centered model</w:t>
            </w:r>
            <w:r w:rsidR="008F7F51" w:rsidRPr="000F3267">
              <w:rPr>
                <w:rFonts w:asciiTheme="majorHAnsi" w:hAnsiTheme="majorHAnsi" w:cstheme="majorHAnsi"/>
              </w:rPr>
              <w:t>s</w:t>
            </w:r>
            <w:r w:rsidRPr="000F3267">
              <w:rPr>
                <w:rFonts w:asciiTheme="majorHAnsi" w:hAnsiTheme="majorHAnsi" w:cstheme="majorHAnsi"/>
              </w:rPr>
              <w:t xml:space="preserve"> of TB care, and </w:t>
            </w:r>
            <w:r w:rsidR="008F7F51" w:rsidRPr="000F3267">
              <w:rPr>
                <w:rFonts w:asciiTheme="majorHAnsi" w:hAnsiTheme="majorHAnsi" w:cstheme="majorHAnsi"/>
              </w:rPr>
              <w:t xml:space="preserve">the role of </w:t>
            </w:r>
            <w:r w:rsidRPr="000F3267">
              <w:rPr>
                <w:rFonts w:asciiTheme="majorHAnsi" w:hAnsiTheme="majorHAnsi" w:cstheme="majorHAnsi"/>
              </w:rPr>
              <w:t>community</w:t>
            </w:r>
            <w:r w:rsidR="008F7F51" w:rsidRPr="000F3267">
              <w:rPr>
                <w:rFonts w:asciiTheme="majorHAnsi" w:hAnsiTheme="majorHAnsi" w:cstheme="majorHAnsi"/>
              </w:rPr>
              <w:t xml:space="preserve"> organizations in TB control</w:t>
            </w:r>
            <w:r w:rsidRPr="000F3267">
              <w:rPr>
                <w:rFonts w:asciiTheme="majorHAnsi" w:hAnsiTheme="majorHAnsi" w:cstheme="majorHAnsi"/>
              </w:rPr>
              <w:t>.</w:t>
            </w:r>
          </w:p>
          <w:p w14:paraId="4E5EE8EB" w14:textId="1F97C1B7" w:rsidR="000C5ECA" w:rsidRPr="000F3267" w:rsidRDefault="000C5ECA" w:rsidP="006A0E08">
            <w:pPr>
              <w:pStyle w:val="affff3"/>
              <w:numPr>
                <w:ilvl w:val="0"/>
                <w:numId w:val="30"/>
              </w:numPr>
              <w:spacing w:after="0" w:line="240" w:lineRule="auto"/>
              <w:jc w:val="both"/>
              <w:rPr>
                <w:rFonts w:asciiTheme="majorHAnsi" w:hAnsiTheme="majorHAnsi" w:cstheme="majorHAnsi"/>
                <w:b/>
              </w:rPr>
            </w:pPr>
            <w:r w:rsidRPr="000F3267">
              <w:rPr>
                <w:rFonts w:asciiTheme="majorHAnsi" w:hAnsiTheme="majorHAnsi" w:cstheme="majorHAnsi"/>
              </w:rPr>
              <w:t xml:space="preserve">Improved TB </w:t>
            </w:r>
            <w:r w:rsidR="005E37A9" w:rsidRPr="000F3267">
              <w:rPr>
                <w:rFonts w:asciiTheme="majorHAnsi" w:hAnsiTheme="majorHAnsi" w:cstheme="majorHAnsi"/>
              </w:rPr>
              <w:t xml:space="preserve">drugs </w:t>
            </w:r>
            <w:r w:rsidRPr="000F3267">
              <w:rPr>
                <w:rFonts w:asciiTheme="majorHAnsi" w:hAnsiTheme="majorHAnsi" w:cstheme="majorHAnsi"/>
              </w:rPr>
              <w:t xml:space="preserve">supply management </w:t>
            </w:r>
            <w:r w:rsidR="002D752C" w:rsidRPr="000F3267">
              <w:rPr>
                <w:rFonts w:asciiTheme="majorHAnsi" w:hAnsiTheme="majorHAnsi" w:cstheme="majorHAnsi"/>
              </w:rPr>
              <w:t xml:space="preserve">capacities at regional and central levels; </w:t>
            </w:r>
            <w:r w:rsidRPr="000F3267">
              <w:rPr>
                <w:rFonts w:asciiTheme="majorHAnsi" w:hAnsiTheme="majorHAnsi" w:cstheme="majorHAnsi"/>
              </w:rPr>
              <w:t>and electronic module is integrated into the national TB Registry.</w:t>
            </w:r>
          </w:p>
        </w:tc>
      </w:tr>
    </w:tbl>
    <w:p w14:paraId="545AE681" w14:textId="74FF61EE" w:rsidR="00007BFF" w:rsidRDefault="00F47032" w:rsidP="00671956">
      <w:pPr>
        <w:spacing w:after="0"/>
      </w:pPr>
      <w:r>
        <w:br w:type="textWrapping" w:clear="all"/>
      </w:r>
    </w:p>
    <w:tbl>
      <w:tblPr>
        <w:tblStyle w:val="TableGrid3"/>
        <w:tblW w:w="10350" w:type="dxa"/>
        <w:tblInd w:w="-5" w:type="dxa"/>
        <w:tblLook w:val="04A0" w:firstRow="1" w:lastRow="0" w:firstColumn="1" w:lastColumn="0" w:noHBand="0" w:noVBand="1"/>
      </w:tblPr>
      <w:tblGrid>
        <w:gridCol w:w="2448"/>
        <w:gridCol w:w="7902"/>
      </w:tblGrid>
      <w:tr w:rsidR="00007BFF" w:rsidRPr="00BF4BEE" w14:paraId="6A245EDB" w14:textId="77777777" w:rsidTr="00740264">
        <w:trPr>
          <w:trHeight w:val="422"/>
        </w:trPr>
        <w:tc>
          <w:tcPr>
            <w:tcW w:w="2448" w:type="dxa"/>
            <w:shd w:val="clear" w:color="auto" w:fill="F2F2F2"/>
            <w:vAlign w:val="center"/>
          </w:tcPr>
          <w:p w14:paraId="2449F483" w14:textId="77777777" w:rsidR="00007BFF" w:rsidRPr="00BF4BEE" w:rsidRDefault="00007BFF" w:rsidP="00740264">
            <w:pPr>
              <w:spacing w:after="0"/>
            </w:pPr>
            <w:r>
              <w:t xml:space="preserve">Component </w:t>
            </w:r>
          </w:p>
        </w:tc>
        <w:tc>
          <w:tcPr>
            <w:tcW w:w="7902" w:type="dxa"/>
          </w:tcPr>
          <w:p w14:paraId="44361730" w14:textId="009F0692" w:rsidR="00007BFF" w:rsidRPr="005E37A9" w:rsidRDefault="00525A76" w:rsidP="00740264">
            <w:pPr>
              <w:spacing w:after="0"/>
              <w:rPr>
                <w:rFonts w:cstheme="minorHAnsi"/>
              </w:rPr>
            </w:pPr>
            <w:r w:rsidRPr="005E37A9">
              <w:rPr>
                <w:rFonts w:cstheme="minorHAnsi"/>
              </w:rPr>
              <w:t>Tuberculosis</w:t>
            </w:r>
          </w:p>
        </w:tc>
      </w:tr>
      <w:tr w:rsidR="00007BFF" w:rsidRPr="00D87CCD" w14:paraId="32CCAEEA" w14:textId="77777777" w:rsidTr="00740264">
        <w:trPr>
          <w:trHeight w:val="440"/>
        </w:trPr>
        <w:tc>
          <w:tcPr>
            <w:tcW w:w="2448" w:type="dxa"/>
            <w:shd w:val="clear" w:color="auto" w:fill="F2F2F2"/>
            <w:vAlign w:val="center"/>
          </w:tcPr>
          <w:p w14:paraId="1057F045" w14:textId="77777777" w:rsidR="00007BFF" w:rsidRPr="00D87CCD" w:rsidRDefault="00007BFF" w:rsidP="00D87CCD">
            <w:pPr>
              <w:spacing w:after="0" w:line="240" w:lineRule="auto"/>
              <w:rPr>
                <w:rFonts w:asciiTheme="majorHAnsi" w:hAnsiTheme="majorHAnsi" w:cstheme="majorHAnsi"/>
              </w:rPr>
            </w:pPr>
            <w:r w:rsidRPr="00D87CCD">
              <w:rPr>
                <w:rFonts w:asciiTheme="majorHAnsi" w:hAnsiTheme="majorHAnsi" w:cstheme="majorHAnsi"/>
              </w:rPr>
              <w:t>Module/interventions</w:t>
            </w:r>
          </w:p>
        </w:tc>
        <w:tc>
          <w:tcPr>
            <w:tcW w:w="7902" w:type="dxa"/>
          </w:tcPr>
          <w:p w14:paraId="50A731EC" w14:textId="35A8D998" w:rsidR="00525A76" w:rsidRPr="00D87CCD" w:rsidRDefault="00525A76" w:rsidP="00D87CCD">
            <w:pPr>
              <w:spacing w:after="0" w:line="240" w:lineRule="auto"/>
              <w:rPr>
                <w:rFonts w:asciiTheme="majorHAnsi" w:hAnsiTheme="majorHAnsi" w:cstheme="majorHAnsi"/>
                <w:b/>
              </w:rPr>
            </w:pPr>
            <w:r w:rsidRPr="00D87CCD">
              <w:rPr>
                <w:rFonts w:asciiTheme="majorHAnsi" w:hAnsiTheme="majorHAnsi" w:cstheme="majorHAnsi"/>
                <w:b/>
              </w:rPr>
              <w:t>Module: TB care and prevention</w:t>
            </w:r>
          </w:p>
          <w:p w14:paraId="73B0F62E" w14:textId="29B0728A" w:rsidR="00525A76" w:rsidRPr="00D87CCD" w:rsidRDefault="00525A76" w:rsidP="00D87CCD">
            <w:pPr>
              <w:spacing w:after="0" w:line="240" w:lineRule="auto"/>
              <w:jc w:val="both"/>
              <w:rPr>
                <w:rFonts w:asciiTheme="majorHAnsi" w:hAnsiTheme="majorHAnsi" w:cstheme="majorHAnsi"/>
                <w:i/>
              </w:rPr>
            </w:pPr>
            <w:r w:rsidRPr="00D87CCD">
              <w:rPr>
                <w:rFonts w:asciiTheme="majorHAnsi" w:hAnsiTheme="majorHAnsi" w:cstheme="majorHAnsi"/>
                <w:i/>
              </w:rPr>
              <w:t>Intervention: Treatment (TB care and prevention)</w:t>
            </w:r>
          </w:p>
          <w:p w14:paraId="699D4A84" w14:textId="7126EC33" w:rsidR="00525A76" w:rsidRDefault="00525A76" w:rsidP="00D87CCD">
            <w:pPr>
              <w:spacing w:after="0" w:line="240" w:lineRule="auto"/>
              <w:jc w:val="both"/>
              <w:rPr>
                <w:rFonts w:asciiTheme="majorHAnsi" w:hAnsiTheme="majorHAnsi" w:cstheme="majorHAnsi"/>
              </w:rPr>
            </w:pPr>
            <w:r w:rsidRPr="00D87CCD">
              <w:rPr>
                <w:rFonts w:asciiTheme="majorHAnsi" w:hAnsiTheme="majorHAnsi" w:cstheme="majorHAnsi"/>
              </w:rPr>
              <w:t>Activities:</w:t>
            </w:r>
          </w:p>
          <w:p w14:paraId="56E50F83" w14:textId="77777777" w:rsidR="00D87CCD" w:rsidRPr="00D87CCD" w:rsidRDefault="00D87CCD" w:rsidP="00D87CCD">
            <w:pPr>
              <w:spacing w:after="0" w:line="240" w:lineRule="auto"/>
              <w:jc w:val="both"/>
              <w:rPr>
                <w:rFonts w:asciiTheme="majorHAnsi" w:hAnsiTheme="majorHAnsi" w:cstheme="majorHAnsi"/>
                <w:color w:val="00B050"/>
              </w:rPr>
            </w:pPr>
          </w:p>
          <w:p w14:paraId="5240964C" w14:textId="1E51FFC2" w:rsidR="00525A76" w:rsidRPr="00D87CCD" w:rsidRDefault="00525A76" w:rsidP="006A0E08">
            <w:pPr>
              <w:numPr>
                <w:ilvl w:val="2"/>
                <w:numId w:val="31"/>
              </w:numPr>
              <w:spacing w:after="0" w:line="240" w:lineRule="auto"/>
              <w:contextualSpacing/>
              <w:jc w:val="both"/>
              <w:rPr>
                <w:rFonts w:asciiTheme="majorHAnsi" w:hAnsiTheme="majorHAnsi" w:cstheme="majorHAnsi"/>
              </w:rPr>
            </w:pPr>
            <w:r w:rsidRPr="00D87CCD">
              <w:rPr>
                <w:rFonts w:asciiTheme="majorHAnsi" w:hAnsiTheme="majorHAnsi" w:cstheme="majorHAnsi"/>
                <w:i/>
              </w:rPr>
              <w:t xml:space="preserve">4-month regimen </w:t>
            </w:r>
            <w:r w:rsidR="009602DE" w:rsidRPr="00D87CCD">
              <w:rPr>
                <w:rFonts w:asciiTheme="majorHAnsi" w:hAnsiTheme="majorHAnsi" w:cstheme="majorHAnsi"/>
                <w:i/>
              </w:rPr>
              <w:t>therapy</w:t>
            </w:r>
            <w:r w:rsidRPr="00D87CCD">
              <w:rPr>
                <w:rFonts w:asciiTheme="majorHAnsi" w:hAnsiTheme="majorHAnsi" w:cstheme="majorHAnsi"/>
                <w:i/>
              </w:rPr>
              <w:t xml:space="preserve"> of drug-susceptible pulmonary </w:t>
            </w:r>
            <w:r w:rsidR="001A7668" w:rsidRPr="00D87CCD">
              <w:rPr>
                <w:rFonts w:asciiTheme="majorHAnsi" w:hAnsiTheme="majorHAnsi" w:cstheme="majorHAnsi"/>
                <w:i/>
              </w:rPr>
              <w:t xml:space="preserve">TB (operational research) </w:t>
            </w:r>
            <w:r w:rsidR="001A7668" w:rsidRPr="00D87CCD">
              <w:rPr>
                <w:rFonts w:asciiTheme="majorHAnsi" w:hAnsiTheme="majorHAnsi" w:cstheme="majorHAnsi"/>
              </w:rPr>
              <w:t>(please refer to the PAAR template for description).</w:t>
            </w:r>
          </w:p>
          <w:p w14:paraId="12D2D47A" w14:textId="77777777" w:rsidR="00525A76" w:rsidRPr="00D87CCD" w:rsidRDefault="00525A76" w:rsidP="00D87CCD">
            <w:pPr>
              <w:spacing w:after="0" w:line="240" w:lineRule="auto"/>
              <w:ind w:left="720"/>
              <w:contextualSpacing/>
              <w:jc w:val="both"/>
              <w:rPr>
                <w:rFonts w:asciiTheme="majorHAnsi" w:hAnsiTheme="majorHAnsi" w:cstheme="majorHAnsi"/>
              </w:rPr>
            </w:pPr>
          </w:p>
          <w:p w14:paraId="2B58C8A6" w14:textId="30038C55" w:rsidR="00525A76" w:rsidRPr="00D87CCD" w:rsidRDefault="00525A76" w:rsidP="00D87CCD">
            <w:pPr>
              <w:spacing w:after="0" w:line="240" w:lineRule="auto"/>
              <w:jc w:val="both"/>
              <w:rPr>
                <w:rFonts w:asciiTheme="majorHAnsi" w:hAnsiTheme="majorHAnsi" w:cstheme="majorHAnsi"/>
                <w:i/>
              </w:rPr>
            </w:pPr>
            <w:r w:rsidRPr="00D87CCD">
              <w:rPr>
                <w:rFonts w:asciiTheme="majorHAnsi" w:hAnsiTheme="majorHAnsi" w:cstheme="majorHAnsi"/>
                <w:i/>
              </w:rPr>
              <w:t>Intervention: Prevention (TB care and prevention)</w:t>
            </w:r>
          </w:p>
          <w:p w14:paraId="50BE509F" w14:textId="77777777" w:rsidR="00D87CCD" w:rsidRDefault="00D87CCD" w:rsidP="00D87CCD">
            <w:pPr>
              <w:spacing w:after="0" w:line="240" w:lineRule="auto"/>
              <w:jc w:val="both"/>
              <w:rPr>
                <w:rFonts w:asciiTheme="majorHAnsi" w:hAnsiTheme="majorHAnsi" w:cstheme="majorHAnsi"/>
              </w:rPr>
            </w:pPr>
          </w:p>
          <w:p w14:paraId="5D8399D4" w14:textId="132B6ED3" w:rsidR="00525A76" w:rsidRDefault="00525A76" w:rsidP="00D87CCD">
            <w:pPr>
              <w:spacing w:after="0" w:line="240" w:lineRule="auto"/>
              <w:jc w:val="both"/>
              <w:rPr>
                <w:rFonts w:asciiTheme="majorHAnsi" w:hAnsiTheme="majorHAnsi" w:cstheme="majorHAnsi"/>
              </w:rPr>
            </w:pPr>
            <w:r w:rsidRPr="00D87CCD">
              <w:rPr>
                <w:rFonts w:asciiTheme="majorHAnsi" w:hAnsiTheme="majorHAnsi" w:cstheme="majorHAnsi"/>
              </w:rPr>
              <w:t>Activities:</w:t>
            </w:r>
          </w:p>
          <w:p w14:paraId="2C90F972" w14:textId="77777777" w:rsidR="00D87CCD" w:rsidRPr="00D87CCD" w:rsidRDefault="00D87CCD" w:rsidP="00D87CCD">
            <w:pPr>
              <w:spacing w:after="0" w:line="240" w:lineRule="auto"/>
              <w:jc w:val="both"/>
              <w:rPr>
                <w:rFonts w:asciiTheme="majorHAnsi" w:hAnsiTheme="majorHAnsi" w:cstheme="majorHAnsi"/>
              </w:rPr>
            </w:pPr>
          </w:p>
          <w:p w14:paraId="1CB13D39" w14:textId="35F353A4" w:rsidR="00525A76" w:rsidRPr="00D87CCD" w:rsidRDefault="00525A76" w:rsidP="006A0E08">
            <w:pPr>
              <w:numPr>
                <w:ilvl w:val="2"/>
                <w:numId w:val="32"/>
              </w:numPr>
              <w:spacing w:after="0" w:line="240" w:lineRule="auto"/>
              <w:contextualSpacing/>
              <w:jc w:val="both"/>
              <w:rPr>
                <w:rFonts w:asciiTheme="majorHAnsi" w:hAnsiTheme="majorHAnsi" w:cstheme="majorHAnsi"/>
              </w:rPr>
            </w:pPr>
            <w:r w:rsidRPr="00D87CCD">
              <w:rPr>
                <w:rFonts w:asciiTheme="majorHAnsi" w:hAnsiTheme="majorHAnsi" w:cstheme="majorHAnsi"/>
              </w:rPr>
              <w:t>Support to the Working Group on LTBI</w:t>
            </w:r>
            <w:r w:rsidR="00997941" w:rsidRPr="00D87CCD">
              <w:rPr>
                <w:rFonts w:asciiTheme="majorHAnsi" w:hAnsiTheme="majorHAnsi" w:cstheme="majorHAnsi"/>
              </w:rPr>
              <w:t xml:space="preserve"> in diagnosis and treatment</w:t>
            </w:r>
            <w:r w:rsidR="0063386B" w:rsidRPr="00D87CCD">
              <w:rPr>
                <w:rFonts w:asciiTheme="majorHAnsi" w:hAnsiTheme="majorHAnsi" w:cstheme="majorHAnsi"/>
              </w:rPr>
              <w:t xml:space="preserve"> strengthening</w:t>
            </w:r>
          </w:p>
          <w:p w14:paraId="56867A10" w14:textId="77777777" w:rsidR="00525A76" w:rsidRPr="00D87CCD" w:rsidRDefault="00525A76" w:rsidP="00D87CCD">
            <w:pPr>
              <w:spacing w:after="0" w:line="240" w:lineRule="auto"/>
              <w:jc w:val="both"/>
              <w:rPr>
                <w:rFonts w:asciiTheme="majorHAnsi" w:hAnsiTheme="majorHAnsi" w:cstheme="majorHAnsi"/>
              </w:rPr>
            </w:pPr>
          </w:p>
          <w:p w14:paraId="73EA8038" w14:textId="6A6C4BBB" w:rsidR="00525A76" w:rsidRPr="00D87CCD" w:rsidRDefault="00C35547" w:rsidP="00D87CCD">
            <w:pPr>
              <w:spacing w:after="0" w:line="240" w:lineRule="auto"/>
              <w:jc w:val="both"/>
              <w:rPr>
                <w:rFonts w:asciiTheme="majorHAnsi" w:hAnsiTheme="majorHAnsi" w:cstheme="majorHAnsi"/>
              </w:rPr>
            </w:pPr>
            <w:r w:rsidRPr="00D87CCD">
              <w:rPr>
                <w:rFonts w:asciiTheme="majorHAnsi" w:hAnsiTheme="majorHAnsi" w:cstheme="majorHAnsi"/>
              </w:rPr>
              <w:t>The working group will be established and su</w:t>
            </w:r>
            <w:r w:rsidR="00087AF9" w:rsidRPr="00D87CCD">
              <w:rPr>
                <w:rFonts w:asciiTheme="majorHAnsi" w:hAnsiTheme="majorHAnsi" w:cstheme="majorHAnsi"/>
              </w:rPr>
              <w:t xml:space="preserve">pported to perform, coordinate, </w:t>
            </w:r>
            <w:r w:rsidRPr="00D87CCD">
              <w:rPr>
                <w:rFonts w:asciiTheme="majorHAnsi" w:hAnsiTheme="majorHAnsi" w:cstheme="majorHAnsi"/>
              </w:rPr>
              <w:t xml:space="preserve">and supervise the latent TB infection diagnosis and treatment activities following the adopted national clinical guide on LTBI diagnostics and treatment developed based on the WHO's </w:t>
            </w:r>
            <w:r w:rsidR="005E37A9" w:rsidRPr="00D87CCD">
              <w:rPr>
                <w:rFonts w:asciiTheme="majorHAnsi" w:hAnsiTheme="majorHAnsi" w:cstheme="majorHAnsi"/>
              </w:rPr>
              <w:t>2021 recommendations</w:t>
            </w:r>
            <w:r w:rsidRPr="00D87CCD">
              <w:rPr>
                <w:rFonts w:asciiTheme="majorHAnsi" w:hAnsiTheme="majorHAnsi" w:cstheme="majorHAnsi"/>
              </w:rPr>
              <w:t>. The new grant will allocate funding to support the logistics for the TWG meetings. During the first year of the grant implementation, meetings will be organized quarterly by limiting the number to once every six months durin</w:t>
            </w:r>
            <w:r w:rsidR="00E84BB7" w:rsidRPr="00D87CCD">
              <w:rPr>
                <w:rFonts w:asciiTheme="majorHAnsi" w:hAnsiTheme="majorHAnsi" w:cstheme="majorHAnsi"/>
              </w:rPr>
              <w:t xml:space="preserve">g the second and third years. </w:t>
            </w:r>
            <w:r w:rsidRPr="00D87CCD">
              <w:rPr>
                <w:rFonts w:asciiTheme="majorHAnsi" w:hAnsiTheme="majorHAnsi" w:cstheme="majorHAnsi"/>
              </w:rPr>
              <w:t xml:space="preserve">To discuss the progress made, challenges and lessons learned informing the future steps and the achievements in meeting the nationalized UN </w:t>
            </w:r>
            <w:r w:rsidRPr="00D87CCD">
              <w:rPr>
                <w:rFonts w:asciiTheme="majorHAnsi" w:hAnsiTheme="majorHAnsi" w:cstheme="majorHAnsi"/>
                <w:bCs/>
              </w:rPr>
              <w:t>High-Level Meeting’</w:t>
            </w:r>
            <w:r w:rsidRPr="00D87CCD">
              <w:rPr>
                <w:rFonts w:asciiTheme="majorHAnsi" w:hAnsiTheme="majorHAnsi" w:cstheme="majorHAnsi"/>
              </w:rPr>
              <w:t xml:space="preserve"> targets and ways forward, a round table will be organized in </w:t>
            </w:r>
            <w:r w:rsidR="007E7E50" w:rsidRPr="00D87CCD">
              <w:rPr>
                <w:rFonts w:asciiTheme="majorHAnsi" w:hAnsiTheme="majorHAnsi" w:cstheme="majorHAnsi"/>
              </w:rPr>
              <w:t>the second year of the grant</w:t>
            </w:r>
            <w:r w:rsidRPr="00D87CCD">
              <w:rPr>
                <w:rFonts w:asciiTheme="majorHAnsi" w:hAnsiTheme="majorHAnsi" w:cstheme="majorHAnsi"/>
              </w:rPr>
              <w:t xml:space="preserve"> at the central level.</w:t>
            </w:r>
          </w:p>
          <w:p w14:paraId="08198AE3" w14:textId="77777777" w:rsidR="00087AF9" w:rsidRPr="00D87CCD" w:rsidRDefault="00087AF9" w:rsidP="00D87CCD">
            <w:pPr>
              <w:spacing w:after="0" w:line="240" w:lineRule="auto"/>
              <w:jc w:val="both"/>
              <w:rPr>
                <w:rFonts w:asciiTheme="majorHAnsi" w:hAnsiTheme="majorHAnsi" w:cstheme="majorHAnsi"/>
              </w:rPr>
            </w:pPr>
          </w:p>
          <w:p w14:paraId="434683FE" w14:textId="7C4427CD" w:rsidR="00525A76" w:rsidRPr="00D87CCD" w:rsidRDefault="00E0344E" w:rsidP="006A0E08">
            <w:pPr>
              <w:numPr>
                <w:ilvl w:val="2"/>
                <w:numId w:val="32"/>
              </w:numPr>
              <w:spacing w:after="0" w:line="240" w:lineRule="auto"/>
              <w:contextualSpacing/>
              <w:jc w:val="both"/>
              <w:rPr>
                <w:rFonts w:asciiTheme="majorHAnsi" w:hAnsiTheme="majorHAnsi" w:cstheme="majorHAnsi"/>
              </w:rPr>
            </w:pPr>
            <w:r w:rsidRPr="00D87CCD">
              <w:rPr>
                <w:rFonts w:asciiTheme="majorHAnsi" w:hAnsiTheme="majorHAnsi" w:cstheme="majorHAnsi"/>
              </w:rPr>
              <w:t>Technical Assi</w:t>
            </w:r>
            <w:r w:rsidR="003B7406" w:rsidRPr="00D87CCD">
              <w:rPr>
                <w:rFonts w:asciiTheme="majorHAnsi" w:hAnsiTheme="majorHAnsi" w:cstheme="majorHAnsi"/>
              </w:rPr>
              <w:t>s</w:t>
            </w:r>
            <w:r w:rsidRPr="00D87CCD">
              <w:rPr>
                <w:rFonts w:asciiTheme="majorHAnsi" w:hAnsiTheme="majorHAnsi" w:cstheme="majorHAnsi"/>
              </w:rPr>
              <w:t>tance in LTBI: National C</w:t>
            </w:r>
            <w:r w:rsidR="00E303D3" w:rsidRPr="00D87CCD">
              <w:rPr>
                <w:rFonts w:asciiTheme="majorHAnsi" w:hAnsiTheme="majorHAnsi" w:cstheme="majorHAnsi"/>
              </w:rPr>
              <w:t xml:space="preserve">onsultant in </w:t>
            </w:r>
            <w:r w:rsidR="00525A76" w:rsidRPr="00D87CCD">
              <w:rPr>
                <w:rFonts w:asciiTheme="majorHAnsi" w:hAnsiTheme="majorHAnsi" w:cstheme="majorHAnsi"/>
              </w:rPr>
              <w:t>support to strengthen coordination, realization and monitoring of the LTBI diagnosis and treatment activities</w:t>
            </w:r>
          </w:p>
          <w:p w14:paraId="28F20F47" w14:textId="77777777" w:rsidR="00C35547" w:rsidRPr="00D87CCD" w:rsidRDefault="00C35547" w:rsidP="00D87CCD">
            <w:pPr>
              <w:spacing w:after="0" w:line="240" w:lineRule="auto"/>
              <w:contextualSpacing/>
              <w:jc w:val="both"/>
              <w:rPr>
                <w:rFonts w:asciiTheme="majorHAnsi" w:hAnsiTheme="majorHAnsi" w:cstheme="majorHAnsi"/>
              </w:rPr>
            </w:pPr>
          </w:p>
          <w:p w14:paraId="29CA626C" w14:textId="69FDBEF2" w:rsidR="00525A76" w:rsidRPr="00D87CCD" w:rsidRDefault="00216874" w:rsidP="00D87CCD">
            <w:pPr>
              <w:spacing w:after="0" w:line="240" w:lineRule="auto"/>
              <w:jc w:val="both"/>
              <w:rPr>
                <w:rFonts w:asciiTheme="majorHAnsi" w:hAnsiTheme="majorHAnsi" w:cstheme="majorHAnsi"/>
              </w:rPr>
            </w:pPr>
            <w:r w:rsidRPr="00D87CCD">
              <w:rPr>
                <w:rFonts w:asciiTheme="majorHAnsi" w:hAnsiTheme="majorHAnsi" w:cstheme="majorHAnsi"/>
              </w:rPr>
              <w:t>The funds will support hiring a local consultant at the central level to: (i) guarantee coordination with regional LTBI focal points; (ii) support regions in estimation and forecasting needs in reagents, consumables, and drugs for TB preventive treatment; (iii) maintain communication with an external consultant on LTBI; (iv) provide quarterly analysis on the LTBI indicators; and (v) evaluate annually the progress made towards national targets; and (vi) update the respective national documents on LTBI activities implementation. This function will be funded during the full project life.</w:t>
            </w:r>
          </w:p>
          <w:p w14:paraId="697C97B5" w14:textId="77777777" w:rsidR="00087AF9" w:rsidRPr="00D87CCD" w:rsidRDefault="00087AF9" w:rsidP="00D87CCD">
            <w:pPr>
              <w:spacing w:after="0" w:line="240" w:lineRule="auto"/>
              <w:jc w:val="both"/>
              <w:rPr>
                <w:rFonts w:asciiTheme="majorHAnsi" w:hAnsiTheme="majorHAnsi" w:cstheme="majorHAnsi"/>
              </w:rPr>
            </w:pPr>
          </w:p>
          <w:p w14:paraId="542EA399" w14:textId="51F704CB" w:rsidR="00525A76" w:rsidRPr="00D87CCD" w:rsidRDefault="00525A76" w:rsidP="006A0E08">
            <w:pPr>
              <w:numPr>
                <w:ilvl w:val="2"/>
                <w:numId w:val="32"/>
              </w:numPr>
              <w:spacing w:after="0" w:line="240" w:lineRule="auto"/>
              <w:contextualSpacing/>
              <w:jc w:val="both"/>
              <w:rPr>
                <w:rFonts w:asciiTheme="majorHAnsi" w:hAnsiTheme="majorHAnsi" w:cstheme="majorHAnsi"/>
              </w:rPr>
            </w:pPr>
            <w:r w:rsidRPr="00D87CCD">
              <w:rPr>
                <w:rFonts w:asciiTheme="majorHAnsi" w:hAnsiTheme="majorHAnsi" w:cstheme="majorHAnsi"/>
              </w:rPr>
              <w:t>T</w:t>
            </w:r>
            <w:r w:rsidR="00E0344E" w:rsidRPr="00D87CCD">
              <w:rPr>
                <w:rFonts w:asciiTheme="majorHAnsi" w:hAnsiTheme="majorHAnsi" w:cstheme="majorHAnsi"/>
              </w:rPr>
              <w:t xml:space="preserve">echnical </w:t>
            </w:r>
            <w:r w:rsidRPr="00D87CCD">
              <w:rPr>
                <w:rFonts w:asciiTheme="majorHAnsi" w:hAnsiTheme="majorHAnsi" w:cstheme="majorHAnsi"/>
              </w:rPr>
              <w:t>A</w:t>
            </w:r>
            <w:r w:rsidR="00E0344E" w:rsidRPr="00D87CCD">
              <w:rPr>
                <w:rFonts w:asciiTheme="majorHAnsi" w:hAnsiTheme="majorHAnsi" w:cstheme="majorHAnsi"/>
              </w:rPr>
              <w:t>ssistance</w:t>
            </w:r>
            <w:r w:rsidR="00D0095D" w:rsidRPr="00D87CCD">
              <w:rPr>
                <w:rFonts w:asciiTheme="majorHAnsi" w:hAnsiTheme="majorHAnsi" w:cstheme="majorHAnsi"/>
              </w:rPr>
              <w:t xml:space="preserve"> in LTBI: International</w:t>
            </w:r>
            <w:r w:rsidR="00E0344E" w:rsidRPr="00D87CCD">
              <w:rPr>
                <w:rFonts w:asciiTheme="majorHAnsi" w:hAnsiTheme="majorHAnsi" w:cstheme="majorHAnsi"/>
              </w:rPr>
              <w:t xml:space="preserve"> Consultant </w:t>
            </w:r>
            <w:r w:rsidR="00D0095D" w:rsidRPr="00D87CCD">
              <w:rPr>
                <w:rFonts w:asciiTheme="majorHAnsi" w:hAnsiTheme="majorHAnsi" w:cstheme="majorHAnsi"/>
              </w:rPr>
              <w:t xml:space="preserve">(IC) </w:t>
            </w:r>
            <w:r w:rsidR="00E0344E" w:rsidRPr="00D87CCD">
              <w:rPr>
                <w:rFonts w:asciiTheme="majorHAnsi" w:hAnsiTheme="majorHAnsi" w:cstheme="majorHAnsi"/>
              </w:rPr>
              <w:t>in</w:t>
            </w:r>
            <w:r w:rsidRPr="00D87CCD">
              <w:rPr>
                <w:rFonts w:asciiTheme="majorHAnsi" w:hAnsiTheme="majorHAnsi" w:cstheme="majorHAnsi"/>
              </w:rPr>
              <w:t xml:space="preserve"> support in </w:t>
            </w:r>
            <w:r w:rsidR="00E0344E" w:rsidRPr="00D87CCD">
              <w:rPr>
                <w:rFonts w:asciiTheme="majorHAnsi" w:hAnsiTheme="majorHAnsi" w:cstheme="majorHAnsi"/>
              </w:rPr>
              <w:t>to</w:t>
            </w:r>
            <w:r w:rsidRPr="00D87CCD">
              <w:rPr>
                <w:rFonts w:asciiTheme="majorHAnsi" w:hAnsiTheme="majorHAnsi" w:cstheme="majorHAnsi"/>
              </w:rPr>
              <w:t xml:space="preserve"> LTBI diagnosis and treatment activities</w:t>
            </w:r>
            <w:r w:rsidR="00E0344E" w:rsidRPr="00D87CCD">
              <w:rPr>
                <w:rFonts w:asciiTheme="majorHAnsi" w:hAnsiTheme="majorHAnsi" w:cstheme="majorHAnsi"/>
              </w:rPr>
              <w:t xml:space="preserve"> implementation</w:t>
            </w:r>
            <w:r w:rsidRPr="00D87CCD">
              <w:rPr>
                <w:rFonts w:asciiTheme="majorHAnsi" w:hAnsiTheme="majorHAnsi" w:cstheme="majorHAnsi"/>
              </w:rPr>
              <w:t xml:space="preserve"> </w:t>
            </w:r>
          </w:p>
          <w:p w14:paraId="1C4717AD" w14:textId="77777777" w:rsidR="00525A76" w:rsidRPr="00D87CCD" w:rsidRDefault="00525A76" w:rsidP="00D87CCD">
            <w:pPr>
              <w:spacing w:after="0" w:line="240" w:lineRule="auto"/>
              <w:ind w:left="720"/>
              <w:contextualSpacing/>
              <w:jc w:val="both"/>
              <w:rPr>
                <w:rFonts w:asciiTheme="majorHAnsi" w:hAnsiTheme="majorHAnsi" w:cstheme="majorHAnsi"/>
              </w:rPr>
            </w:pPr>
          </w:p>
          <w:p w14:paraId="5B787AA4" w14:textId="25BAD3E0" w:rsidR="001D7C8B" w:rsidRPr="00D87CCD" w:rsidRDefault="001D7C8B" w:rsidP="00D87CCD">
            <w:pPr>
              <w:spacing w:after="0" w:line="240" w:lineRule="auto"/>
              <w:jc w:val="both"/>
              <w:rPr>
                <w:rFonts w:asciiTheme="majorHAnsi" w:hAnsiTheme="majorHAnsi" w:cstheme="majorHAnsi"/>
              </w:rPr>
            </w:pPr>
            <w:r w:rsidRPr="00D87CCD">
              <w:rPr>
                <w:rFonts w:asciiTheme="majorHAnsi" w:hAnsiTheme="majorHAnsi" w:cstheme="majorHAnsi"/>
              </w:rPr>
              <w:t>The GF support is requested to contract an external consultant to provide online support to the NTP and the local consultant to implement the WHO latest recommendations on managing latent tuberculosis infection. Also, a five-day mission of IC is planned to monitor the implementation of the LTBI diagnosis, conduct training</w:t>
            </w:r>
            <w:r w:rsidR="00F54062" w:rsidRPr="00D87CCD">
              <w:rPr>
                <w:rFonts w:asciiTheme="majorHAnsi" w:hAnsiTheme="majorHAnsi" w:cstheme="majorHAnsi"/>
              </w:rPr>
              <w:t xml:space="preserve"> on</w:t>
            </w:r>
            <w:r w:rsidRPr="00D87CCD">
              <w:rPr>
                <w:rFonts w:asciiTheme="majorHAnsi" w:hAnsiTheme="majorHAnsi" w:cstheme="majorHAnsi"/>
              </w:rPr>
              <w:t xml:space="preserve"> </w:t>
            </w:r>
            <w:r w:rsidR="00E84BB7" w:rsidRPr="00D87CCD">
              <w:rPr>
                <w:rFonts w:asciiTheme="majorHAnsi" w:hAnsiTheme="majorHAnsi" w:cstheme="majorHAnsi"/>
              </w:rPr>
              <w:t>TB preventive treatment (TPT)</w:t>
            </w:r>
            <w:r w:rsidRPr="00D87CCD">
              <w:rPr>
                <w:rFonts w:asciiTheme="majorHAnsi" w:hAnsiTheme="majorHAnsi" w:cstheme="majorHAnsi"/>
              </w:rPr>
              <w:t xml:space="preserve"> for </w:t>
            </w:r>
            <w:r w:rsidR="00222F1D" w:rsidRPr="00D87CCD">
              <w:rPr>
                <w:rFonts w:asciiTheme="majorHAnsi" w:hAnsiTheme="majorHAnsi" w:cstheme="majorHAnsi"/>
              </w:rPr>
              <w:t xml:space="preserve">the </w:t>
            </w:r>
            <w:r w:rsidRPr="00D87CCD">
              <w:rPr>
                <w:rFonts w:asciiTheme="majorHAnsi" w:hAnsiTheme="majorHAnsi" w:cstheme="majorHAnsi"/>
              </w:rPr>
              <w:t>personnel</w:t>
            </w:r>
            <w:r w:rsidR="00222F1D" w:rsidRPr="00D87CCD">
              <w:rPr>
                <w:rFonts w:asciiTheme="majorHAnsi" w:hAnsiTheme="majorHAnsi" w:cstheme="majorHAnsi"/>
              </w:rPr>
              <w:t xml:space="preserve"> from regions</w:t>
            </w:r>
            <w:r w:rsidRPr="00D87CCD">
              <w:rPr>
                <w:rFonts w:asciiTheme="majorHAnsi" w:hAnsiTheme="majorHAnsi" w:cstheme="majorHAnsi"/>
              </w:rPr>
              <w:t>, and advise on recommendations to enhance LTBI country response. The support is envisaged for the first year of the grant implementation.</w:t>
            </w:r>
          </w:p>
          <w:p w14:paraId="0CAD70D4" w14:textId="77777777" w:rsidR="00525A76" w:rsidRPr="00D87CCD" w:rsidRDefault="00525A76" w:rsidP="00D87CCD">
            <w:pPr>
              <w:spacing w:after="0" w:line="240" w:lineRule="auto"/>
              <w:ind w:left="720"/>
              <w:contextualSpacing/>
              <w:jc w:val="both"/>
              <w:rPr>
                <w:rFonts w:asciiTheme="majorHAnsi" w:hAnsiTheme="majorHAnsi" w:cstheme="majorHAnsi"/>
              </w:rPr>
            </w:pPr>
          </w:p>
          <w:p w14:paraId="74CE2830" w14:textId="0FA93A7B" w:rsidR="00525A76" w:rsidRPr="00D87CCD" w:rsidRDefault="00BB2141" w:rsidP="006A0E08">
            <w:pPr>
              <w:numPr>
                <w:ilvl w:val="2"/>
                <w:numId w:val="32"/>
              </w:numPr>
              <w:spacing w:after="0" w:line="240" w:lineRule="auto"/>
              <w:contextualSpacing/>
              <w:jc w:val="both"/>
              <w:rPr>
                <w:rFonts w:asciiTheme="majorHAnsi" w:hAnsiTheme="majorHAnsi" w:cstheme="majorHAnsi"/>
              </w:rPr>
            </w:pPr>
            <w:r w:rsidRPr="00D87CCD">
              <w:rPr>
                <w:rFonts w:asciiTheme="majorHAnsi" w:hAnsiTheme="majorHAnsi" w:cstheme="majorHAnsi"/>
              </w:rPr>
              <w:t>ToT and on-line training sessions</w:t>
            </w:r>
            <w:r w:rsidR="00525A76" w:rsidRPr="00D87CCD">
              <w:rPr>
                <w:rFonts w:asciiTheme="majorHAnsi" w:hAnsiTheme="majorHAnsi" w:cstheme="majorHAnsi"/>
              </w:rPr>
              <w:t xml:space="preserve"> on LTBI diagnosis and treatment</w:t>
            </w:r>
          </w:p>
          <w:p w14:paraId="23E8BBF7" w14:textId="77777777" w:rsidR="00525A76" w:rsidRPr="00D87CCD" w:rsidRDefault="00525A76" w:rsidP="00D87CCD">
            <w:pPr>
              <w:spacing w:after="0" w:line="240" w:lineRule="auto"/>
              <w:jc w:val="both"/>
              <w:rPr>
                <w:rFonts w:asciiTheme="majorHAnsi" w:hAnsiTheme="majorHAnsi" w:cstheme="majorHAnsi"/>
              </w:rPr>
            </w:pPr>
          </w:p>
          <w:p w14:paraId="7B0552EC" w14:textId="6B4CF5E3" w:rsidR="000F3267" w:rsidRPr="00D87CCD" w:rsidRDefault="00C373B8" w:rsidP="00D87CCD">
            <w:pPr>
              <w:spacing w:after="0" w:line="240" w:lineRule="auto"/>
              <w:jc w:val="both"/>
              <w:rPr>
                <w:rFonts w:asciiTheme="majorHAnsi" w:hAnsiTheme="majorHAnsi" w:cstheme="majorHAnsi"/>
              </w:rPr>
            </w:pPr>
            <w:r w:rsidRPr="00D87CCD">
              <w:rPr>
                <w:rFonts w:asciiTheme="majorHAnsi" w:hAnsiTheme="majorHAnsi" w:cstheme="majorHAnsi"/>
              </w:rPr>
              <w:t>To strengthen the HRH capacitie</w:t>
            </w:r>
            <w:r w:rsidR="00252A59">
              <w:rPr>
                <w:rFonts w:asciiTheme="majorHAnsi" w:hAnsiTheme="majorHAnsi" w:cstheme="majorHAnsi"/>
              </w:rPr>
              <w:t>s, the grant funds will assist</w:t>
            </w:r>
            <w:r w:rsidRPr="00D87CCD">
              <w:rPr>
                <w:rFonts w:asciiTheme="majorHAnsi" w:hAnsiTheme="majorHAnsi" w:cstheme="majorHAnsi"/>
              </w:rPr>
              <w:t xml:space="preserve"> training-of-trainers (ToT) sessions that will be organized by the NSCP for the regional and cities TB Centers’ staff in the application of updated LTBI diagnosis and treatment guide. The trainers will further conduct </w:t>
            </w:r>
            <w:r w:rsidR="00E777D7" w:rsidRPr="00D87CCD">
              <w:rPr>
                <w:rFonts w:asciiTheme="majorHAnsi" w:hAnsiTheme="majorHAnsi" w:cstheme="majorHAnsi"/>
              </w:rPr>
              <w:t>cascade trainings</w:t>
            </w:r>
            <w:r w:rsidRPr="00D87CCD">
              <w:rPr>
                <w:rFonts w:asciiTheme="majorHAnsi" w:hAnsiTheme="majorHAnsi" w:cstheme="majorHAnsi"/>
              </w:rPr>
              <w:t xml:space="preserve"> for the personnel in their respective regions. </w:t>
            </w:r>
            <w:proofErr w:type="gramStart"/>
            <w:r w:rsidRPr="00D87CCD">
              <w:rPr>
                <w:rFonts w:asciiTheme="majorHAnsi" w:hAnsiTheme="majorHAnsi" w:cstheme="majorHAnsi"/>
              </w:rPr>
              <w:t>It</w:t>
            </w:r>
            <w:proofErr w:type="gramEnd"/>
            <w:r w:rsidRPr="00D87CCD">
              <w:rPr>
                <w:rFonts w:asciiTheme="majorHAnsi" w:hAnsiTheme="majorHAnsi" w:cstheme="majorHAnsi"/>
              </w:rPr>
              <w:t xml:space="preserve"> s planned to conduct a ToT event at the central and 17 ToT sessions at regional levels during the first year of the grant. Furthermore, durin</w:t>
            </w:r>
            <w:r w:rsidR="00881628" w:rsidRPr="00D87CCD">
              <w:rPr>
                <w:rFonts w:asciiTheme="majorHAnsi" w:hAnsiTheme="majorHAnsi" w:cstheme="majorHAnsi"/>
              </w:rPr>
              <w:t xml:space="preserve">g the first year of the grant, </w:t>
            </w:r>
            <w:r w:rsidRPr="00D87CCD">
              <w:rPr>
                <w:rFonts w:asciiTheme="majorHAnsi" w:hAnsiTheme="majorHAnsi" w:cstheme="majorHAnsi"/>
              </w:rPr>
              <w:t>two new 40 hours of training modules related to LTBI management will be elaborated for the NSCP’s e-Learning platform in Russian and Kazakh, and 400 students will receive online training during the second year of the grant implementation</w:t>
            </w:r>
            <w:r w:rsidR="00D87CCD">
              <w:rPr>
                <w:rFonts w:asciiTheme="majorHAnsi" w:hAnsiTheme="majorHAnsi" w:cstheme="majorHAnsi"/>
              </w:rPr>
              <w:t>.</w:t>
            </w:r>
          </w:p>
          <w:p w14:paraId="0EC2F624" w14:textId="3027C52B" w:rsidR="00C373B8" w:rsidRPr="00D87CCD" w:rsidRDefault="00C373B8" w:rsidP="00D87CCD">
            <w:pPr>
              <w:spacing w:after="0" w:line="240" w:lineRule="auto"/>
              <w:jc w:val="both"/>
              <w:rPr>
                <w:rFonts w:asciiTheme="majorHAnsi" w:hAnsiTheme="majorHAnsi" w:cstheme="majorHAnsi"/>
              </w:rPr>
            </w:pPr>
          </w:p>
          <w:p w14:paraId="4E978E6F" w14:textId="25C869F1" w:rsidR="00525A76" w:rsidRPr="00D87CCD" w:rsidRDefault="00525A76" w:rsidP="006A0E08">
            <w:pPr>
              <w:numPr>
                <w:ilvl w:val="2"/>
                <w:numId w:val="32"/>
              </w:numPr>
              <w:spacing w:after="0" w:line="240" w:lineRule="auto"/>
              <w:contextualSpacing/>
              <w:jc w:val="both"/>
              <w:rPr>
                <w:rFonts w:asciiTheme="majorHAnsi" w:hAnsiTheme="majorHAnsi" w:cstheme="majorHAnsi"/>
              </w:rPr>
            </w:pPr>
            <w:r w:rsidRPr="00D87CCD">
              <w:rPr>
                <w:rFonts w:asciiTheme="majorHAnsi" w:hAnsiTheme="majorHAnsi" w:cstheme="majorHAnsi"/>
              </w:rPr>
              <w:t>ELISA systems</w:t>
            </w:r>
            <w:r w:rsidR="00807A9F" w:rsidRPr="00D87CCD">
              <w:rPr>
                <w:rFonts w:asciiTheme="majorHAnsi" w:hAnsiTheme="majorHAnsi" w:cstheme="majorHAnsi"/>
              </w:rPr>
              <w:t xml:space="preserve"> procurement</w:t>
            </w:r>
          </w:p>
          <w:p w14:paraId="3A3E94AB" w14:textId="77777777" w:rsidR="00790D33" w:rsidRPr="00D87CCD" w:rsidRDefault="00790D33" w:rsidP="00D87CCD">
            <w:pPr>
              <w:spacing w:after="0" w:line="240" w:lineRule="auto"/>
              <w:contextualSpacing/>
              <w:jc w:val="both"/>
              <w:rPr>
                <w:rFonts w:asciiTheme="majorHAnsi" w:hAnsiTheme="majorHAnsi" w:cstheme="majorHAnsi"/>
              </w:rPr>
            </w:pPr>
          </w:p>
          <w:p w14:paraId="3F1E8746" w14:textId="42FD18CC" w:rsidR="0083459F" w:rsidRPr="00D87CCD" w:rsidRDefault="0083459F" w:rsidP="00D87CCD">
            <w:pPr>
              <w:spacing w:after="0" w:line="240" w:lineRule="auto"/>
              <w:jc w:val="both"/>
              <w:rPr>
                <w:rFonts w:asciiTheme="majorHAnsi" w:hAnsiTheme="majorHAnsi" w:cstheme="majorHAnsi"/>
              </w:rPr>
            </w:pPr>
            <w:r w:rsidRPr="00D87CCD">
              <w:rPr>
                <w:rFonts w:asciiTheme="majorHAnsi" w:hAnsiTheme="majorHAnsi" w:cstheme="majorHAnsi"/>
              </w:rPr>
              <w:t xml:space="preserve">Eighteen sets of ELISA systems will be purchased from the requested funds to strengthen the diagnostic capacities of the regional TB Centers in LTBI diagnostics, enabling performing the IGRA tests at the regional level.  </w:t>
            </w:r>
          </w:p>
          <w:p w14:paraId="55517497" w14:textId="77777777" w:rsidR="000F3267" w:rsidRPr="00D87CCD" w:rsidRDefault="000F3267" w:rsidP="00D87CCD">
            <w:pPr>
              <w:spacing w:after="0" w:line="240" w:lineRule="auto"/>
              <w:jc w:val="both"/>
              <w:rPr>
                <w:rFonts w:asciiTheme="majorHAnsi" w:hAnsiTheme="majorHAnsi" w:cstheme="majorHAnsi"/>
              </w:rPr>
            </w:pPr>
          </w:p>
          <w:p w14:paraId="4F6D1225" w14:textId="28F80499" w:rsidR="00525A76" w:rsidRPr="00D87CCD" w:rsidRDefault="00525A76" w:rsidP="006A0E08">
            <w:pPr>
              <w:numPr>
                <w:ilvl w:val="2"/>
                <w:numId w:val="32"/>
              </w:numPr>
              <w:spacing w:after="0" w:line="240" w:lineRule="auto"/>
              <w:contextualSpacing/>
              <w:jc w:val="both"/>
              <w:rPr>
                <w:rFonts w:asciiTheme="majorHAnsi" w:hAnsiTheme="majorHAnsi" w:cstheme="majorHAnsi"/>
              </w:rPr>
            </w:pPr>
            <w:r w:rsidRPr="00D87CCD">
              <w:rPr>
                <w:rFonts w:asciiTheme="majorHAnsi" w:hAnsiTheme="majorHAnsi" w:cstheme="majorHAnsi"/>
              </w:rPr>
              <w:t xml:space="preserve">Procurement of the </w:t>
            </w:r>
            <w:r w:rsidR="00CB52EB" w:rsidRPr="00D87CCD">
              <w:rPr>
                <w:rFonts w:asciiTheme="majorHAnsi" w:hAnsiTheme="majorHAnsi" w:cstheme="majorHAnsi"/>
              </w:rPr>
              <w:t>Quanti</w:t>
            </w:r>
            <w:r w:rsidRPr="00D87CCD">
              <w:rPr>
                <w:rFonts w:asciiTheme="majorHAnsi" w:hAnsiTheme="majorHAnsi" w:cstheme="majorHAnsi"/>
              </w:rPr>
              <w:t>FERON-TB G</w:t>
            </w:r>
            <w:r w:rsidR="00CB52EB" w:rsidRPr="00D87CCD">
              <w:rPr>
                <w:rFonts w:asciiTheme="majorHAnsi" w:hAnsiTheme="majorHAnsi" w:cstheme="majorHAnsi"/>
              </w:rPr>
              <w:t>old Plus</w:t>
            </w:r>
            <w:r w:rsidRPr="00D87CCD">
              <w:rPr>
                <w:rFonts w:asciiTheme="majorHAnsi" w:hAnsiTheme="majorHAnsi" w:cstheme="majorHAnsi"/>
              </w:rPr>
              <w:t xml:space="preserve"> (QFT-PLUS) tests</w:t>
            </w:r>
          </w:p>
          <w:p w14:paraId="38BAEC17" w14:textId="77777777" w:rsidR="001A7668" w:rsidRPr="00D87CCD" w:rsidRDefault="001A7668" w:rsidP="00D87CCD">
            <w:pPr>
              <w:spacing w:after="0" w:line="240" w:lineRule="auto"/>
              <w:contextualSpacing/>
              <w:jc w:val="both"/>
              <w:rPr>
                <w:rFonts w:asciiTheme="majorHAnsi" w:hAnsiTheme="majorHAnsi" w:cstheme="majorHAnsi"/>
              </w:rPr>
            </w:pPr>
          </w:p>
          <w:p w14:paraId="7B9D7B3D" w14:textId="02AD121F" w:rsidR="00525A76" w:rsidRPr="00D87CCD" w:rsidRDefault="00370DF3" w:rsidP="00D87CCD">
            <w:pPr>
              <w:spacing w:after="0" w:line="240" w:lineRule="auto"/>
              <w:jc w:val="both"/>
              <w:rPr>
                <w:rFonts w:asciiTheme="majorHAnsi" w:hAnsiTheme="majorHAnsi" w:cstheme="majorHAnsi"/>
              </w:rPr>
            </w:pPr>
            <w:r w:rsidRPr="00D87CCD">
              <w:rPr>
                <w:rFonts w:asciiTheme="majorHAnsi" w:hAnsiTheme="majorHAnsi" w:cstheme="majorHAnsi"/>
              </w:rPr>
              <w:t>The procurement of the QuantiFERON-TB Gold Plus (QFT-PLUS) tests kit through the GDF platform is expected for testing approximately 20% of contacts of the TB patients using ELISA equipment. This forms 5,000-6,000 people annually from the estimated 26,000-30,000 contacts of TB patients. The tests procurement is scheduled for the first two years under the base allocation portion and the PAAR budget for the last year of the project. The country will ensure take-over of the procurement for years to be followed from the local funds.</w:t>
            </w:r>
          </w:p>
          <w:p w14:paraId="449CD1BB" w14:textId="77777777" w:rsidR="00D82B78" w:rsidRPr="00D87CCD" w:rsidRDefault="00D82B78" w:rsidP="00D87CCD">
            <w:pPr>
              <w:spacing w:after="0" w:line="240" w:lineRule="auto"/>
              <w:jc w:val="both"/>
              <w:rPr>
                <w:rFonts w:asciiTheme="majorHAnsi" w:hAnsiTheme="majorHAnsi" w:cstheme="majorHAnsi"/>
              </w:rPr>
            </w:pPr>
          </w:p>
          <w:p w14:paraId="54AD149D" w14:textId="4B9588CA" w:rsidR="00525A76" w:rsidRPr="00D87CCD" w:rsidRDefault="00525A76" w:rsidP="006A0E08">
            <w:pPr>
              <w:numPr>
                <w:ilvl w:val="2"/>
                <w:numId w:val="32"/>
              </w:numPr>
              <w:spacing w:after="0" w:line="240" w:lineRule="auto"/>
              <w:contextualSpacing/>
              <w:jc w:val="both"/>
              <w:rPr>
                <w:rFonts w:asciiTheme="majorHAnsi" w:hAnsiTheme="majorHAnsi" w:cstheme="majorHAnsi"/>
              </w:rPr>
            </w:pPr>
            <w:r w:rsidRPr="00D87CCD">
              <w:rPr>
                <w:rFonts w:asciiTheme="majorHAnsi" w:hAnsiTheme="majorHAnsi" w:cstheme="majorHAnsi"/>
              </w:rPr>
              <w:t xml:space="preserve">Procurement of drugs for </w:t>
            </w:r>
            <w:r w:rsidR="001C470A" w:rsidRPr="00D87CCD">
              <w:rPr>
                <w:rFonts w:asciiTheme="majorHAnsi" w:hAnsiTheme="majorHAnsi" w:cstheme="majorHAnsi"/>
              </w:rPr>
              <w:t xml:space="preserve">TB </w:t>
            </w:r>
            <w:r w:rsidRPr="00D87CCD">
              <w:rPr>
                <w:rFonts w:asciiTheme="majorHAnsi" w:hAnsiTheme="majorHAnsi" w:cstheme="majorHAnsi"/>
              </w:rPr>
              <w:t>preventive treatment</w:t>
            </w:r>
          </w:p>
          <w:p w14:paraId="42AD98C1" w14:textId="77777777" w:rsidR="001A7668" w:rsidRPr="00D87CCD" w:rsidRDefault="001A7668" w:rsidP="00D87CCD">
            <w:pPr>
              <w:spacing w:after="0" w:line="240" w:lineRule="auto"/>
              <w:contextualSpacing/>
              <w:jc w:val="both"/>
              <w:rPr>
                <w:rFonts w:asciiTheme="majorHAnsi" w:hAnsiTheme="majorHAnsi" w:cstheme="majorHAnsi"/>
              </w:rPr>
            </w:pPr>
          </w:p>
          <w:p w14:paraId="4FC47297" w14:textId="77777777" w:rsidR="00252A59" w:rsidRDefault="006505B2" w:rsidP="00D87CCD">
            <w:pPr>
              <w:spacing w:after="0" w:line="240" w:lineRule="auto"/>
              <w:jc w:val="both"/>
              <w:rPr>
                <w:rFonts w:asciiTheme="majorHAnsi" w:hAnsiTheme="majorHAnsi" w:cstheme="majorHAnsi"/>
              </w:rPr>
            </w:pPr>
            <w:r w:rsidRPr="00D87CCD">
              <w:rPr>
                <w:rFonts w:asciiTheme="majorHAnsi" w:hAnsiTheme="majorHAnsi" w:cstheme="majorHAnsi"/>
              </w:rPr>
              <w:t xml:space="preserve">The country is planning to introduce </w:t>
            </w:r>
            <w:proofErr w:type="gramStart"/>
            <w:r w:rsidRPr="00D87CCD">
              <w:rPr>
                <w:rFonts w:asciiTheme="majorHAnsi" w:hAnsiTheme="majorHAnsi" w:cstheme="majorHAnsi"/>
              </w:rPr>
              <w:t>new short</w:t>
            </w:r>
            <w:proofErr w:type="gramEnd"/>
            <w:r w:rsidRPr="00D87CCD">
              <w:rPr>
                <w:rFonts w:asciiTheme="majorHAnsi" w:hAnsiTheme="majorHAnsi" w:cstheme="majorHAnsi"/>
              </w:rPr>
              <w:t xml:space="preserve"> regimens for the TPT. The support of the GF grant is r</w:t>
            </w:r>
            <w:r w:rsidR="0014778E" w:rsidRPr="00D87CCD">
              <w:rPr>
                <w:rFonts w:asciiTheme="majorHAnsi" w:hAnsiTheme="majorHAnsi" w:cstheme="majorHAnsi"/>
              </w:rPr>
              <w:t>equested for procurement of the</w:t>
            </w:r>
            <w:r w:rsidR="00B71B2E" w:rsidRPr="00D87CCD">
              <w:rPr>
                <w:rFonts w:asciiTheme="majorHAnsi" w:hAnsiTheme="majorHAnsi" w:cstheme="majorHAnsi"/>
              </w:rPr>
              <w:t xml:space="preserve"> pediatric dispersible fix-dose-combination for</w:t>
            </w:r>
            <w:r w:rsidRPr="00D87CCD">
              <w:rPr>
                <w:rFonts w:asciiTheme="majorHAnsi" w:hAnsiTheme="majorHAnsi" w:cstheme="majorHAnsi"/>
              </w:rPr>
              <w:t xml:space="preserve"> RH, and Isoniazid and Rifapentine for the administration of TB preventive treatment for children and adults following the latest WHO LTBI preventive treatment guideline. The procurement will be made annually through the GDF procurement channel during the first two years of the grant from the base allocation portion and under the PAAR budget in the last year of the project. </w:t>
            </w:r>
          </w:p>
          <w:p w14:paraId="7490F230" w14:textId="77777777" w:rsidR="00252A59" w:rsidRDefault="00252A59" w:rsidP="00D87CCD">
            <w:pPr>
              <w:spacing w:after="0" w:line="240" w:lineRule="auto"/>
              <w:jc w:val="both"/>
              <w:rPr>
                <w:rFonts w:asciiTheme="majorHAnsi" w:hAnsiTheme="majorHAnsi" w:cstheme="majorHAnsi"/>
              </w:rPr>
            </w:pPr>
          </w:p>
          <w:p w14:paraId="7BE60B30" w14:textId="3E6CF21C" w:rsidR="00D46946" w:rsidRDefault="006505B2" w:rsidP="00D87CCD">
            <w:pPr>
              <w:spacing w:after="0" w:line="240" w:lineRule="auto"/>
              <w:jc w:val="both"/>
              <w:rPr>
                <w:rFonts w:asciiTheme="majorHAnsi" w:hAnsiTheme="majorHAnsi" w:cstheme="majorHAnsi"/>
              </w:rPr>
            </w:pPr>
            <w:r w:rsidRPr="00D87CCD">
              <w:rPr>
                <w:rFonts w:asciiTheme="majorHAnsi" w:hAnsiTheme="majorHAnsi" w:cstheme="majorHAnsi"/>
              </w:rPr>
              <w:t>We expect</w:t>
            </w:r>
            <w:r w:rsidR="00CB467A" w:rsidRPr="00D87CCD">
              <w:rPr>
                <w:rFonts w:asciiTheme="majorHAnsi" w:hAnsiTheme="majorHAnsi" w:cstheme="majorHAnsi"/>
              </w:rPr>
              <w:t xml:space="preserve"> to cover annually with TPT </w:t>
            </w:r>
            <w:r w:rsidRPr="00D87CCD">
              <w:rPr>
                <w:rFonts w:asciiTheme="majorHAnsi" w:hAnsiTheme="majorHAnsi" w:cstheme="majorHAnsi"/>
              </w:rPr>
              <w:t xml:space="preserve">500 </w:t>
            </w:r>
            <w:r w:rsidR="00CB467A" w:rsidRPr="00D87CCD">
              <w:rPr>
                <w:rFonts w:asciiTheme="majorHAnsi" w:hAnsiTheme="majorHAnsi" w:cstheme="majorHAnsi"/>
              </w:rPr>
              <w:t>pediatric patients with child</w:t>
            </w:r>
            <w:r w:rsidRPr="00D87CCD">
              <w:rPr>
                <w:rFonts w:asciiTheme="majorHAnsi" w:hAnsiTheme="majorHAnsi" w:cstheme="majorHAnsi"/>
              </w:rPr>
              <w:t>-friendly formulations of TB drugs</w:t>
            </w:r>
            <w:r w:rsidR="00CB467A" w:rsidRPr="00D87CCD">
              <w:rPr>
                <w:rFonts w:asciiTheme="majorHAnsi" w:hAnsiTheme="majorHAnsi" w:cstheme="majorHAnsi"/>
              </w:rPr>
              <w:t xml:space="preserve">; and </w:t>
            </w:r>
            <w:r w:rsidRPr="00D87CCD">
              <w:rPr>
                <w:rFonts w:asciiTheme="majorHAnsi" w:hAnsiTheme="majorHAnsi" w:cstheme="majorHAnsi"/>
              </w:rPr>
              <w:t xml:space="preserve">around 2,300 children, adolescents, and adults </w:t>
            </w:r>
            <w:r w:rsidR="00CB467A" w:rsidRPr="00D87CCD">
              <w:rPr>
                <w:rFonts w:asciiTheme="majorHAnsi" w:hAnsiTheme="majorHAnsi" w:cstheme="majorHAnsi"/>
              </w:rPr>
              <w:t xml:space="preserve">undergo therapy </w:t>
            </w:r>
            <w:r w:rsidRPr="00D87CCD">
              <w:rPr>
                <w:rFonts w:asciiTheme="majorHAnsi" w:hAnsiTheme="majorHAnsi" w:cstheme="majorHAnsi"/>
              </w:rPr>
              <w:t>with Rifapentine-based regimen.</w:t>
            </w:r>
          </w:p>
          <w:p w14:paraId="77A8095B" w14:textId="77777777" w:rsidR="00252A59" w:rsidRPr="00D87CCD" w:rsidRDefault="00252A59" w:rsidP="00D87CCD">
            <w:pPr>
              <w:spacing w:after="0" w:line="240" w:lineRule="auto"/>
              <w:jc w:val="both"/>
              <w:rPr>
                <w:rFonts w:asciiTheme="majorHAnsi" w:hAnsiTheme="majorHAnsi" w:cstheme="majorHAnsi"/>
              </w:rPr>
            </w:pPr>
          </w:p>
          <w:p w14:paraId="30F2957B" w14:textId="77777777" w:rsidR="000F3267" w:rsidRPr="00D87CCD" w:rsidRDefault="000F3267" w:rsidP="00D87CCD">
            <w:pPr>
              <w:spacing w:after="0" w:line="240" w:lineRule="auto"/>
              <w:jc w:val="both"/>
              <w:rPr>
                <w:rFonts w:asciiTheme="majorHAnsi" w:hAnsiTheme="majorHAnsi" w:cstheme="majorHAnsi"/>
              </w:rPr>
            </w:pPr>
          </w:p>
          <w:p w14:paraId="5E9B1705" w14:textId="624493C6" w:rsidR="00525A76" w:rsidRPr="00D87CCD" w:rsidRDefault="00525A76" w:rsidP="00D87CCD">
            <w:pPr>
              <w:spacing w:after="0" w:line="240" w:lineRule="auto"/>
              <w:jc w:val="both"/>
              <w:rPr>
                <w:rFonts w:asciiTheme="majorHAnsi" w:hAnsiTheme="majorHAnsi" w:cstheme="majorHAnsi"/>
                <w:i/>
              </w:rPr>
            </w:pPr>
            <w:r w:rsidRPr="00D87CCD">
              <w:rPr>
                <w:rFonts w:asciiTheme="majorHAnsi" w:hAnsiTheme="majorHAnsi" w:cstheme="majorHAnsi"/>
                <w:i/>
              </w:rPr>
              <w:t>Intervention: Community TB care delivery</w:t>
            </w:r>
          </w:p>
          <w:p w14:paraId="77D01C71" w14:textId="77777777" w:rsidR="001A7668" w:rsidRPr="00D87CCD" w:rsidRDefault="001A7668" w:rsidP="00D87CCD">
            <w:pPr>
              <w:spacing w:after="0" w:line="240" w:lineRule="auto"/>
              <w:jc w:val="both"/>
              <w:rPr>
                <w:rFonts w:asciiTheme="majorHAnsi" w:hAnsiTheme="majorHAnsi" w:cstheme="majorHAnsi"/>
                <w:i/>
              </w:rPr>
            </w:pPr>
          </w:p>
          <w:p w14:paraId="65DA13B3" w14:textId="79916F84" w:rsidR="00525A76" w:rsidRDefault="00525A76" w:rsidP="00D87CCD">
            <w:pPr>
              <w:spacing w:after="0" w:line="240" w:lineRule="auto"/>
              <w:jc w:val="both"/>
              <w:rPr>
                <w:rFonts w:asciiTheme="majorHAnsi" w:hAnsiTheme="majorHAnsi" w:cstheme="majorHAnsi"/>
              </w:rPr>
            </w:pPr>
            <w:r w:rsidRPr="00D87CCD">
              <w:rPr>
                <w:rFonts w:asciiTheme="majorHAnsi" w:hAnsiTheme="majorHAnsi" w:cstheme="majorHAnsi"/>
              </w:rPr>
              <w:t>Activities:</w:t>
            </w:r>
          </w:p>
          <w:p w14:paraId="75B0E3BE" w14:textId="77777777" w:rsidR="00D87CCD" w:rsidRPr="00D87CCD" w:rsidRDefault="00D87CCD" w:rsidP="00D87CCD">
            <w:pPr>
              <w:spacing w:after="0" w:line="240" w:lineRule="auto"/>
              <w:jc w:val="both"/>
              <w:rPr>
                <w:rFonts w:asciiTheme="majorHAnsi" w:hAnsiTheme="majorHAnsi" w:cstheme="majorHAnsi"/>
              </w:rPr>
            </w:pPr>
          </w:p>
          <w:p w14:paraId="046D5A26" w14:textId="339D99D0" w:rsidR="00525A76" w:rsidRPr="00D87CCD" w:rsidRDefault="00525A76" w:rsidP="006A0E08">
            <w:pPr>
              <w:numPr>
                <w:ilvl w:val="2"/>
                <w:numId w:val="33"/>
              </w:numPr>
              <w:spacing w:after="0" w:line="240" w:lineRule="auto"/>
              <w:contextualSpacing/>
              <w:jc w:val="both"/>
              <w:rPr>
                <w:rFonts w:asciiTheme="majorHAnsi" w:hAnsiTheme="majorHAnsi" w:cstheme="majorHAnsi"/>
              </w:rPr>
            </w:pPr>
            <w:r w:rsidRPr="00D87CCD">
              <w:rPr>
                <w:rFonts w:asciiTheme="majorHAnsi" w:hAnsiTheme="majorHAnsi" w:cstheme="majorHAnsi"/>
              </w:rPr>
              <w:t xml:space="preserve">NGO grants program </w:t>
            </w:r>
          </w:p>
          <w:p w14:paraId="363D8149" w14:textId="77777777" w:rsidR="00EC4166" w:rsidRPr="00D87CCD" w:rsidRDefault="00EC4166" w:rsidP="00D87CCD">
            <w:pPr>
              <w:spacing w:after="0" w:line="240" w:lineRule="auto"/>
              <w:jc w:val="both"/>
              <w:rPr>
                <w:rFonts w:asciiTheme="majorHAnsi" w:hAnsiTheme="majorHAnsi" w:cstheme="majorHAnsi"/>
                <w:color w:val="000000"/>
              </w:rPr>
            </w:pPr>
          </w:p>
          <w:p w14:paraId="59E3F8B4" w14:textId="2FF50910" w:rsidR="0014330A" w:rsidRDefault="008F3E19" w:rsidP="00D87CCD">
            <w:pPr>
              <w:spacing w:after="0" w:line="240" w:lineRule="auto"/>
              <w:jc w:val="both"/>
              <w:rPr>
                <w:rFonts w:asciiTheme="majorHAnsi" w:hAnsiTheme="majorHAnsi" w:cstheme="majorHAnsi"/>
                <w:color w:val="000000"/>
              </w:rPr>
            </w:pPr>
            <w:r w:rsidRPr="00D87CCD">
              <w:rPr>
                <w:rFonts w:asciiTheme="majorHAnsi" w:hAnsiTheme="majorHAnsi" w:cstheme="majorHAnsi"/>
                <w:color w:val="000000"/>
              </w:rPr>
              <w:t>The new funding</w:t>
            </w:r>
            <w:r w:rsidR="002246F7" w:rsidRPr="00D87CCD">
              <w:rPr>
                <w:rFonts w:asciiTheme="majorHAnsi" w:hAnsiTheme="majorHAnsi" w:cstheme="majorHAnsi"/>
                <w:color w:val="000000"/>
              </w:rPr>
              <w:t xml:space="preserve"> approach will be piloted in contracting with 19 NGOs in the first year the GF grant implementation from base allocation portion and </w:t>
            </w:r>
            <w:r w:rsidR="002C4465" w:rsidRPr="00D87CCD">
              <w:rPr>
                <w:rFonts w:asciiTheme="majorHAnsi" w:hAnsiTheme="majorHAnsi" w:cstheme="majorHAnsi"/>
                <w:color w:val="000000"/>
              </w:rPr>
              <w:t xml:space="preserve">using the funds from PAAR budget for piloting in </w:t>
            </w:r>
            <w:r w:rsidR="00D61372" w:rsidRPr="00D87CCD">
              <w:rPr>
                <w:rFonts w:asciiTheme="majorHAnsi" w:hAnsiTheme="majorHAnsi" w:cstheme="majorHAnsi"/>
                <w:color w:val="000000"/>
              </w:rPr>
              <w:t xml:space="preserve">12 NGOs in the second </w:t>
            </w:r>
            <w:r w:rsidR="002C4465" w:rsidRPr="00D87CCD">
              <w:rPr>
                <w:rFonts w:asciiTheme="majorHAnsi" w:hAnsiTheme="majorHAnsi" w:cstheme="majorHAnsi"/>
                <w:color w:val="000000"/>
              </w:rPr>
              <w:t>and six NGOs</w:t>
            </w:r>
            <w:r w:rsidR="00825607" w:rsidRPr="00D87CCD">
              <w:rPr>
                <w:rFonts w:asciiTheme="majorHAnsi" w:hAnsiTheme="majorHAnsi" w:cstheme="majorHAnsi"/>
                <w:color w:val="000000"/>
              </w:rPr>
              <w:t xml:space="preserve"> for the third years,</w:t>
            </w:r>
            <w:r w:rsidR="00D61372" w:rsidRPr="00D87CCD">
              <w:rPr>
                <w:rFonts w:asciiTheme="majorHAnsi" w:hAnsiTheme="majorHAnsi" w:cstheme="majorHAnsi"/>
                <w:color w:val="000000"/>
              </w:rPr>
              <w:t xml:space="preserve"> </w:t>
            </w:r>
            <w:r w:rsidR="0090607D">
              <w:rPr>
                <w:rFonts w:asciiTheme="majorHAnsi" w:hAnsiTheme="majorHAnsi" w:cstheme="majorHAnsi"/>
                <w:color w:val="000000"/>
              </w:rPr>
              <w:t xml:space="preserve">by </w:t>
            </w:r>
            <w:r w:rsidR="00D61372" w:rsidRPr="00D87CCD">
              <w:rPr>
                <w:rFonts w:asciiTheme="majorHAnsi" w:hAnsiTheme="majorHAnsi" w:cstheme="majorHAnsi"/>
                <w:color w:val="000000"/>
              </w:rPr>
              <w:t>transition</w:t>
            </w:r>
            <w:r w:rsidR="00825607" w:rsidRPr="00D87CCD">
              <w:rPr>
                <w:rFonts w:asciiTheme="majorHAnsi" w:hAnsiTheme="majorHAnsi" w:cstheme="majorHAnsi"/>
                <w:color w:val="000000"/>
              </w:rPr>
              <w:t>ing</w:t>
            </w:r>
            <w:r w:rsidR="00D61372" w:rsidRPr="00D87CCD">
              <w:rPr>
                <w:rFonts w:asciiTheme="majorHAnsi" w:hAnsiTheme="majorHAnsi" w:cstheme="majorHAnsi"/>
                <w:color w:val="000000"/>
              </w:rPr>
              <w:t xml:space="preserve"> to financing from</w:t>
            </w:r>
            <w:r w:rsidR="002C4465" w:rsidRPr="00D87CCD">
              <w:rPr>
                <w:rFonts w:asciiTheme="majorHAnsi" w:hAnsiTheme="majorHAnsi" w:cstheme="majorHAnsi"/>
                <w:color w:val="000000"/>
              </w:rPr>
              <w:t xml:space="preserve"> the local government</w:t>
            </w:r>
            <w:r w:rsidR="00D61372" w:rsidRPr="00D87CCD">
              <w:rPr>
                <w:rFonts w:asciiTheme="majorHAnsi" w:hAnsiTheme="majorHAnsi" w:cstheme="majorHAnsi"/>
                <w:color w:val="000000"/>
              </w:rPr>
              <w:t xml:space="preserve">s </w:t>
            </w:r>
            <w:r w:rsidR="002C4465" w:rsidRPr="00D87CCD">
              <w:rPr>
                <w:rFonts w:asciiTheme="majorHAnsi" w:hAnsiTheme="majorHAnsi" w:cstheme="majorHAnsi"/>
                <w:color w:val="000000"/>
              </w:rPr>
              <w:t xml:space="preserve">for the consequent years. </w:t>
            </w:r>
          </w:p>
          <w:p w14:paraId="5CCFEE47" w14:textId="77777777" w:rsidR="0090607D" w:rsidRPr="00D87CCD" w:rsidRDefault="0090607D" w:rsidP="00D87CCD">
            <w:pPr>
              <w:spacing w:after="0" w:line="240" w:lineRule="auto"/>
              <w:jc w:val="both"/>
              <w:rPr>
                <w:rFonts w:asciiTheme="majorHAnsi" w:hAnsiTheme="majorHAnsi" w:cstheme="majorHAnsi"/>
                <w:color w:val="000000"/>
              </w:rPr>
            </w:pPr>
          </w:p>
          <w:p w14:paraId="6B182154" w14:textId="4DBE274D" w:rsidR="00C5315C" w:rsidRPr="00D87CCD" w:rsidRDefault="001D0DF5" w:rsidP="00D87CCD">
            <w:pPr>
              <w:spacing w:after="0" w:line="240" w:lineRule="auto"/>
              <w:jc w:val="both"/>
              <w:rPr>
                <w:rFonts w:asciiTheme="majorHAnsi" w:hAnsiTheme="majorHAnsi" w:cstheme="majorHAnsi"/>
              </w:rPr>
            </w:pPr>
            <w:r w:rsidRPr="00D87CCD">
              <w:rPr>
                <w:rFonts w:asciiTheme="majorHAnsi" w:hAnsiTheme="majorHAnsi" w:cstheme="majorHAnsi"/>
              </w:rPr>
              <w:t>The NGO grants program</w:t>
            </w:r>
            <w:r w:rsidR="00525A76" w:rsidRPr="00D87CCD">
              <w:rPr>
                <w:rFonts w:asciiTheme="majorHAnsi" w:hAnsiTheme="majorHAnsi" w:cstheme="majorHAnsi"/>
              </w:rPr>
              <w:t xml:space="preserve"> will be implemented in all regions of the country and will include a comprehensive range of interventions focusing on: (i) rolling out of innovative people- and patient-centered approaches for improving case detection, treatment adherence, contact tracing and prevention in disadvantaged communities; (ii) support to TB and DR-TB case finding, case management and prevention in high-risk and vulnerable population groups: PLHIV, IDUs, </w:t>
            </w:r>
            <w:r w:rsidR="008D7A4A" w:rsidRPr="00D87CCD">
              <w:rPr>
                <w:rFonts w:asciiTheme="majorHAnsi" w:hAnsiTheme="majorHAnsi" w:cstheme="majorHAnsi"/>
              </w:rPr>
              <w:t>people with registered alcohol use disorders</w:t>
            </w:r>
            <w:r w:rsidR="00525A76" w:rsidRPr="00D87CCD">
              <w:rPr>
                <w:rFonts w:asciiTheme="majorHAnsi" w:hAnsiTheme="majorHAnsi" w:cstheme="majorHAnsi"/>
              </w:rPr>
              <w:t>, migrants, ex-prisoners, and homeless people; and (iii) addressing legal barriers to care, human rights, gender, stigma and other factors limiting access to service</w:t>
            </w:r>
            <w:r w:rsidRPr="00D87CCD">
              <w:rPr>
                <w:rFonts w:asciiTheme="majorHAnsi" w:hAnsiTheme="majorHAnsi" w:cstheme="majorHAnsi"/>
              </w:rPr>
              <w:t>s.</w:t>
            </w:r>
          </w:p>
          <w:p w14:paraId="13697297" w14:textId="77777777" w:rsidR="001E395E" w:rsidRDefault="001E395E" w:rsidP="00D87CCD">
            <w:pPr>
              <w:spacing w:after="0" w:line="240" w:lineRule="auto"/>
              <w:jc w:val="both"/>
              <w:rPr>
                <w:rFonts w:asciiTheme="majorHAnsi" w:hAnsiTheme="majorHAnsi" w:cstheme="majorHAnsi"/>
              </w:rPr>
            </w:pPr>
          </w:p>
          <w:p w14:paraId="7BC3BF76" w14:textId="514E2880" w:rsidR="008F3E19" w:rsidRPr="00D87CCD" w:rsidRDefault="008F3E19" w:rsidP="00D87CCD">
            <w:pPr>
              <w:spacing w:after="0" w:line="240" w:lineRule="auto"/>
              <w:jc w:val="both"/>
              <w:rPr>
                <w:rFonts w:asciiTheme="majorHAnsi" w:hAnsiTheme="majorHAnsi" w:cstheme="majorHAnsi"/>
              </w:rPr>
            </w:pPr>
            <w:r w:rsidRPr="00D87CCD">
              <w:rPr>
                <w:rFonts w:asciiTheme="majorHAnsi" w:hAnsiTheme="majorHAnsi" w:cstheme="majorHAnsi"/>
              </w:rPr>
              <w:t xml:space="preserve">Details on social order are provided in section 1.1. a) </w:t>
            </w:r>
            <w:r w:rsidR="00F52981" w:rsidRPr="00D87CCD">
              <w:rPr>
                <w:rFonts w:asciiTheme="majorHAnsi" w:hAnsiTheme="majorHAnsi" w:cstheme="majorHAnsi"/>
                <w:i/>
              </w:rPr>
              <w:t>Country C</w:t>
            </w:r>
            <w:r w:rsidRPr="00D87CCD">
              <w:rPr>
                <w:rFonts w:asciiTheme="majorHAnsi" w:hAnsiTheme="majorHAnsi" w:cstheme="majorHAnsi"/>
                <w:i/>
              </w:rPr>
              <w:t>ontext</w:t>
            </w:r>
            <w:r w:rsidRPr="00D87CCD">
              <w:rPr>
                <w:rFonts w:asciiTheme="majorHAnsi" w:hAnsiTheme="majorHAnsi" w:cstheme="majorHAnsi"/>
              </w:rPr>
              <w:t xml:space="preserve">. </w:t>
            </w:r>
          </w:p>
          <w:p w14:paraId="61DC393F" w14:textId="77777777" w:rsidR="00C5315C" w:rsidRPr="00D87CCD" w:rsidRDefault="00C5315C" w:rsidP="00D87CCD">
            <w:pPr>
              <w:spacing w:after="0" w:line="240" w:lineRule="auto"/>
              <w:contextualSpacing/>
              <w:jc w:val="both"/>
              <w:rPr>
                <w:rFonts w:asciiTheme="majorHAnsi" w:hAnsiTheme="majorHAnsi" w:cstheme="majorHAnsi"/>
                <w:highlight w:val="cyan"/>
              </w:rPr>
            </w:pPr>
          </w:p>
          <w:p w14:paraId="5F4F013D" w14:textId="77777777" w:rsidR="00525A76" w:rsidRPr="00D87CCD" w:rsidRDefault="00525A76" w:rsidP="006A0E08">
            <w:pPr>
              <w:numPr>
                <w:ilvl w:val="2"/>
                <w:numId w:val="33"/>
              </w:numPr>
              <w:spacing w:after="0" w:line="240" w:lineRule="auto"/>
              <w:contextualSpacing/>
              <w:jc w:val="both"/>
              <w:rPr>
                <w:rFonts w:asciiTheme="majorHAnsi" w:hAnsiTheme="majorHAnsi" w:cstheme="majorHAnsi"/>
              </w:rPr>
            </w:pPr>
            <w:r w:rsidRPr="00D87CCD">
              <w:rPr>
                <w:rFonts w:asciiTheme="majorHAnsi" w:hAnsiTheme="majorHAnsi" w:cstheme="majorHAnsi"/>
              </w:rPr>
              <w:t>Training for NGOs in TB and DR-TB control</w:t>
            </w:r>
          </w:p>
          <w:p w14:paraId="168B2B85" w14:textId="77777777" w:rsidR="008A1A48" w:rsidRPr="00D87CCD" w:rsidRDefault="008A1A48" w:rsidP="00D87CCD">
            <w:pPr>
              <w:spacing w:after="0" w:line="240" w:lineRule="auto"/>
              <w:jc w:val="both"/>
              <w:rPr>
                <w:rFonts w:asciiTheme="majorHAnsi" w:hAnsiTheme="majorHAnsi" w:cstheme="majorHAnsi"/>
              </w:rPr>
            </w:pPr>
          </w:p>
          <w:p w14:paraId="50C4B1FE" w14:textId="0F60E7E1" w:rsidR="00525A76" w:rsidRDefault="008A1A48" w:rsidP="00D87CCD">
            <w:pPr>
              <w:spacing w:after="0" w:line="240" w:lineRule="auto"/>
              <w:jc w:val="both"/>
              <w:rPr>
                <w:rFonts w:asciiTheme="majorHAnsi" w:hAnsiTheme="majorHAnsi" w:cstheme="majorHAnsi"/>
              </w:rPr>
            </w:pPr>
            <w:r w:rsidRPr="00D87CCD">
              <w:rPr>
                <w:rFonts w:asciiTheme="majorHAnsi" w:hAnsiTheme="majorHAnsi" w:cstheme="majorHAnsi"/>
              </w:rPr>
              <w:t xml:space="preserve">The NTP will organize training sessions for the NGO’ staff with the participation of other Partners, </w:t>
            </w:r>
            <w:r w:rsidR="00756839">
              <w:rPr>
                <w:rFonts w:asciiTheme="majorHAnsi" w:hAnsiTheme="majorHAnsi" w:cstheme="majorHAnsi"/>
              </w:rPr>
              <w:t xml:space="preserve">by </w:t>
            </w:r>
            <w:r w:rsidRPr="00D87CCD">
              <w:rPr>
                <w:rFonts w:asciiTheme="majorHAnsi" w:hAnsiTheme="majorHAnsi" w:cstheme="majorHAnsi"/>
              </w:rPr>
              <w:t>focusing on priority TB related issues in the key population groups, new approaches for patient support, and the roles of civil society and local actors in strengthening adherence to therapy and other types of support during ambula</w:t>
            </w:r>
            <w:r w:rsidR="001B694E" w:rsidRPr="00D87CCD">
              <w:rPr>
                <w:rFonts w:asciiTheme="majorHAnsi" w:hAnsiTheme="majorHAnsi" w:cstheme="majorHAnsi"/>
              </w:rPr>
              <w:t xml:space="preserve">tory TB treatment. </w:t>
            </w:r>
            <w:r w:rsidRPr="00D87CCD">
              <w:rPr>
                <w:rFonts w:asciiTheme="majorHAnsi" w:hAnsiTheme="majorHAnsi" w:cstheme="majorHAnsi"/>
              </w:rPr>
              <w:t>Also, the training curricula will reflect patient-centered approaches and models of care. The GF support is requested to cover two courses in the first year and one course per year during the remaining period</w:t>
            </w:r>
            <w:r w:rsidR="00756839">
              <w:rPr>
                <w:rFonts w:asciiTheme="majorHAnsi" w:hAnsiTheme="majorHAnsi" w:cstheme="majorHAnsi"/>
              </w:rPr>
              <w:t xml:space="preserve"> of the grant project</w:t>
            </w:r>
            <w:r w:rsidRPr="00D87CCD">
              <w:rPr>
                <w:rFonts w:asciiTheme="majorHAnsi" w:hAnsiTheme="majorHAnsi" w:cstheme="majorHAnsi"/>
              </w:rPr>
              <w:t xml:space="preserve">. </w:t>
            </w:r>
          </w:p>
          <w:p w14:paraId="1E1DE417" w14:textId="77777777" w:rsidR="00D87CCD" w:rsidRPr="00D87CCD" w:rsidRDefault="00D87CCD" w:rsidP="00D87CCD">
            <w:pPr>
              <w:spacing w:after="0" w:line="240" w:lineRule="auto"/>
              <w:jc w:val="both"/>
              <w:rPr>
                <w:rFonts w:asciiTheme="majorHAnsi" w:hAnsiTheme="majorHAnsi" w:cstheme="majorHAnsi"/>
              </w:rPr>
            </w:pPr>
          </w:p>
          <w:p w14:paraId="24ED4AF8" w14:textId="77777777" w:rsidR="00525A76" w:rsidRPr="00D87CCD" w:rsidRDefault="00525A76" w:rsidP="006A0E08">
            <w:pPr>
              <w:numPr>
                <w:ilvl w:val="2"/>
                <w:numId w:val="33"/>
              </w:numPr>
              <w:spacing w:after="0" w:line="240" w:lineRule="auto"/>
              <w:contextualSpacing/>
              <w:jc w:val="both"/>
              <w:rPr>
                <w:rFonts w:asciiTheme="majorHAnsi" w:hAnsiTheme="majorHAnsi" w:cstheme="majorHAnsi"/>
              </w:rPr>
            </w:pPr>
            <w:r w:rsidRPr="00D87CCD">
              <w:rPr>
                <w:rFonts w:asciiTheme="majorHAnsi" w:hAnsiTheme="majorHAnsi" w:cstheme="majorHAnsi"/>
              </w:rPr>
              <w:t>In-country NGOs experience exchange visits</w:t>
            </w:r>
          </w:p>
          <w:p w14:paraId="3E61E2F0" w14:textId="77777777" w:rsidR="00525A76" w:rsidRPr="00D87CCD" w:rsidRDefault="00525A76" w:rsidP="00D87CCD">
            <w:pPr>
              <w:spacing w:after="0" w:line="240" w:lineRule="auto"/>
              <w:jc w:val="both"/>
              <w:rPr>
                <w:rFonts w:asciiTheme="majorHAnsi" w:hAnsiTheme="majorHAnsi" w:cstheme="majorHAnsi"/>
              </w:rPr>
            </w:pPr>
          </w:p>
          <w:p w14:paraId="2BBA1407" w14:textId="54B9760F" w:rsidR="00362A4A" w:rsidRDefault="00362A4A" w:rsidP="00D87CCD">
            <w:pPr>
              <w:spacing w:after="0" w:line="240" w:lineRule="auto"/>
              <w:rPr>
                <w:rFonts w:asciiTheme="majorHAnsi" w:hAnsiTheme="majorHAnsi" w:cstheme="majorHAnsi"/>
              </w:rPr>
            </w:pPr>
            <w:r w:rsidRPr="00D87CCD">
              <w:rPr>
                <w:rFonts w:asciiTheme="majorHAnsi" w:hAnsiTheme="majorHAnsi" w:cstheme="majorHAnsi"/>
              </w:rPr>
              <w:t>During the first two years of the project, two-experience exchange visits will be arranged for peer review and exp</w:t>
            </w:r>
            <w:r w:rsidR="00756839">
              <w:rPr>
                <w:rFonts w:asciiTheme="majorHAnsi" w:hAnsiTheme="majorHAnsi" w:cstheme="majorHAnsi"/>
              </w:rPr>
              <w:t xml:space="preserve">erience sharing by covering </w:t>
            </w:r>
            <w:r w:rsidRPr="00D87CCD">
              <w:rPr>
                <w:rFonts w:asciiTheme="majorHAnsi" w:hAnsiTheme="majorHAnsi" w:cstheme="majorHAnsi"/>
              </w:rPr>
              <w:t>also costs of ten participants in each visit.</w:t>
            </w:r>
          </w:p>
          <w:p w14:paraId="7BC4134E" w14:textId="77777777" w:rsidR="00D87CCD" w:rsidRPr="00D87CCD" w:rsidRDefault="00D87CCD" w:rsidP="00D87CCD">
            <w:pPr>
              <w:spacing w:after="0" w:line="240" w:lineRule="auto"/>
              <w:rPr>
                <w:rFonts w:asciiTheme="majorHAnsi" w:hAnsiTheme="majorHAnsi" w:cstheme="majorHAnsi"/>
              </w:rPr>
            </w:pPr>
          </w:p>
          <w:p w14:paraId="3DC9E928" w14:textId="77777777" w:rsidR="00525A76" w:rsidRPr="00D87CCD" w:rsidRDefault="00525A76" w:rsidP="006A0E08">
            <w:pPr>
              <w:numPr>
                <w:ilvl w:val="2"/>
                <w:numId w:val="33"/>
              </w:numPr>
              <w:spacing w:after="0" w:line="240" w:lineRule="auto"/>
              <w:contextualSpacing/>
              <w:jc w:val="both"/>
              <w:rPr>
                <w:rFonts w:asciiTheme="majorHAnsi" w:hAnsiTheme="majorHAnsi" w:cstheme="majorHAnsi"/>
              </w:rPr>
            </w:pPr>
            <w:r w:rsidRPr="00D87CCD">
              <w:rPr>
                <w:rFonts w:asciiTheme="majorHAnsi" w:hAnsiTheme="majorHAnsi" w:cstheme="majorHAnsi"/>
              </w:rPr>
              <w:t>NGOs program coordination meetings</w:t>
            </w:r>
          </w:p>
          <w:p w14:paraId="06028910" w14:textId="77777777" w:rsidR="00525A76" w:rsidRPr="00D87CCD" w:rsidRDefault="00525A76" w:rsidP="00D87CCD">
            <w:pPr>
              <w:spacing w:after="0" w:line="240" w:lineRule="auto"/>
              <w:ind w:left="720"/>
              <w:contextualSpacing/>
              <w:jc w:val="both"/>
              <w:rPr>
                <w:rFonts w:asciiTheme="majorHAnsi" w:hAnsiTheme="majorHAnsi" w:cstheme="majorHAnsi"/>
              </w:rPr>
            </w:pPr>
          </w:p>
          <w:p w14:paraId="4AF23489" w14:textId="77777777" w:rsidR="0037624D" w:rsidRPr="00D87CCD" w:rsidRDefault="0037624D" w:rsidP="00D87CCD">
            <w:pPr>
              <w:spacing w:after="0" w:line="240" w:lineRule="auto"/>
              <w:rPr>
                <w:rFonts w:asciiTheme="majorHAnsi" w:hAnsiTheme="majorHAnsi" w:cstheme="majorHAnsi"/>
              </w:rPr>
            </w:pPr>
            <w:r w:rsidRPr="00D87CCD">
              <w:rPr>
                <w:rFonts w:asciiTheme="majorHAnsi" w:hAnsiTheme="majorHAnsi" w:cstheme="majorHAnsi"/>
              </w:rPr>
              <w:t>The GF sources are requested to support two-days annual meetings on NGOs program coordination with regional NGOs participation.  The meetings' agenda will include the progress review, plan of actions addressing the challenges, and experience exchange by NGOs involved in TB control.</w:t>
            </w:r>
          </w:p>
          <w:p w14:paraId="7C21A667" w14:textId="77777777" w:rsidR="00525A76" w:rsidRPr="00D87CCD" w:rsidRDefault="00525A76" w:rsidP="00D87CCD">
            <w:pPr>
              <w:spacing w:after="0" w:line="240" w:lineRule="auto"/>
              <w:ind w:left="720"/>
              <w:contextualSpacing/>
              <w:jc w:val="both"/>
              <w:rPr>
                <w:rFonts w:asciiTheme="majorHAnsi" w:hAnsiTheme="majorHAnsi" w:cstheme="majorHAnsi"/>
              </w:rPr>
            </w:pPr>
          </w:p>
          <w:p w14:paraId="56311FD2" w14:textId="2A5641C3" w:rsidR="00525A76" w:rsidRPr="00D87CCD" w:rsidRDefault="00525A76" w:rsidP="006A0E08">
            <w:pPr>
              <w:numPr>
                <w:ilvl w:val="2"/>
                <w:numId w:val="33"/>
              </w:numPr>
              <w:spacing w:after="0" w:line="240" w:lineRule="auto"/>
              <w:contextualSpacing/>
              <w:jc w:val="both"/>
              <w:rPr>
                <w:rFonts w:asciiTheme="majorHAnsi" w:hAnsiTheme="majorHAnsi" w:cstheme="majorHAnsi"/>
              </w:rPr>
            </w:pPr>
            <w:r w:rsidRPr="00D87CCD">
              <w:rPr>
                <w:rFonts w:asciiTheme="majorHAnsi" w:hAnsiTheme="majorHAnsi" w:cstheme="majorHAnsi"/>
              </w:rPr>
              <w:t>Monitoring of NGO grants program implementation</w:t>
            </w:r>
            <w:r w:rsidRPr="00D87CCD">
              <w:rPr>
                <w:rFonts w:asciiTheme="majorHAnsi" w:hAnsiTheme="majorHAnsi" w:cstheme="majorHAnsi"/>
                <w:color w:val="00B050"/>
              </w:rPr>
              <w:t xml:space="preserve"> </w:t>
            </w:r>
          </w:p>
          <w:p w14:paraId="4A25AA82" w14:textId="77777777" w:rsidR="006B460C" w:rsidRPr="00D87CCD" w:rsidRDefault="006B460C" w:rsidP="00D87CCD">
            <w:pPr>
              <w:spacing w:after="0" w:line="240" w:lineRule="auto"/>
              <w:contextualSpacing/>
              <w:jc w:val="both"/>
              <w:rPr>
                <w:rFonts w:asciiTheme="majorHAnsi" w:hAnsiTheme="majorHAnsi" w:cstheme="majorHAnsi"/>
              </w:rPr>
            </w:pPr>
          </w:p>
          <w:p w14:paraId="69F2F629" w14:textId="77777777" w:rsidR="00756839" w:rsidRDefault="00033319" w:rsidP="00D87CCD">
            <w:pPr>
              <w:spacing w:after="0" w:line="240" w:lineRule="auto"/>
              <w:jc w:val="both"/>
              <w:rPr>
                <w:rFonts w:asciiTheme="majorHAnsi" w:hAnsiTheme="majorHAnsi" w:cstheme="majorHAnsi"/>
              </w:rPr>
            </w:pPr>
            <w:r w:rsidRPr="00D87CCD">
              <w:rPr>
                <w:rFonts w:asciiTheme="majorHAnsi" w:hAnsiTheme="majorHAnsi" w:cstheme="majorHAnsi"/>
              </w:rPr>
              <w:t xml:space="preserve">Monitoring visits to the small grants' project sites across the country will be conducted by </w:t>
            </w:r>
            <w:r w:rsidR="00EC4166" w:rsidRPr="00D87CCD">
              <w:rPr>
                <w:rFonts w:asciiTheme="majorHAnsi" w:hAnsiTheme="majorHAnsi" w:cstheme="majorHAnsi"/>
              </w:rPr>
              <w:t xml:space="preserve">the </w:t>
            </w:r>
            <w:r w:rsidRPr="00D87CCD">
              <w:rPr>
                <w:rFonts w:asciiTheme="majorHAnsi" w:hAnsiTheme="majorHAnsi" w:cstheme="majorHAnsi"/>
              </w:rPr>
              <w:t>PR</w:t>
            </w:r>
            <w:r w:rsidR="00EC4166" w:rsidRPr="00D87CCD">
              <w:rPr>
                <w:rFonts w:asciiTheme="majorHAnsi" w:hAnsiTheme="majorHAnsi" w:cstheme="majorHAnsi"/>
              </w:rPr>
              <w:t>’</w:t>
            </w:r>
            <w:r w:rsidRPr="00D87CCD">
              <w:rPr>
                <w:rFonts w:asciiTheme="majorHAnsi" w:hAnsiTheme="majorHAnsi" w:cstheme="majorHAnsi"/>
              </w:rPr>
              <w:t xml:space="preserve"> staff to assess the implementation process, quality of services, and users' satisfaction and identify implementation challenges to decide on measures addressing these challenges. </w:t>
            </w:r>
          </w:p>
          <w:p w14:paraId="6240239D" w14:textId="77777777" w:rsidR="00756839" w:rsidRDefault="00756839" w:rsidP="00D87CCD">
            <w:pPr>
              <w:spacing w:after="0" w:line="240" w:lineRule="auto"/>
              <w:jc w:val="both"/>
              <w:rPr>
                <w:rFonts w:asciiTheme="majorHAnsi" w:hAnsiTheme="majorHAnsi" w:cstheme="majorHAnsi"/>
              </w:rPr>
            </w:pPr>
          </w:p>
          <w:p w14:paraId="3BD79FDD" w14:textId="28DA857F" w:rsidR="00033319" w:rsidRPr="00D87CCD" w:rsidRDefault="00033319" w:rsidP="00D87CCD">
            <w:pPr>
              <w:spacing w:after="0" w:line="240" w:lineRule="auto"/>
              <w:jc w:val="both"/>
              <w:rPr>
                <w:rFonts w:asciiTheme="majorHAnsi" w:hAnsiTheme="majorHAnsi" w:cstheme="majorHAnsi"/>
              </w:rPr>
            </w:pPr>
            <w:r w:rsidRPr="00D87CCD">
              <w:rPr>
                <w:rFonts w:asciiTheme="majorHAnsi" w:hAnsiTheme="majorHAnsi" w:cstheme="majorHAnsi"/>
              </w:rPr>
              <w:t xml:space="preserve">It is expected to conduct one visit to every NGO annually under the base allocation portion in the first year of the project, and the expenses related to visits for the second and third years will be financed from PAAR budget allocations. </w:t>
            </w:r>
          </w:p>
          <w:p w14:paraId="1EEE8E9F" w14:textId="77777777" w:rsidR="00525A76" w:rsidRPr="00D87CCD" w:rsidRDefault="00525A76" w:rsidP="00D87CCD">
            <w:pPr>
              <w:spacing w:after="0" w:line="240" w:lineRule="auto"/>
              <w:ind w:left="720"/>
              <w:contextualSpacing/>
              <w:jc w:val="both"/>
              <w:rPr>
                <w:rFonts w:asciiTheme="majorHAnsi" w:hAnsiTheme="majorHAnsi" w:cstheme="majorHAnsi"/>
              </w:rPr>
            </w:pPr>
          </w:p>
          <w:p w14:paraId="3F06CDA2" w14:textId="185D8FCE" w:rsidR="00525A76" w:rsidRPr="00D87CCD" w:rsidRDefault="003A366E" w:rsidP="006A0E08">
            <w:pPr>
              <w:numPr>
                <w:ilvl w:val="2"/>
                <w:numId w:val="33"/>
              </w:numPr>
              <w:spacing w:after="0" w:line="240" w:lineRule="auto"/>
              <w:contextualSpacing/>
              <w:jc w:val="both"/>
              <w:rPr>
                <w:rFonts w:asciiTheme="majorHAnsi" w:hAnsiTheme="majorHAnsi" w:cstheme="majorHAnsi"/>
              </w:rPr>
            </w:pPr>
            <w:r w:rsidRPr="00D87CCD">
              <w:rPr>
                <w:rFonts w:asciiTheme="majorHAnsi" w:hAnsiTheme="majorHAnsi" w:cstheme="majorHAnsi"/>
              </w:rPr>
              <w:t>National Stop-TB P</w:t>
            </w:r>
            <w:r w:rsidR="00525A76" w:rsidRPr="00D87CCD">
              <w:rPr>
                <w:rFonts w:asciiTheme="majorHAnsi" w:hAnsiTheme="majorHAnsi" w:cstheme="majorHAnsi"/>
              </w:rPr>
              <w:t>artnership (NSTP)</w:t>
            </w:r>
            <w:r w:rsidRPr="00D87CCD">
              <w:rPr>
                <w:rFonts w:asciiTheme="majorHAnsi" w:hAnsiTheme="majorHAnsi" w:cstheme="majorHAnsi"/>
              </w:rPr>
              <w:t xml:space="preserve"> </w:t>
            </w:r>
          </w:p>
          <w:p w14:paraId="58628516" w14:textId="77777777" w:rsidR="00DD0D74" w:rsidRPr="00D87CCD" w:rsidRDefault="00DD0D74" w:rsidP="00D87CCD">
            <w:pPr>
              <w:spacing w:after="0" w:line="240" w:lineRule="auto"/>
              <w:contextualSpacing/>
              <w:jc w:val="both"/>
              <w:rPr>
                <w:rFonts w:asciiTheme="majorHAnsi" w:hAnsiTheme="majorHAnsi" w:cstheme="majorHAnsi"/>
              </w:rPr>
            </w:pPr>
          </w:p>
          <w:p w14:paraId="24A42BFD" w14:textId="0DA003E9" w:rsidR="00D8759B" w:rsidRDefault="00D8759B" w:rsidP="00D87CCD">
            <w:pPr>
              <w:spacing w:after="0" w:line="240" w:lineRule="auto"/>
              <w:jc w:val="both"/>
              <w:rPr>
                <w:rFonts w:asciiTheme="majorHAnsi" w:hAnsiTheme="majorHAnsi" w:cstheme="majorHAnsi"/>
              </w:rPr>
            </w:pPr>
            <w:r w:rsidRPr="00D87CCD">
              <w:rPr>
                <w:rFonts w:asciiTheme="majorHAnsi" w:hAnsiTheme="majorHAnsi" w:cstheme="majorHAnsi"/>
              </w:rPr>
              <w:t>The GF funds will be allocated to strengthen the National Stop-TB Partnership Kazakhstan through (i) support to the NSTP Secretariat by covering labor cost for two coordinators and office-related spending during grant implementation period; (ii) technical assistance, by covering the labor costs of an external and a local consultant who will assist the local staff in developing the road-map of during the first year of the grant implementation; (iii) conduction of two-day annual coordination meetings on progress and achievements, challenges and decide on the way forward; (iv) support to conduction of advocacy meetings (workshops, round tables, etc.) with key decision-makers on social contracting and commitment of public authorities to scale-up this mechanism. Seventeen meetings will be organized during the first year of the grant project, eight meetings in the second year and six in the last year in selected regions; (v) support to the organization of two exchange visits to the countries in the region that have functional national partnerships and/or implement other best practices related to CSO and community engagement during the first two years of the project.</w:t>
            </w:r>
          </w:p>
          <w:p w14:paraId="2C258615" w14:textId="77777777" w:rsidR="00D87CCD" w:rsidRPr="00D87CCD" w:rsidRDefault="00D87CCD" w:rsidP="00D87CCD">
            <w:pPr>
              <w:spacing w:after="0" w:line="240" w:lineRule="auto"/>
              <w:jc w:val="both"/>
              <w:rPr>
                <w:rFonts w:asciiTheme="majorHAnsi" w:hAnsiTheme="majorHAnsi" w:cstheme="majorHAnsi"/>
              </w:rPr>
            </w:pPr>
          </w:p>
          <w:p w14:paraId="75C0AC1C" w14:textId="08F19F24" w:rsidR="00525A76" w:rsidRPr="00D87CCD" w:rsidRDefault="00D8759B" w:rsidP="006A0E08">
            <w:pPr>
              <w:numPr>
                <w:ilvl w:val="2"/>
                <w:numId w:val="33"/>
              </w:numPr>
              <w:spacing w:after="0" w:line="240" w:lineRule="auto"/>
              <w:contextualSpacing/>
              <w:jc w:val="both"/>
              <w:rPr>
                <w:rFonts w:asciiTheme="majorHAnsi" w:hAnsiTheme="majorHAnsi" w:cstheme="majorHAnsi"/>
                <w:i/>
              </w:rPr>
            </w:pPr>
            <w:r w:rsidRPr="00D87CCD">
              <w:rPr>
                <w:rFonts w:asciiTheme="majorHAnsi" w:hAnsiTheme="majorHAnsi" w:cstheme="majorHAnsi"/>
                <w:i/>
              </w:rPr>
              <w:t>The e</w:t>
            </w:r>
            <w:r w:rsidR="00525A76" w:rsidRPr="00D87CCD">
              <w:rPr>
                <w:rFonts w:asciiTheme="majorHAnsi" w:hAnsiTheme="majorHAnsi" w:cstheme="majorHAnsi"/>
                <w:i/>
              </w:rPr>
              <w:t xml:space="preserve">xtension of </w:t>
            </w:r>
            <w:r w:rsidRPr="00D87CCD">
              <w:rPr>
                <w:rFonts w:asciiTheme="majorHAnsi" w:hAnsiTheme="majorHAnsi" w:cstheme="majorHAnsi"/>
                <w:i/>
              </w:rPr>
              <w:t xml:space="preserve">the </w:t>
            </w:r>
            <w:r w:rsidR="00525A76" w:rsidRPr="00D87CCD">
              <w:rPr>
                <w:rFonts w:asciiTheme="majorHAnsi" w:hAnsiTheme="majorHAnsi" w:cstheme="majorHAnsi"/>
                <w:i/>
              </w:rPr>
              <w:t xml:space="preserve">use of the OneImpact Kazakhstan application </w:t>
            </w:r>
            <w:r w:rsidRPr="00D87CCD">
              <w:rPr>
                <w:rFonts w:asciiTheme="majorHAnsi" w:hAnsiTheme="majorHAnsi" w:cstheme="majorHAnsi"/>
                <w:i/>
              </w:rPr>
              <w:t>covering the entire</w:t>
            </w:r>
            <w:r w:rsidR="00525A76" w:rsidRPr="00D87CCD">
              <w:rPr>
                <w:rFonts w:asciiTheme="majorHAnsi" w:hAnsiTheme="majorHAnsi" w:cstheme="majorHAnsi"/>
                <w:i/>
              </w:rPr>
              <w:t xml:space="preserve"> country</w:t>
            </w:r>
            <w:r w:rsidRPr="00D87CCD">
              <w:rPr>
                <w:rFonts w:asciiTheme="majorHAnsi" w:hAnsiTheme="majorHAnsi" w:cstheme="majorHAnsi"/>
                <w:i/>
              </w:rPr>
              <w:t xml:space="preserve"> and integration of </w:t>
            </w:r>
            <w:r w:rsidR="00525A76" w:rsidRPr="00D87CCD">
              <w:rPr>
                <w:rFonts w:asciiTheme="majorHAnsi" w:hAnsiTheme="majorHAnsi" w:cstheme="majorHAnsi"/>
                <w:i/>
              </w:rPr>
              <w:t xml:space="preserve">the VST module </w:t>
            </w:r>
            <w:r w:rsidR="00525A76" w:rsidRPr="00D87CCD">
              <w:rPr>
                <w:rFonts w:asciiTheme="majorHAnsi" w:hAnsiTheme="majorHAnsi" w:cstheme="majorHAnsi"/>
              </w:rPr>
              <w:t>(</w:t>
            </w:r>
            <w:r w:rsidR="00BF118D" w:rsidRPr="00D87CCD">
              <w:rPr>
                <w:rFonts w:asciiTheme="majorHAnsi" w:hAnsiTheme="majorHAnsi" w:cstheme="majorHAnsi"/>
              </w:rPr>
              <w:t>please refer to the PAAR template for description)</w:t>
            </w:r>
            <w:r w:rsidR="00BF118D" w:rsidRPr="00D87CCD">
              <w:rPr>
                <w:rFonts w:asciiTheme="majorHAnsi" w:hAnsiTheme="majorHAnsi" w:cstheme="majorHAnsi"/>
                <w:i/>
              </w:rPr>
              <w:t>.</w:t>
            </w:r>
          </w:p>
          <w:p w14:paraId="18A95272" w14:textId="77777777" w:rsidR="00007BFF" w:rsidRPr="00D87CCD" w:rsidRDefault="00007BFF" w:rsidP="00D87CCD">
            <w:pPr>
              <w:spacing w:after="0" w:line="240" w:lineRule="auto"/>
              <w:rPr>
                <w:rFonts w:asciiTheme="majorHAnsi" w:hAnsiTheme="majorHAnsi" w:cstheme="majorHAnsi"/>
              </w:rPr>
            </w:pPr>
          </w:p>
        </w:tc>
      </w:tr>
      <w:tr w:rsidR="00007BFF" w:rsidRPr="00D87CCD" w14:paraId="3A5765F7" w14:textId="77777777" w:rsidTr="00740264">
        <w:trPr>
          <w:trHeight w:val="440"/>
        </w:trPr>
        <w:tc>
          <w:tcPr>
            <w:tcW w:w="2448" w:type="dxa"/>
            <w:shd w:val="clear" w:color="auto" w:fill="F2F2F2"/>
            <w:vAlign w:val="center"/>
          </w:tcPr>
          <w:p w14:paraId="715F1621" w14:textId="77777777" w:rsidR="00007BFF" w:rsidRPr="00D87CCD" w:rsidRDefault="00007BFF" w:rsidP="00D87CCD">
            <w:pPr>
              <w:spacing w:after="0" w:line="240" w:lineRule="auto"/>
              <w:rPr>
                <w:rFonts w:asciiTheme="majorHAnsi" w:hAnsiTheme="majorHAnsi" w:cstheme="majorHAnsi"/>
              </w:rPr>
            </w:pPr>
            <w:r w:rsidRPr="00D87CCD">
              <w:rPr>
                <w:rFonts w:asciiTheme="majorHAnsi" w:hAnsiTheme="majorHAnsi" w:cstheme="majorHAnsi"/>
              </w:rPr>
              <w:t>Priority populations</w:t>
            </w:r>
          </w:p>
        </w:tc>
        <w:tc>
          <w:tcPr>
            <w:tcW w:w="7902" w:type="dxa"/>
          </w:tcPr>
          <w:p w14:paraId="440C2AE7" w14:textId="4A0DF39E" w:rsidR="001415E6" w:rsidRPr="00D87CCD" w:rsidRDefault="001D2AD9" w:rsidP="006A0E08">
            <w:pPr>
              <w:numPr>
                <w:ilvl w:val="0"/>
                <w:numId w:val="30"/>
              </w:numPr>
              <w:spacing w:after="0" w:line="240" w:lineRule="auto"/>
              <w:contextualSpacing/>
              <w:jc w:val="both"/>
              <w:rPr>
                <w:rFonts w:asciiTheme="majorHAnsi" w:hAnsiTheme="majorHAnsi" w:cstheme="majorHAnsi"/>
              </w:rPr>
            </w:pPr>
            <w:r w:rsidRPr="00D87CCD">
              <w:rPr>
                <w:rFonts w:asciiTheme="majorHAnsi" w:hAnsiTheme="majorHAnsi" w:cstheme="majorHAnsi"/>
              </w:rPr>
              <w:t xml:space="preserve">Children with LTBI, had </w:t>
            </w:r>
            <w:r w:rsidR="001415E6" w:rsidRPr="00D87CCD">
              <w:rPr>
                <w:rFonts w:asciiTheme="majorHAnsi" w:hAnsiTheme="majorHAnsi" w:cstheme="majorHAnsi"/>
              </w:rPr>
              <w:t>contacts with index TB cases (DS</w:t>
            </w:r>
            <w:r w:rsidRPr="00D87CCD">
              <w:rPr>
                <w:rFonts w:asciiTheme="majorHAnsi" w:hAnsiTheme="majorHAnsi" w:cstheme="majorHAnsi"/>
              </w:rPr>
              <w:t xml:space="preserve"> and DR)</w:t>
            </w:r>
            <w:r w:rsidR="0006397E" w:rsidRPr="00D87CCD">
              <w:rPr>
                <w:rFonts w:asciiTheme="majorHAnsi" w:hAnsiTheme="majorHAnsi" w:cstheme="majorHAnsi"/>
              </w:rPr>
              <w:t>.</w:t>
            </w:r>
          </w:p>
          <w:p w14:paraId="21D6C66C" w14:textId="1447D8F5" w:rsidR="001415E6" w:rsidRPr="00D87CCD" w:rsidRDefault="001415E6" w:rsidP="006A0E08">
            <w:pPr>
              <w:numPr>
                <w:ilvl w:val="0"/>
                <w:numId w:val="30"/>
              </w:numPr>
              <w:spacing w:after="0" w:line="240" w:lineRule="auto"/>
              <w:contextualSpacing/>
              <w:rPr>
                <w:rFonts w:asciiTheme="majorHAnsi" w:hAnsiTheme="majorHAnsi" w:cstheme="majorHAnsi"/>
              </w:rPr>
            </w:pPr>
            <w:r w:rsidRPr="00D87CCD">
              <w:rPr>
                <w:rFonts w:asciiTheme="majorHAnsi" w:hAnsiTheme="majorHAnsi" w:cstheme="majorHAnsi"/>
              </w:rPr>
              <w:t xml:space="preserve">Adolescents with LTBI, </w:t>
            </w:r>
            <w:r w:rsidR="001D2AD9" w:rsidRPr="00D87CCD">
              <w:rPr>
                <w:rFonts w:asciiTheme="majorHAnsi" w:hAnsiTheme="majorHAnsi" w:cstheme="majorHAnsi"/>
              </w:rPr>
              <w:t xml:space="preserve">had </w:t>
            </w:r>
            <w:r w:rsidRPr="00D87CCD">
              <w:rPr>
                <w:rFonts w:asciiTheme="majorHAnsi" w:hAnsiTheme="majorHAnsi" w:cstheme="majorHAnsi"/>
              </w:rPr>
              <w:t xml:space="preserve">contacts </w:t>
            </w:r>
            <w:r w:rsidR="001D2AD9" w:rsidRPr="00D87CCD">
              <w:rPr>
                <w:rFonts w:asciiTheme="majorHAnsi" w:hAnsiTheme="majorHAnsi" w:cstheme="majorHAnsi"/>
              </w:rPr>
              <w:t>with index TB cases (DS and DR)</w:t>
            </w:r>
            <w:r w:rsidR="0006397E" w:rsidRPr="00D87CCD">
              <w:rPr>
                <w:rFonts w:asciiTheme="majorHAnsi" w:hAnsiTheme="majorHAnsi" w:cstheme="majorHAnsi"/>
              </w:rPr>
              <w:t>.</w:t>
            </w:r>
          </w:p>
          <w:p w14:paraId="4786E34B" w14:textId="235AD957" w:rsidR="001415E6" w:rsidRPr="00D87CCD" w:rsidRDefault="001415E6" w:rsidP="006A0E08">
            <w:pPr>
              <w:numPr>
                <w:ilvl w:val="0"/>
                <w:numId w:val="30"/>
              </w:numPr>
              <w:spacing w:after="0" w:line="240" w:lineRule="auto"/>
              <w:contextualSpacing/>
              <w:rPr>
                <w:rFonts w:asciiTheme="majorHAnsi" w:hAnsiTheme="majorHAnsi" w:cstheme="majorHAnsi"/>
              </w:rPr>
            </w:pPr>
            <w:r w:rsidRPr="00D87CCD">
              <w:rPr>
                <w:rFonts w:asciiTheme="majorHAnsi" w:hAnsiTheme="majorHAnsi" w:cstheme="majorHAnsi"/>
              </w:rPr>
              <w:t xml:space="preserve">Adult people with lTBI, </w:t>
            </w:r>
            <w:r w:rsidR="001D2AD9" w:rsidRPr="00D87CCD">
              <w:rPr>
                <w:rFonts w:asciiTheme="majorHAnsi" w:hAnsiTheme="majorHAnsi" w:cstheme="majorHAnsi"/>
              </w:rPr>
              <w:t xml:space="preserve">had </w:t>
            </w:r>
            <w:r w:rsidRPr="00D87CCD">
              <w:rPr>
                <w:rFonts w:asciiTheme="majorHAnsi" w:hAnsiTheme="majorHAnsi" w:cstheme="majorHAnsi"/>
              </w:rPr>
              <w:t xml:space="preserve">contacts </w:t>
            </w:r>
            <w:r w:rsidR="001D2AD9" w:rsidRPr="00D87CCD">
              <w:rPr>
                <w:rFonts w:asciiTheme="majorHAnsi" w:hAnsiTheme="majorHAnsi" w:cstheme="majorHAnsi"/>
              </w:rPr>
              <w:t>with index TB cases (DS and DR)</w:t>
            </w:r>
            <w:r w:rsidR="0006397E" w:rsidRPr="00D87CCD">
              <w:rPr>
                <w:rFonts w:asciiTheme="majorHAnsi" w:hAnsiTheme="majorHAnsi" w:cstheme="majorHAnsi"/>
              </w:rPr>
              <w:t>.</w:t>
            </w:r>
          </w:p>
          <w:p w14:paraId="1CCA87B8" w14:textId="6F50AA21" w:rsidR="001415E6" w:rsidRPr="00D87CCD" w:rsidRDefault="001D2AD9" w:rsidP="006A0E08">
            <w:pPr>
              <w:numPr>
                <w:ilvl w:val="0"/>
                <w:numId w:val="30"/>
              </w:numPr>
              <w:spacing w:after="0" w:line="240" w:lineRule="auto"/>
              <w:contextualSpacing/>
              <w:jc w:val="both"/>
              <w:rPr>
                <w:rFonts w:asciiTheme="majorHAnsi" w:hAnsiTheme="majorHAnsi" w:cstheme="majorHAnsi"/>
              </w:rPr>
            </w:pPr>
            <w:r w:rsidRPr="00D87CCD">
              <w:rPr>
                <w:rFonts w:asciiTheme="majorHAnsi" w:hAnsiTheme="majorHAnsi" w:cstheme="majorHAnsi"/>
              </w:rPr>
              <w:t>PLHIV</w:t>
            </w:r>
            <w:r w:rsidR="0006397E" w:rsidRPr="00D87CCD">
              <w:rPr>
                <w:rFonts w:asciiTheme="majorHAnsi" w:hAnsiTheme="majorHAnsi" w:cstheme="majorHAnsi"/>
              </w:rPr>
              <w:t>.</w:t>
            </w:r>
          </w:p>
          <w:p w14:paraId="20C55EA9" w14:textId="049BB7CB" w:rsidR="001415E6" w:rsidRPr="00D87CCD" w:rsidRDefault="001D2AD9" w:rsidP="006A0E08">
            <w:pPr>
              <w:numPr>
                <w:ilvl w:val="0"/>
                <w:numId w:val="30"/>
              </w:numPr>
              <w:spacing w:after="0" w:line="240" w:lineRule="auto"/>
              <w:contextualSpacing/>
              <w:jc w:val="both"/>
              <w:rPr>
                <w:rFonts w:asciiTheme="majorHAnsi" w:hAnsiTheme="majorHAnsi" w:cstheme="majorHAnsi"/>
              </w:rPr>
            </w:pPr>
            <w:r w:rsidRPr="00D87CCD">
              <w:rPr>
                <w:rFonts w:asciiTheme="majorHAnsi" w:hAnsiTheme="majorHAnsi" w:cstheme="majorHAnsi"/>
              </w:rPr>
              <w:t>Healthcare workers envolved in TB control, including personnel at TB Centers and PHC facilities</w:t>
            </w:r>
            <w:r w:rsidR="0006397E" w:rsidRPr="00D87CCD">
              <w:rPr>
                <w:rFonts w:asciiTheme="majorHAnsi" w:hAnsiTheme="majorHAnsi" w:cstheme="majorHAnsi"/>
              </w:rPr>
              <w:t>.</w:t>
            </w:r>
          </w:p>
          <w:p w14:paraId="4ECD3171" w14:textId="64E68757" w:rsidR="001415E6" w:rsidRPr="00D87CCD" w:rsidRDefault="001D2AD9" w:rsidP="006A0E08">
            <w:pPr>
              <w:numPr>
                <w:ilvl w:val="0"/>
                <w:numId w:val="30"/>
              </w:numPr>
              <w:spacing w:after="0" w:line="240" w:lineRule="auto"/>
              <w:contextualSpacing/>
              <w:jc w:val="both"/>
              <w:rPr>
                <w:rFonts w:asciiTheme="majorHAnsi" w:hAnsiTheme="majorHAnsi" w:cstheme="majorHAnsi"/>
              </w:rPr>
            </w:pPr>
            <w:r w:rsidRPr="00D87CCD">
              <w:rPr>
                <w:rFonts w:asciiTheme="majorHAnsi" w:hAnsiTheme="majorHAnsi" w:cstheme="majorHAnsi"/>
              </w:rPr>
              <w:t>RRL personnel</w:t>
            </w:r>
            <w:r w:rsidR="0006397E" w:rsidRPr="00D87CCD">
              <w:rPr>
                <w:rFonts w:asciiTheme="majorHAnsi" w:hAnsiTheme="majorHAnsi" w:cstheme="majorHAnsi"/>
              </w:rPr>
              <w:t>.</w:t>
            </w:r>
          </w:p>
          <w:p w14:paraId="64397053" w14:textId="69EF06FF" w:rsidR="001415E6" w:rsidRPr="00D87CCD" w:rsidRDefault="001D2AD9" w:rsidP="006A0E08">
            <w:pPr>
              <w:numPr>
                <w:ilvl w:val="0"/>
                <w:numId w:val="30"/>
              </w:numPr>
              <w:spacing w:after="0" w:line="240" w:lineRule="auto"/>
              <w:contextualSpacing/>
              <w:jc w:val="both"/>
              <w:rPr>
                <w:rFonts w:asciiTheme="majorHAnsi" w:hAnsiTheme="majorHAnsi" w:cstheme="majorHAnsi"/>
              </w:rPr>
            </w:pPr>
            <w:r w:rsidRPr="00D87CCD">
              <w:rPr>
                <w:rFonts w:asciiTheme="majorHAnsi" w:hAnsiTheme="majorHAnsi" w:cstheme="majorHAnsi"/>
              </w:rPr>
              <w:t>People from KAP: PL</w:t>
            </w:r>
            <w:r w:rsidR="001415E6" w:rsidRPr="00D87CCD">
              <w:rPr>
                <w:rFonts w:asciiTheme="majorHAnsi" w:hAnsiTheme="majorHAnsi" w:cstheme="majorHAnsi"/>
              </w:rPr>
              <w:t>H</w:t>
            </w:r>
            <w:r w:rsidRPr="00D87CCD">
              <w:rPr>
                <w:rFonts w:asciiTheme="majorHAnsi" w:hAnsiTheme="majorHAnsi" w:cstheme="majorHAnsi"/>
              </w:rPr>
              <w:t xml:space="preserve">IV, </w:t>
            </w:r>
            <w:r w:rsidR="001415E6" w:rsidRPr="00D87CCD">
              <w:rPr>
                <w:rFonts w:asciiTheme="majorHAnsi" w:hAnsiTheme="majorHAnsi" w:cstheme="majorHAnsi"/>
              </w:rPr>
              <w:t xml:space="preserve">IDUs, </w:t>
            </w:r>
            <w:r w:rsidR="0075170E" w:rsidRPr="00D87CCD">
              <w:rPr>
                <w:rFonts w:asciiTheme="majorHAnsi" w:hAnsiTheme="majorHAnsi" w:cstheme="majorHAnsi"/>
              </w:rPr>
              <w:t>people with registered alcohol use disorders</w:t>
            </w:r>
            <w:r w:rsidR="001415E6" w:rsidRPr="00D87CCD">
              <w:rPr>
                <w:rFonts w:asciiTheme="majorHAnsi" w:hAnsiTheme="majorHAnsi" w:cstheme="majorHAnsi"/>
              </w:rPr>
              <w:t>, migrants, prisoners, ex-prisoners, and homeless people.</w:t>
            </w:r>
          </w:p>
          <w:p w14:paraId="67E0E8FF" w14:textId="6EF67C2E" w:rsidR="00007BFF" w:rsidRPr="00D87CCD" w:rsidRDefault="0075170E" w:rsidP="006A0E08">
            <w:pPr>
              <w:numPr>
                <w:ilvl w:val="0"/>
                <w:numId w:val="30"/>
              </w:numPr>
              <w:spacing w:after="0" w:line="240" w:lineRule="auto"/>
              <w:contextualSpacing/>
              <w:jc w:val="both"/>
              <w:rPr>
                <w:rFonts w:asciiTheme="majorHAnsi" w:hAnsiTheme="majorHAnsi" w:cstheme="majorHAnsi"/>
              </w:rPr>
            </w:pPr>
            <w:r w:rsidRPr="00D87CCD">
              <w:rPr>
                <w:rFonts w:asciiTheme="majorHAnsi" w:hAnsiTheme="majorHAnsi" w:cstheme="majorHAnsi"/>
              </w:rPr>
              <w:t>NGOs personnel</w:t>
            </w:r>
            <w:r w:rsidR="0006397E" w:rsidRPr="00D87CCD">
              <w:rPr>
                <w:rFonts w:asciiTheme="majorHAnsi" w:hAnsiTheme="majorHAnsi" w:cstheme="majorHAnsi"/>
              </w:rPr>
              <w:t>.</w:t>
            </w:r>
          </w:p>
        </w:tc>
      </w:tr>
      <w:tr w:rsidR="00007BFF" w:rsidRPr="00D87CCD" w14:paraId="2D37AA7B" w14:textId="77777777" w:rsidTr="00740264">
        <w:trPr>
          <w:trHeight w:val="440"/>
        </w:trPr>
        <w:tc>
          <w:tcPr>
            <w:tcW w:w="2448" w:type="dxa"/>
            <w:shd w:val="clear" w:color="auto" w:fill="F2F2F2"/>
            <w:vAlign w:val="center"/>
          </w:tcPr>
          <w:p w14:paraId="45EF7AB7" w14:textId="5AAC948C" w:rsidR="00007BFF" w:rsidRPr="00D87CCD" w:rsidRDefault="00007BFF" w:rsidP="00D87CCD">
            <w:pPr>
              <w:spacing w:after="0" w:line="240" w:lineRule="auto"/>
              <w:rPr>
                <w:rFonts w:asciiTheme="majorHAnsi" w:hAnsiTheme="majorHAnsi" w:cstheme="majorHAnsi"/>
              </w:rPr>
            </w:pPr>
            <w:r w:rsidRPr="00D87CCD">
              <w:rPr>
                <w:rFonts w:asciiTheme="majorHAnsi" w:hAnsiTheme="majorHAnsi" w:cstheme="majorHAnsi"/>
              </w:rPr>
              <w:t>Barriers and inequities</w:t>
            </w:r>
          </w:p>
        </w:tc>
        <w:tc>
          <w:tcPr>
            <w:tcW w:w="7902" w:type="dxa"/>
          </w:tcPr>
          <w:p w14:paraId="0F0B9FED" w14:textId="49BB1362" w:rsidR="00261BFB" w:rsidRPr="00974FD7" w:rsidRDefault="003D5BAF" w:rsidP="006A0E08">
            <w:pPr>
              <w:numPr>
                <w:ilvl w:val="0"/>
                <w:numId w:val="34"/>
              </w:numPr>
              <w:spacing w:after="0" w:line="240" w:lineRule="auto"/>
              <w:contextualSpacing/>
              <w:jc w:val="both"/>
              <w:rPr>
                <w:rFonts w:asciiTheme="majorHAnsi" w:hAnsiTheme="majorHAnsi" w:cstheme="majorHAnsi"/>
              </w:rPr>
            </w:pPr>
            <w:r w:rsidRPr="00974FD7">
              <w:rPr>
                <w:rFonts w:asciiTheme="majorHAnsi" w:hAnsiTheme="majorHAnsi" w:cstheme="majorHAnsi"/>
              </w:rPr>
              <w:t>Inadequate</w:t>
            </w:r>
            <w:r w:rsidR="00261BFB" w:rsidRPr="00974FD7">
              <w:rPr>
                <w:rFonts w:asciiTheme="majorHAnsi" w:hAnsiTheme="majorHAnsi" w:cstheme="majorHAnsi"/>
              </w:rPr>
              <w:t xml:space="preserve"> coverage by contract tracing, except priority groups: home contacts (family members, close relatives), prisoners, PLHIV.</w:t>
            </w:r>
          </w:p>
          <w:p w14:paraId="1FE21B09" w14:textId="18A83780" w:rsidR="003D5BAF" w:rsidRPr="00974FD7" w:rsidRDefault="003D5BAF" w:rsidP="006A0E08">
            <w:pPr>
              <w:numPr>
                <w:ilvl w:val="0"/>
                <w:numId w:val="34"/>
              </w:numPr>
              <w:spacing w:after="0" w:line="240" w:lineRule="auto"/>
              <w:contextualSpacing/>
              <w:jc w:val="both"/>
              <w:rPr>
                <w:rFonts w:asciiTheme="majorHAnsi" w:hAnsiTheme="majorHAnsi" w:cstheme="majorHAnsi"/>
              </w:rPr>
            </w:pPr>
            <w:r w:rsidRPr="00974FD7">
              <w:rPr>
                <w:rFonts w:asciiTheme="majorHAnsi" w:hAnsiTheme="majorHAnsi" w:cstheme="majorHAnsi"/>
              </w:rPr>
              <w:t>Insufficient preventive treatment for LTBI among the adults and individuals from high-risk and hard-to-reach population groups.</w:t>
            </w:r>
          </w:p>
          <w:p w14:paraId="1E07DAB6" w14:textId="66EFDBCC" w:rsidR="0073063E" w:rsidRPr="00974FD7" w:rsidRDefault="0073063E" w:rsidP="006A0E08">
            <w:pPr>
              <w:numPr>
                <w:ilvl w:val="0"/>
                <w:numId w:val="34"/>
              </w:numPr>
              <w:spacing w:after="0" w:line="240" w:lineRule="auto"/>
              <w:contextualSpacing/>
              <w:jc w:val="both"/>
              <w:rPr>
                <w:rFonts w:asciiTheme="majorHAnsi" w:hAnsiTheme="majorHAnsi" w:cstheme="majorHAnsi"/>
              </w:rPr>
            </w:pPr>
            <w:r w:rsidRPr="00974FD7">
              <w:rPr>
                <w:rFonts w:asciiTheme="majorHAnsi" w:hAnsiTheme="majorHAnsi" w:cstheme="majorHAnsi"/>
              </w:rPr>
              <w:t>Limited PTP for LTBI among contacts of MDR-TB index case.</w:t>
            </w:r>
          </w:p>
          <w:p w14:paraId="05C7FA18" w14:textId="4C22D5D5" w:rsidR="00765061" w:rsidRPr="00974FD7" w:rsidRDefault="00765061" w:rsidP="006A0E08">
            <w:pPr>
              <w:numPr>
                <w:ilvl w:val="0"/>
                <w:numId w:val="34"/>
              </w:numPr>
              <w:spacing w:after="0" w:line="240" w:lineRule="auto"/>
              <w:contextualSpacing/>
              <w:jc w:val="both"/>
              <w:rPr>
                <w:rFonts w:asciiTheme="majorHAnsi" w:hAnsiTheme="majorHAnsi" w:cstheme="majorHAnsi"/>
              </w:rPr>
            </w:pPr>
            <w:r w:rsidRPr="00974FD7">
              <w:rPr>
                <w:rFonts w:asciiTheme="majorHAnsi" w:hAnsiTheme="majorHAnsi" w:cstheme="majorHAnsi"/>
              </w:rPr>
              <w:t>Insufficient coordination and synchronization of the activities among PHC sector, TB and AIDS Centers and E</w:t>
            </w:r>
            <w:r w:rsidR="00D87CCD" w:rsidRPr="00974FD7">
              <w:rPr>
                <w:rFonts w:asciiTheme="majorHAnsi" w:hAnsiTheme="majorHAnsi" w:cstheme="majorHAnsi"/>
              </w:rPr>
              <w:t>pidemiological Service and NGOs</w:t>
            </w:r>
            <w:r w:rsidRPr="00974FD7">
              <w:rPr>
                <w:rFonts w:asciiTheme="majorHAnsi" w:hAnsiTheme="majorHAnsi" w:cstheme="majorHAnsi"/>
              </w:rPr>
              <w:t xml:space="preserve"> in the region, in organizing the detection and preventive treatment of LTBI in accordance with the normative-regulatory framework.</w:t>
            </w:r>
          </w:p>
          <w:p w14:paraId="3BCB7635" w14:textId="1F1C3A2B" w:rsidR="0020664F" w:rsidRPr="00D87CCD" w:rsidRDefault="0020664F" w:rsidP="006A0E08">
            <w:pPr>
              <w:numPr>
                <w:ilvl w:val="0"/>
                <w:numId w:val="34"/>
              </w:numPr>
              <w:spacing w:after="0" w:line="240" w:lineRule="auto"/>
              <w:contextualSpacing/>
              <w:jc w:val="both"/>
              <w:rPr>
                <w:rFonts w:asciiTheme="majorHAnsi" w:hAnsiTheme="majorHAnsi" w:cstheme="majorHAnsi"/>
              </w:rPr>
            </w:pPr>
            <w:r w:rsidRPr="00D87CCD">
              <w:rPr>
                <w:rFonts w:asciiTheme="majorHAnsi" w:hAnsiTheme="majorHAnsi" w:cstheme="majorHAnsi"/>
              </w:rPr>
              <w:t>Active TB case finding activities by the PHC among KAP is insufficient because of the key barriers to and inequities in accessing essential TB services faced by key populations, due to stigma and discrimination by health care staff and other providers and lack of motivation to seek and complete screening and diagnosis</w:t>
            </w:r>
            <w:r w:rsidR="00317B15" w:rsidRPr="00D87CCD">
              <w:rPr>
                <w:rFonts w:asciiTheme="majorHAnsi" w:hAnsiTheme="majorHAnsi" w:cstheme="majorHAnsi"/>
              </w:rPr>
              <w:t>.</w:t>
            </w:r>
          </w:p>
          <w:p w14:paraId="0782B130" w14:textId="51BCE26A" w:rsidR="0020664F" w:rsidRPr="00D87CCD" w:rsidRDefault="00F0562C" w:rsidP="006A0E08">
            <w:pPr>
              <w:numPr>
                <w:ilvl w:val="0"/>
                <w:numId w:val="34"/>
              </w:numPr>
              <w:spacing w:after="0" w:line="240" w:lineRule="auto"/>
              <w:contextualSpacing/>
              <w:jc w:val="both"/>
              <w:rPr>
                <w:rFonts w:asciiTheme="majorHAnsi" w:hAnsiTheme="majorHAnsi" w:cstheme="majorHAnsi"/>
              </w:rPr>
            </w:pPr>
            <w:r w:rsidRPr="00D87CCD">
              <w:rPr>
                <w:rFonts w:asciiTheme="majorHAnsi" w:hAnsiTheme="majorHAnsi" w:cstheme="majorHAnsi"/>
              </w:rPr>
              <w:t>Barriers in provision patient-centered care</w:t>
            </w:r>
            <w:r w:rsidR="0020664F" w:rsidRPr="00D87CCD">
              <w:rPr>
                <w:rFonts w:asciiTheme="majorHAnsi" w:hAnsiTheme="majorHAnsi" w:cstheme="majorHAnsi"/>
              </w:rPr>
              <w:t xml:space="preserve"> and follow-up and inequities in accessing essential TB services faced by key populations, due to complex and lengthy treatment and service setup requiring substantial time and additional expenditu</w:t>
            </w:r>
            <w:r w:rsidRPr="00D87CCD">
              <w:rPr>
                <w:rFonts w:asciiTheme="majorHAnsi" w:hAnsiTheme="majorHAnsi" w:cstheme="majorHAnsi"/>
              </w:rPr>
              <w:t>res by patients and households.</w:t>
            </w:r>
          </w:p>
          <w:p w14:paraId="3BD4416D" w14:textId="6710D12B" w:rsidR="0020664F" w:rsidRPr="00D87CCD" w:rsidRDefault="0020664F" w:rsidP="006A0E08">
            <w:pPr>
              <w:numPr>
                <w:ilvl w:val="0"/>
                <w:numId w:val="34"/>
              </w:numPr>
              <w:spacing w:after="0" w:line="240" w:lineRule="auto"/>
              <w:contextualSpacing/>
              <w:jc w:val="both"/>
              <w:rPr>
                <w:rFonts w:asciiTheme="majorHAnsi" w:hAnsiTheme="majorHAnsi" w:cstheme="majorHAnsi"/>
              </w:rPr>
            </w:pPr>
            <w:r w:rsidRPr="00D87CCD">
              <w:rPr>
                <w:rFonts w:asciiTheme="majorHAnsi" w:hAnsiTheme="majorHAnsi" w:cstheme="majorHAnsi"/>
              </w:rPr>
              <w:t>Substantial limit</w:t>
            </w:r>
            <w:r w:rsidR="004032D7" w:rsidRPr="00D87CCD">
              <w:rPr>
                <w:rFonts w:asciiTheme="majorHAnsi" w:hAnsiTheme="majorHAnsi" w:cstheme="majorHAnsi"/>
              </w:rPr>
              <w:t xml:space="preserve">ations </w:t>
            </w:r>
            <w:r w:rsidRPr="00D87CCD">
              <w:rPr>
                <w:rFonts w:asciiTheme="majorHAnsi" w:hAnsiTheme="majorHAnsi" w:cstheme="majorHAnsi"/>
              </w:rPr>
              <w:t xml:space="preserve">in </w:t>
            </w:r>
            <w:r w:rsidR="00F0562C" w:rsidRPr="00D87CCD">
              <w:rPr>
                <w:rFonts w:asciiTheme="majorHAnsi" w:hAnsiTheme="majorHAnsi" w:cstheme="majorHAnsi"/>
              </w:rPr>
              <w:t>accessing</w:t>
            </w:r>
            <w:r w:rsidRPr="00D87CCD">
              <w:rPr>
                <w:rFonts w:asciiTheme="majorHAnsi" w:hAnsiTheme="majorHAnsi" w:cstheme="majorHAnsi"/>
              </w:rPr>
              <w:t xml:space="preserve"> appropriate care, stigma and discrimination, and other barriers for the most neglected and marginalized groups such as the homeless and people with alcohol dependence.</w:t>
            </w:r>
          </w:p>
          <w:p w14:paraId="0F438AFC" w14:textId="77777777" w:rsidR="00007BFF" w:rsidRPr="00D87CCD" w:rsidRDefault="00007BFF" w:rsidP="00D87CCD">
            <w:pPr>
              <w:spacing w:after="0" w:line="240" w:lineRule="auto"/>
              <w:rPr>
                <w:rFonts w:asciiTheme="majorHAnsi" w:hAnsiTheme="majorHAnsi" w:cstheme="majorHAnsi"/>
              </w:rPr>
            </w:pPr>
          </w:p>
        </w:tc>
      </w:tr>
      <w:tr w:rsidR="00007BFF" w:rsidRPr="00D87CCD" w14:paraId="1036E7F7" w14:textId="77777777" w:rsidTr="00740264">
        <w:trPr>
          <w:trHeight w:val="440"/>
        </w:trPr>
        <w:tc>
          <w:tcPr>
            <w:tcW w:w="2448" w:type="dxa"/>
            <w:shd w:val="clear" w:color="auto" w:fill="F2F2F2"/>
            <w:vAlign w:val="center"/>
          </w:tcPr>
          <w:p w14:paraId="4B940EB8" w14:textId="77777777" w:rsidR="00007BFF" w:rsidRPr="00D87CCD" w:rsidRDefault="00007BFF" w:rsidP="00D87CCD">
            <w:pPr>
              <w:spacing w:after="0" w:line="240" w:lineRule="auto"/>
              <w:rPr>
                <w:rFonts w:asciiTheme="majorHAnsi" w:hAnsiTheme="majorHAnsi" w:cstheme="majorHAnsi"/>
              </w:rPr>
            </w:pPr>
            <w:r w:rsidRPr="00D87CCD">
              <w:rPr>
                <w:rFonts w:asciiTheme="majorHAnsi" w:hAnsiTheme="majorHAnsi" w:cstheme="majorHAnsi"/>
              </w:rPr>
              <w:t>Rationale</w:t>
            </w:r>
          </w:p>
        </w:tc>
        <w:tc>
          <w:tcPr>
            <w:tcW w:w="7902" w:type="dxa"/>
          </w:tcPr>
          <w:p w14:paraId="55A35797" w14:textId="783F63BB" w:rsidR="00410F9E" w:rsidRPr="00D87CCD" w:rsidRDefault="0020664F" w:rsidP="00D87CCD">
            <w:pPr>
              <w:spacing w:after="0" w:line="240" w:lineRule="auto"/>
              <w:jc w:val="both"/>
              <w:rPr>
                <w:rFonts w:asciiTheme="majorHAnsi" w:hAnsiTheme="majorHAnsi" w:cstheme="majorHAnsi"/>
              </w:rPr>
            </w:pPr>
            <w:r w:rsidRPr="00D87CCD">
              <w:rPr>
                <w:rFonts w:asciiTheme="majorHAnsi" w:hAnsiTheme="majorHAnsi" w:cstheme="majorHAnsi"/>
                <w:b/>
              </w:rPr>
              <w:t>LTBI diagnosis and treatment</w:t>
            </w:r>
            <w:r w:rsidRPr="00D87CCD">
              <w:rPr>
                <w:rFonts w:asciiTheme="majorHAnsi" w:hAnsiTheme="majorHAnsi" w:cstheme="majorHAnsi"/>
              </w:rPr>
              <w:t xml:space="preserve"> </w:t>
            </w:r>
          </w:p>
          <w:p w14:paraId="3EA08A19" w14:textId="096D614E" w:rsidR="00507D31" w:rsidRPr="00D87CCD" w:rsidRDefault="00836083" w:rsidP="00D87CCD">
            <w:pPr>
              <w:spacing w:after="0" w:line="240" w:lineRule="auto"/>
              <w:jc w:val="both"/>
              <w:rPr>
                <w:rFonts w:asciiTheme="majorHAnsi" w:hAnsiTheme="majorHAnsi" w:cstheme="majorHAnsi"/>
              </w:rPr>
            </w:pPr>
            <w:r w:rsidRPr="00D87CCD">
              <w:rPr>
                <w:rFonts w:asciiTheme="majorHAnsi" w:hAnsiTheme="majorHAnsi" w:cstheme="majorHAnsi"/>
              </w:rPr>
              <w:t xml:space="preserve">The </w:t>
            </w:r>
            <w:r w:rsidR="0020664F" w:rsidRPr="00D87CCD">
              <w:rPr>
                <w:rFonts w:asciiTheme="majorHAnsi" w:hAnsiTheme="majorHAnsi" w:cstheme="majorHAnsi"/>
              </w:rPr>
              <w:t>TB preventiv</w:t>
            </w:r>
            <w:r w:rsidRPr="00D87CCD">
              <w:rPr>
                <w:rFonts w:asciiTheme="majorHAnsi" w:hAnsiTheme="majorHAnsi" w:cstheme="majorHAnsi"/>
              </w:rPr>
              <w:t>e treatment</w:t>
            </w:r>
            <w:r w:rsidR="0020664F" w:rsidRPr="00D87CCD">
              <w:rPr>
                <w:rFonts w:asciiTheme="majorHAnsi" w:hAnsiTheme="majorHAnsi" w:cstheme="majorHAnsi"/>
              </w:rPr>
              <w:t xml:space="preserve"> is </w:t>
            </w:r>
            <w:r w:rsidRPr="00D87CCD">
              <w:rPr>
                <w:rFonts w:asciiTheme="majorHAnsi" w:hAnsiTheme="majorHAnsi" w:cstheme="majorHAnsi"/>
              </w:rPr>
              <w:t>among</w:t>
            </w:r>
            <w:r w:rsidR="0020664F" w:rsidRPr="00D87CCD">
              <w:rPr>
                <w:rFonts w:asciiTheme="majorHAnsi" w:hAnsiTheme="majorHAnsi" w:cstheme="majorHAnsi"/>
              </w:rPr>
              <w:t xml:space="preserve"> key interventions recommended by </w:t>
            </w:r>
            <w:r w:rsidRPr="00D87CCD">
              <w:rPr>
                <w:rFonts w:asciiTheme="majorHAnsi" w:hAnsiTheme="majorHAnsi" w:cstheme="majorHAnsi"/>
              </w:rPr>
              <w:t xml:space="preserve">the </w:t>
            </w:r>
            <w:r w:rsidR="0020664F" w:rsidRPr="00D87CCD">
              <w:rPr>
                <w:rFonts w:asciiTheme="majorHAnsi" w:hAnsiTheme="majorHAnsi" w:cstheme="majorHAnsi"/>
              </w:rPr>
              <w:t xml:space="preserve">WHO to achieve the End TB Strategy targets, as upheld by the UN High Level Meeting on TB in September 2018. </w:t>
            </w:r>
            <w:r w:rsidRPr="00D87CCD">
              <w:rPr>
                <w:rFonts w:asciiTheme="majorHAnsi" w:hAnsiTheme="majorHAnsi" w:cstheme="majorHAnsi"/>
              </w:rPr>
              <w:t>It</w:t>
            </w:r>
            <w:r w:rsidR="0020664F" w:rsidRPr="00D87CCD">
              <w:rPr>
                <w:rFonts w:asciiTheme="majorHAnsi" w:hAnsiTheme="majorHAnsi" w:cstheme="majorHAnsi"/>
              </w:rPr>
              <w:t xml:space="preserve"> fits within a larger framework of preventive actions envisaged by Pillars 1 and 2 of the End TB Strategy, </w:t>
            </w:r>
            <w:r w:rsidR="00D87CCD">
              <w:rPr>
                <w:rFonts w:asciiTheme="majorHAnsi" w:hAnsiTheme="majorHAnsi" w:cstheme="majorHAnsi"/>
              </w:rPr>
              <w:t>rangin</w:t>
            </w:r>
            <w:r w:rsidR="003C323B" w:rsidRPr="00D87CCD">
              <w:rPr>
                <w:rFonts w:asciiTheme="majorHAnsi" w:hAnsiTheme="majorHAnsi" w:cstheme="majorHAnsi"/>
              </w:rPr>
              <w:t xml:space="preserve"> from screening for</w:t>
            </w:r>
            <w:r w:rsidR="0020664F" w:rsidRPr="00D87CCD">
              <w:rPr>
                <w:rFonts w:asciiTheme="majorHAnsi" w:hAnsiTheme="majorHAnsi" w:cstheme="majorHAnsi"/>
              </w:rPr>
              <w:t xml:space="preserve"> active TB, infection control, prevention and care of HIV and other co-morbidities and health ri</w:t>
            </w:r>
            <w:r w:rsidR="003C323B" w:rsidRPr="00D87CCD">
              <w:rPr>
                <w:rFonts w:asciiTheme="majorHAnsi" w:hAnsiTheme="majorHAnsi" w:cstheme="majorHAnsi"/>
              </w:rPr>
              <w:t>sks, to</w:t>
            </w:r>
            <w:r w:rsidRPr="00D87CCD">
              <w:rPr>
                <w:rFonts w:asciiTheme="majorHAnsi" w:hAnsiTheme="majorHAnsi" w:cstheme="majorHAnsi"/>
              </w:rPr>
              <w:t xml:space="preserve"> universal health</w:t>
            </w:r>
            <w:r w:rsidR="0020664F" w:rsidRPr="00D87CCD">
              <w:rPr>
                <w:rFonts w:asciiTheme="majorHAnsi" w:hAnsiTheme="majorHAnsi" w:cstheme="majorHAnsi"/>
              </w:rPr>
              <w:t xml:space="preserve">care, social </w:t>
            </w:r>
            <w:proofErr w:type="gramStart"/>
            <w:r w:rsidR="0020664F" w:rsidRPr="00D87CCD">
              <w:rPr>
                <w:rFonts w:asciiTheme="majorHAnsi" w:hAnsiTheme="majorHAnsi" w:cstheme="majorHAnsi"/>
              </w:rPr>
              <w:t>protection</w:t>
            </w:r>
            <w:proofErr w:type="gramEnd"/>
            <w:r w:rsidR="0020664F" w:rsidRPr="00D87CCD">
              <w:rPr>
                <w:rFonts w:asciiTheme="majorHAnsi" w:hAnsiTheme="majorHAnsi" w:cstheme="majorHAnsi"/>
              </w:rPr>
              <w:t xml:space="preserve"> and poverty alleviation.</w:t>
            </w:r>
            <w:r w:rsidR="00507D31" w:rsidRPr="00D87CCD">
              <w:rPr>
                <w:rFonts w:asciiTheme="majorHAnsi" w:hAnsiTheme="majorHAnsi" w:cstheme="majorHAnsi"/>
              </w:rPr>
              <w:t xml:space="preserve"> </w:t>
            </w:r>
          </w:p>
          <w:p w14:paraId="0C545CD4" w14:textId="77777777" w:rsidR="00507D31" w:rsidRPr="00D87CCD" w:rsidRDefault="00507D31" w:rsidP="00D87CCD">
            <w:pPr>
              <w:spacing w:after="0" w:line="240" w:lineRule="auto"/>
              <w:jc w:val="both"/>
              <w:rPr>
                <w:rFonts w:asciiTheme="majorHAnsi" w:hAnsiTheme="majorHAnsi" w:cstheme="majorHAnsi"/>
              </w:rPr>
            </w:pPr>
          </w:p>
          <w:p w14:paraId="59B52065" w14:textId="5D6B786D" w:rsidR="0020664F" w:rsidRPr="00D87CCD" w:rsidRDefault="00507D31" w:rsidP="00D87CCD">
            <w:pPr>
              <w:spacing w:after="0" w:line="240" w:lineRule="auto"/>
              <w:jc w:val="both"/>
              <w:rPr>
                <w:rFonts w:asciiTheme="majorHAnsi" w:hAnsiTheme="majorHAnsi" w:cstheme="majorHAnsi"/>
              </w:rPr>
            </w:pPr>
            <w:r w:rsidRPr="00D87CCD">
              <w:rPr>
                <w:rFonts w:asciiTheme="majorHAnsi" w:hAnsiTheme="majorHAnsi" w:cstheme="majorHAnsi"/>
              </w:rPr>
              <w:t>“</w:t>
            </w:r>
            <w:r w:rsidR="003C323B" w:rsidRPr="00D87CCD">
              <w:rPr>
                <w:rFonts w:asciiTheme="majorHAnsi" w:hAnsiTheme="majorHAnsi" w:cstheme="majorHAnsi"/>
              </w:rPr>
              <w:t xml:space="preserve">The </w:t>
            </w:r>
            <w:r w:rsidR="0020664F" w:rsidRPr="00D87CCD">
              <w:rPr>
                <w:rFonts w:asciiTheme="majorHAnsi" w:hAnsiTheme="majorHAnsi" w:cstheme="majorHAnsi"/>
              </w:rPr>
              <w:t>WHO guidelines</w:t>
            </w:r>
            <w:r w:rsidRPr="00D87CCD">
              <w:rPr>
                <w:rFonts w:asciiTheme="majorHAnsi" w:hAnsiTheme="majorHAnsi" w:cstheme="majorHAnsi"/>
                <w:iCs/>
              </w:rPr>
              <w:t xml:space="preserve"> </w:t>
            </w:r>
            <w:r w:rsidR="0020664F" w:rsidRPr="00D87CCD">
              <w:rPr>
                <w:rFonts w:asciiTheme="majorHAnsi" w:hAnsiTheme="majorHAnsi" w:cstheme="majorHAnsi"/>
              </w:rPr>
              <w:t xml:space="preserve">on LTBI consider the probability of progression to active TB disease in specific risk groups, the epidemiology and burden of TB, and the likelihood </w:t>
            </w:r>
            <w:r w:rsidR="003C323B" w:rsidRPr="00D87CCD">
              <w:rPr>
                <w:rFonts w:asciiTheme="majorHAnsi" w:hAnsiTheme="majorHAnsi" w:cstheme="majorHAnsi"/>
              </w:rPr>
              <w:t>o</w:t>
            </w:r>
            <w:r w:rsidRPr="00D87CCD">
              <w:rPr>
                <w:rFonts w:asciiTheme="majorHAnsi" w:hAnsiTheme="majorHAnsi" w:cstheme="majorHAnsi"/>
              </w:rPr>
              <w:t>f a broad public health impact.</w:t>
            </w:r>
            <w:r w:rsidR="003C323B" w:rsidRPr="00D87CCD">
              <w:rPr>
                <w:rFonts w:asciiTheme="majorHAnsi" w:hAnsiTheme="majorHAnsi" w:cstheme="majorHAnsi"/>
              </w:rPr>
              <w:t xml:space="preserve"> </w:t>
            </w:r>
            <w:r w:rsidRPr="00D87CCD">
              <w:rPr>
                <w:rFonts w:asciiTheme="majorHAnsi" w:hAnsiTheme="majorHAnsi" w:cstheme="majorHAnsi"/>
              </w:rPr>
              <w:t xml:space="preserve">It </w:t>
            </w:r>
            <w:r w:rsidR="0020664F" w:rsidRPr="00D87CCD">
              <w:rPr>
                <w:rFonts w:asciiTheme="majorHAnsi" w:hAnsiTheme="majorHAnsi" w:cstheme="majorHAnsi"/>
              </w:rPr>
              <w:t>cover</w:t>
            </w:r>
            <w:r w:rsidR="00663FBF" w:rsidRPr="00D87CCD">
              <w:rPr>
                <w:rFonts w:asciiTheme="majorHAnsi" w:hAnsiTheme="majorHAnsi" w:cstheme="majorHAnsi"/>
              </w:rPr>
              <w:t>s</w:t>
            </w:r>
            <w:r w:rsidR="0020664F" w:rsidRPr="00D87CCD">
              <w:rPr>
                <w:rFonts w:asciiTheme="majorHAnsi" w:hAnsiTheme="majorHAnsi" w:cstheme="majorHAnsi"/>
              </w:rPr>
              <w:t xml:space="preserve"> critical steps in the progra</w:t>
            </w:r>
            <w:r w:rsidR="00865F19">
              <w:rPr>
                <w:rFonts w:asciiTheme="majorHAnsi" w:hAnsiTheme="majorHAnsi" w:cstheme="majorHAnsi"/>
              </w:rPr>
              <w:t>mmatic management of TPT</w:t>
            </w:r>
            <w:r w:rsidR="0020664F" w:rsidRPr="00D87CCD">
              <w:rPr>
                <w:rFonts w:asciiTheme="majorHAnsi" w:hAnsiTheme="majorHAnsi" w:cstheme="majorHAnsi"/>
              </w:rPr>
              <w:t xml:space="preserve"> and follow the cascade of preventive care: identification of populations at risk (PLHIV as part of the HIV care package, household contacts and others), ruling out active TB disease, testing for LTBI, providing treatment, and monitoring adverse events, </w:t>
            </w:r>
            <w:proofErr w:type="gramStart"/>
            <w:r w:rsidR="0020664F" w:rsidRPr="00D87CCD">
              <w:rPr>
                <w:rFonts w:asciiTheme="majorHAnsi" w:hAnsiTheme="majorHAnsi" w:cstheme="majorHAnsi"/>
              </w:rPr>
              <w:t>adherence</w:t>
            </w:r>
            <w:proofErr w:type="gramEnd"/>
            <w:r w:rsidR="0020664F" w:rsidRPr="00D87CCD">
              <w:rPr>
                <w:rFonts w:asciiTheme="majorHAnsi" w:hAnsiTheme="majorHAnsi" w:cstheme="majorHAnsi"/>
              </w:rPr>
              <w:t xml:space="preserve"> and completion of treatment</w:t>
            </w:r>
            <w:r w:rsidRPr="00D87CCD">
              <w:rPr>
                <w:rFonts w:asciiTheme="majorHAnsi" w:hAnsiTheme="majorHAnsi" w:cstheme="majorHAnsi"/>
              </w:rPr>
              <w:t xml:space="preserve">. </w:t>
            </w:r>
            <w:r w:rsidR="0020664F" w:rsidRPr="00D87CCD">
              <w:rPr>
                <w:rFonts w:asciiTheme="majorHAnsi" w:hAnsiTheme="majorHAnsi" w:cstheme="majorHAnsi"/>
              </w:rPr>
              <w:t>Prevention of active TB disease by TB preventive treatment is a critical component of the WHO End TB Strategy and efforts to eliminate TB.</w:t>
            </w:r>
            <w:r w:rsidRPr="00D87CCD">
              <w:rPr>
                <w:rFonts w:asciiTheme="majorHAnsi" w:hAnsiTheme="majorHAnsi" w:cstheme="majorHAnsi"/>
              </w:rPr>
              <w:t xml:space="preserve"> </w:t>
            </w:r>
            <w:r w:rsidR="0020664F" w:rsidRPr="00D87CCD">
              <w:rPr>
                <w:rFonts w:asciiTheme="majorHAnsi" w:hAnsiTheme="majorHAnsi" w:cstheme="majorHAnsi"/>
              </w:rPr>
              <w:t>The programmatic management of</w:t>
            </w:r>
            <w:r w:rsidR="00865F19">
              <w:rPr>
                <w:rFonts w:asciiTheme="majorHAnsi" w:hAnsiTheme="majorHAnsi" w:cstheme="majorHAnsi"/>
              </w:rPr>
              <w:t xml:space="preserve"> TB preventive treatment</w:t>
            </w:r>
            <w:r w:rsidR="0020664F" w:rsidRPr="00D87CCD">
              <w:rPr>
                <w:rFonts w:asciiTheme="majorHAnsi" w:hAnsiTheme="majorHAnsi" w:cstheme="majorHAnsi"/>
              </w:rPr>
              <w:t xml:space="preserve"> involves a comprehensive package of interventions: identifying and testing those individuals who should be tested, delivering effective, safe treatment in such a way that the majority of those starting a treatment regimen will complete it with no or minimal risk of adverse events, and monitoring and evaluation of the process”. </w:t>
            </w:r>
          </w:p>
          <w:p w14:paraId="14A8B4F6" w14:textId="77777777" w:rsidR="0020664F" w:rsidRPr="00D87CCD" w:rsidRDefault="0020664F" w:rsidP="00D87CCD">
            <w:pPr>
              <w:spacing w:after="0" w:line="240" w:lineRule="auto"/>
              <w:jc w:val="both"/>
              <w:rPr>
                <w:rFonts w:asciiTheme="majorHAnsi" w:hAnsiTheme="majorHAnsi" w:cstheme="majorHAnsi"/>
              </w:rPr>
            </w:pPr>
          </w:p>
          <w:p w14:paraId="51A32D01" w14:textId="77777777" w:rsidR="00756839" w:rsidRDefault="00507D31" w:rsidP="00D87CCD">
            <w:pPr>
              <w:spacing w:after="0" w:line="240" w:lineRule="auto"/>
              <w:jc w:val="both"/>
              <w:rPr>
                <w:rFonts w:asciiTheme="majorHAnsi" w:hAnsiTheme="majorHAnsi" w:cstheme="majorHAnsi"/>
              </w:rPr>
            </w:pPr>
            <w:r w:rsidRPr="00D87CCD">
              <w:rPr>
                <w:rFonts w:asciiTheme="majorHAnsi" w:hAnsiTheme="majorHAnsi" w:cstheme="majorHAnsi"/>
              </w:rPr>
              <w:t xml:space="preserve">As stated in section 1.1 above on </w:t>
            </w:r>
            <w:r w:rsidRPr="00D87CCD">
              <w:rPr>
                <w:rFonts w:asciiTheme="majorHAnsi" w:hAnsiTheme="majorHAnsi" w:cstheme="majorHAnsi"/>
                <w:i/>
              </w:rPr>
              <w:t>country context</w:t>
            </w:r>
            <w:r w:rsidRPr="00D87CCD">
              <w:rPr>
                <w:rFonts w:asciiTheme="majorHAnsi" w:hAnsiTheme="majorHAnsi" w:cstheme="majorHAnsi"/>
              </w:rPr>
              <w:t xml:space="preserve">, Kazakhstan’s </w:t>
            </w:r>
            <w:r w:rsidR="0020664F" w:rsidRPr="00D87CCD">
              <w:rPr>
                <w:rFonts w:asciiTheme="majorHAnsi" w:hAnsiTheme="majorHAnsi" w:cstheme="majorHAnsi"/>
              </w:rPr>
              <w:t>achievement of the goals in TB preventive treatment, though being in line with the globally reached results, yet remains low. In 2018-2022, the TB preventive therapy coverage of all cases and ages made up 29.7% of the target level set for the country. Preventive trea</w:t>
            </w:r>
            <w:r w:rsidR="008D023F" w:rsidRPr="00D87CCD">
              <w:rPr>
                <w:rFonts w:asciiTheme="majorHAnsi" w:hAnsiTheme="majorHAnsi" w:cstheme="majorHAnsi"/>
              </w:rPr>
              <w:t>tment rates for children under five</w:t>
            </w:r>
            <w:r w:rsidR="00346474" w:rsidRPr="00D87CCD">
              <w:rPr>
                <w:rFonts w:asciiTheme="majorHAnsi" w:hAnsiTheme="majorHAnsi" w:cstheme="majorHAnsi"/>
              </w:rPr>
              <w:t xml:space="preserve"> and</w:t>
            </w:r>
            <w:r w:rsidR="008D023F" w:rsidRPr="00D87CCD">
              <w:rPr>
                <w:rFonts w:asciiTheme="majorHAnsi" w:hAnsiTheme="majorHAnsi" w:cstheme="majorHAnsi"/>
              </w:rPr>
              <w:t xml:space="preserve"> those over five</w:t>
            </w:r>
            <w:r w:rsidR="0020664F" w:rsidRPr="00D87CCD">
              <w:rPr>
                <w:rFonts w:asciiTheme="majorHAnsi" w:hAnsiTheme="majorHAnsi" w:cstheme="majorHAnsi"/>
              </w:rPr>
              <w:t xml:space="preserve"> years old formed </w:t>
            </w:r>
            <w:r w:rsidR="00346474" w:rsidRPr="00D87CCD">
              <w:rPr>
                <w:rFonts w:asciiTheme="majorHAnsi" w:hAnsiTheme="majorHAnsi" w:cstheme="majorHAnsi"/>
              </w:rPr>
              <w:t>24.2% and 24.9%, respectively</w:t>
            </w:r>
            <w:r w:rsidR="0020664F" w:rsidRPr="00D87CCD">
              <w:rPr>
                <w:rFonts w:asciiTheme="majorHAnsi" w:hAnsiTheme="majorHAnsi" w:cstheme="majorHAnsi"/>
              </w:rPr>
              <w:t xml:space="preserve">, from the five-year nationalized target level. However, the attainment of the PLHIV preventive treatment target was somewhat higher (54.6%). Consequently, in the mid-term, implementing measures for LTBI diagnosis and TB preventive treatment in high-risk groups are among the main directions </w:t>
            </w:r>
            <w:r w:rsidR="00346474" w:rsidRPr="00D87CCD">
              <w:rPr>
                <w:rFonts w:asciiTheme="majorHAnsi" w:hAnsiTheme="majorHAnsi" w:cstheme="majorHAnsi"/>
              </w:rPr>
              <w:t xml:space="preserve">of the NTP efforts. </w:t>
            </w:r>
          </w:p>
          <w:p w14:paraId="013350EC" w14:textId="77777777" w:rsidR="00756839" w:rsidRDefault="00756839" w:rsidP="00D87CCD">
            <w:pPr>
              <w:spacing w:after="0" w:line="240" w:lineRule="auto"/>
              <w:jc w:val="both"/>
              <w:rPr>
                <w:rFonts w:asciiTheme="majorHAnsi" w:hAnsiTheme="majorHAnsi" w:cstheme="majorHAnsi"/>
              </w:rPr>
            </w:pPr>
          </w:p>
          <w:p w14:paraId="2732F4EB" w14:textId="7C025993" w:rsidR="0020664F" w:rsidRPr="00D87CCD" w:rsidRDefault="00346474" w:rsidP="00D87CCD">
            <w:pPr>
              <w:spacing w:after="0" w:line="240" w:lineRule="auto"/>
              <w:jc w:val="both"/>
              <w:rPr>
                <w:rFonts w:asciiTheme="majorHAnsi" w:hAnsiTheme="majorHAnsi" w:cstheme="majorHAnsi"/>
              </w:rPr>
            </w:pPr>
            <w:r w:rsidRPr="00D87CCD">
              <w:rPr>
                <w:rFonts w:asciiTheme="majorHAnsi" w:hAnsiTheme="majorHAnsi" w:cstheme="majorHAnsi"/>
              </w:rPr>
              <w:t>W</w:t>
            </w:r>
            <w:r w:rsidR="0020664F" w:rsidRPr="00D87CCD">
              <w:rPr>
                <w:rFonts w:asciiTheme="majorHAnsi" w:hAnsiTheme="majorHAnsi" w:cstheme="majorHAnsi"/>
              </w:rPr>
              <w:t>ith the support of the WHO EURO, the US-funded ETICA project, and a group of international and local consultants, the country is preparing a new national guide</w:t>
            </w:r>
            <w:r w:rsidR="008B0700" w:rsidRPr="00D87CCD">
              <w:rPr>
                <w:rFonts w:asciiTheme="majorHAnsi" w:hAnsiTheme="majorHAnsi" w:cstheme="majorHAnsi"/>
              </w:rPr>
              <w:t>line</w:t>
            </w:r>
            <w:r w:rsidR="0020664F" w:rsidRPr="00D87CCD">
              <w:rPr>
                <w:rFonts w:asciiTheme="majorHAnsi" w:hAnsiTheme="majorHAnsi" w:cstheme="majorHAnsi"/>
              </w:rPr>
              <w:t xml:space="preserve"> on TB systematic screening and </w:t>
            </w:r>
            <w:r w:rsidR="004308A0" w:rsidRPr="00D87CCD">
              <w:rPr>
                <w:rFonts w:asciiTheme="majorHAnsi" w:hAnsiTheme="majorHAnsi" w:cstheme="majorHAnsi"/>
              </w:rPr>
              <w:t>TPT</w:t>
            </w:r>
            <w:r w:rsidR="0020664F" w:rsidRPr="00D87CCD">
              <w:rPr>
                <w:rFonts w:asciiTheme="majorHAnsi" w:hAnsiTheme="majorHAnsi" w:cstheme="majorHAnsi"/>
              </w:rPr>
              <w:t>. It will be in line with the latest WHO</w:t>
            </w:r>
            <w:r w:rsidRPr="00D87CCD">
              <w:rPr>
                <w:rFonts w:asciiTheme="majorHAnsi" w:hAnsiTheme="majorHAnsi" w:cstheme="majorHAnsi"/>
              </w:rPr>
              <w:t>’</w:t>
            </w:r>
            <w:r w:rsidR="0020664F" w:rsidRPr="00D87CCD">
              <w:rPr>
                <w:rFonts w:asciiTheme="majorHAnsi" w:hAnsiTheme="majorHAnsi" w:cstheme="majorHAnsi"/>
              </w:rPr>
              <w:t xml:space="preserve"> recommendations</w:t>
            </w:r>
            <w:r w:rsidRPr="00D87CCD">
              <w:rPr>
                <w:rFonts w:asciiTheme="majorHAnsi" w:hAnsiTheme="majorHAnsi" w:cstheme="majorHAnsi"/>
              </w:rPr>
              <w:t>, which is</w:t>
            </w:r>
            <w:r w:rsidR="0020664F" w:rsidRPr="00D87CCD">
              <w:rPr>
                <w:rFonts w:asciiTheme="majorHAnsi" w:hAnsiTheme="majorHAnsi" w:cstheme="majorHAnsi"/>
              </w:rPr>
              <w:t xml:space="preserve"> planned to be finalized during the first quarter of 2022. The national guideline will reflect the findings of the Screen TB tool, by prioritizing population groups for TB screening programs, and specify the fr</w:t>
            </w:r>
            <w:r w:rsidRPr="00D87CCD">
              <w:rPr>
                <w:rFonts w:asciiTheme="majorHAnsi" w:hAnsiTheme="majorHAnsi" w:cstheme="majorHAnsi"/>
              </w:rPr>
              <w:t>equency of screenings. T</w:t>
            </w:r>
            <w:r w:rsidR="0020664F" w:rsidRPr="00D87CCD">
              <w:rPr>
                <w:rFonts w:asciiTheme="majorHAnsi" w:hAnsiTheme="majorHAnsi" w:cstheme="majorHAnsi"/>
              </w:rPr>
              <w:t>he introduction of the new shorter preventive treatment regimen will strengthen the adherence and acc</w:t>
            </w:r>
            <w:r w:rsidRPr="00D87CCD">
              <w:rPr>
                <w:rFonts w:asciiTheme="majorHAnsi" w:hAnsiTheme="majorHAnsi" w:cstheme="majorHAnsi"/>
              </w:rPr>
              <w:t>eptability of the TPT, especially among</w:t>
            </w:r>
            <w:r w:rsidR="0020664F" w:rsidRPr="00D87CCD">
              <w:rPr>
                <w:rFonts w:asciiTheme="majorHAnsi" w:hAnsiTheme="majorHAnsi" w:cstheme="majorHAnsi"/>
              </w:rPr>
              <w:t xml:space="preserve"> adults </w:t>
            </w:r>
            <w:proofErr w:type="gramStart"/>
            <w:r w:rsidR="0020664F" w:rsidRPr="00D87CCD">
              <w:rPr>
                <w:rFonts w:asciiTheme="majorHAnsi" w:hAnsiTheme="majorHAnsi" w:cstheme="majorHAnsi"/>
              </w:rPr>
              <w:t>were</w:t>
            </w:r>
            <w:proofErr w:type="gramEnd"/>
            <w:r w:rsidR="0020664F" w:rsidRPr="00D87CCD">
              <w:rPr>
                <w:rFonts w:asciiTheme="majorHAnsi" w:hAnsiTheme="majorHAnsi" w:cstheme="majorHAnsi"/>
              </w:rPr>
              <w:t xml:space="preserve"> the refusal rate is high, and the poss</w:t>
            </w:r>
            <w:r w:rsidR="0021787D" w:rsidRPr="00D87CCD">
              <w:rPr>
                <w:rFonts w:asciiTheme="majorHAnsi" w:hAnsiTheme="majorHAnsi" w:cstheme="majorHAnsi"/>
              </w:rPr>
              <w:t>ibility to start the TPT in</w:t>
            </w:r>
            <w:r w:rsidR="0020664F" w:rsidRPr="00D87CCD">
              <w:rPr>
                <w:rFonts w:asciiTheme="majorHAnsi" w:hAnsiTheme="majorHAnsi" w:cstheme="majorHAnsi"/>
              </w:rPr>
              <w:t xml:space="preserve"> key popu</w:t>
            </w:r>
            <w:r w:rsidR="004308A0" w:rsidRPr="00D87CCD">
              <w:rPr>
                <w:rFonts w:asciiTheme="majorHAnsi" w:hAnsiTheme="majorHAnsi" w:cstheme="majorHAnsi"/>
              </w:rPr>
              <w:t>lations i</w:t>
            </w:r>
            <w:r w:rsidR="0020664F" w:rsidRPr="00D87CCD">
              <w:rPr>
                <w:rFonts w:asciiTheme="majorHAnsi" w:hAnsiTheme="majorHAnsi" w:cstheme="majorHAnsi"/>
              </w:rPr>
              <w:t>n need</w:t>
            </w:r>
            <w:r w:rsidR="0021787D" w:rsidRPr="00D87CCD">
              <w:rPr>
                <w:rFonts w:asciiTheme="majorHAnsi" w:hAnsiTheme="majorHAnsi" w:cstheme="majorHAnsi"/>
              </w:rPr>
              <w:t xml:space="preserve"> for such treatment</w:t>
            </w:r>
            <w:r w:rsidR="0020664F" w:rsidRPr="00D87CCD">
              <w:rPr>
                <w:rFonts w:asciiTheme="majorHAnsi" w:hAnsiTheme="majorHAnsi" w:cstheme="majorHAnsi"/>
              </w:rPr>
              <w:t>.</w:t>
            </w:r>
          </w:p>
          <w:p w14:paraId="68EAB402" w14:textId="77777777" w:rsidR="0020664F" w:rsidRPr="00D87CCD" w:rsidRDefault="0020664F" w:rsidP="00D87CCD">
            <w:pPr>
              <w:spacing w:after="0" w:line="240" w:lineRule="auto"/>
              <w:jc w:val="both"/>
              <w:rPr>
                <w:rFonts w:asciiTheme="majorHAnsi" w:hAnsiTheme="majorHAnsi" w:cstheme="majorHAnsi"/>
              </w:rPr>
            </w:pPr>
          </w:p>
          <w:p w14:paraId="3283078B" w14:textId="65557218" w:rsidR="00EB3BB1" w:rsidRPr="00D87CCD" w:rsidRDefault="0020664F" w:rsidP="00D87CCD">
            <w:pPr>
              <w:spacing w:after="0" w:line="240" w:lineRule="auto"/>
              <w:jc w:val="both"/>
              <w:rPr>
                <w:rFonts w:asciiTheme="majorHAnsi" w:hAnsiTheme="majorHAnsi" w:cstheme="majorHAnsi"/>
                <w:b/>
              </w:rPr>
            </w:pPr>
            <w:r w:rsidRPr="00D87CCD">
              <w:rPr>
                <w:rFonts w:asciiTheme="majorHAnsi" w:hAnsiTheme="majorHAnsi" w:cstheme="majorHAnsi"/>
                <w:b/>
              </w:rPr>
              <w:t>NGOs</w:t>
            </w:r>
            <w:r w:rsidRPr="00974FD7">
              <w:rPr>
                <w:rFonts w:asciiTheme="majorHAnsi" w:hAnsiTheme="majorHAnsi" w:cstheme="majorHAnsi"/>
                <w:b/>
              </w:rPr>
              <w:t xml:space="preserve"> </w:t>
            </w:r>
            <w:r w:rsidRPr="00D87CCD">
              <w:rPr>
                <w:rFonts w:asciiTheme="majorHAnsi" w:hAnsiTheme="majorHAnsi" w:cstheme="majorHAnsi"/>
                <w:b/>
              </w:rPr>
              <w:t>involvement</w:t>
            </w:r>
            <w:r w:rsidRPr="00974FD7">
              <w:rPr>
                <w:rFonts w:asciiTheme="majorHAnsi" w:hAnsiTheme="majorHAnsi" w:cstheme="majorHAnsi"/>
                <w:b/>
              </w:rPr>
              <w:t xml:space="preserve"> </w:t>
            </w:r>
            <w:r w:rsidRPr="00D87CCD">
              <w:rPr>
                <w:rFonts w:asciiTheme="majorHAnsi" w:hAnsiTheme="majorHAnsi" w:cstheme="majorHAnsi"/>
                <w:b/>
              </w:rPr>
              <w:t>in</w:t>
            </w:r>
            <w:r w:rsidRPr="00974FD7">
              <w:rPr>
                <w:rFonts w:asciiTheme="majorHAnsi" w:hAnsiTheme="majorHAnsi" w:cstheme="majorHAnsi"/>
                <w:b/>
              </w:rPr>
              <w:t xml:space="preserve"> </w:t>
            </w:r>
            <w:r w:rsidRPr="00D87CCD">
              <w:rPr>
                <w:rFonts w:asciiTheme="majorHAnsi" w:hAnsiTheme="majorHAnsi" w:cstheme="majorHAnsi"/>
                <w:b/>
              </w:rPr>
              <w:t>TB</w:t>
            </w:r>
            <w:r w:rsidRPr="00974FD7">
              <w:rPr>
                <w:rFonts w:asciiTheme="majorHAnsi" w:hAnsiTheme="majorHAnsi" w:cstheme="majorHAnsi"/>
                <w:b/>
              </w:rPr>
              <w:t xml:space="preserve"> </w:t>
            </w:r>
            <w:r w:rsidRPr="00D87CCD">
              <w:rPr>
                <w:rFonts w:asciiTheme="majorHAnsi" w:hAnsiTheme="majorHAnsi" w:cstheme="majorHAnsi"/>
                <w:b/>
              </w:rPr>
              <w:t>community</w:t>
            </w:r>
            <w:r w:rsidR="00E513D2" w:rsidRPr="00974FD7">
              <w:rPr>
                <w:rFonts w:asciiTheme="majorHAnsi" w:hAnsiTheme="majorHAnsi" w:cstheme="majorHAnsi"/>
                <w:b/>
              </w:rPr>
              <w:t xml:space="preserve">-based </w:t>
            </w:r>
            <w:r w:rsidRPr="00D87CCD">
              <w:rPr>
                <w:rFonts w:asciiTheme="majorHAnsi" w:hAnsiTheme="majorHAnsi" w:cstheme="majorHAnsi"/>
                <w:b/>
              </w:rPr>
              <w:t>programs</w:t>
            </w:r>
          </w:p>
          <w:p w14:paraId="11126679" w14:textId="28E47CDF" w:rsidR="006C3106" w:rsidRPr="00D87CCD" w:rsidRDefault="00234130" w:rsidP="00D87CCD">
            <w:pPr>
              <w:spacing w:after="0" w:line="240" w:lineRule="auto"/>
              <w:jc w:val="both"/>
              <w:rPr>
                <w:rFonts w:asciiTheme="majorHAnsi" w:hAnsiTheme="majorHAnsi" w:cstheme="majorHAnsi"/>
              </w:rPr>
            </w:pPr>
            <w:r w:rsidRPr="00D87CCD">
              <w:rPr>
                <w:rFonts w:asciiTheme="majorHAnsi" w:hAnsiTheme="majorHAnsi" w:cstheme="majorHAnsi"/>
              </w:rPr>
              <w:t>Supportive services are desgned</w:t>
            </w:r>
            <w:r w:rsidR="006C3106" w:rsidRPr="00D87CCD">
              <w:rPr>
                <w:rFonts w:asciiTheme="majorHAnsi" w:hAnsiTheme="majorHAnsi" w:cstheme="majorHAnsi"/>
              </w:rPr>
              <w:t xml:space="preserve"> </w:t>
            </w:r>
            <w:r w:rsidRPr="00D87CCD">
              <w:rPr>
                <w:rFonts w:asciiTheme="majorHAnsi" w:hAnsiTheme="majorHAnsi" w:cstheme="majorHAnsi"/>
              </w:rPr>
              <w:t xml:space="preserve">and proposed </w:t>
            </w:r>
            <w:r w:rsidR="006C3106" w:rsidRPr="00D87CCD">
              <w:rPr>
                <w:rFonts w:asciiTheme="majorHAnsi" w:hAnsiTheme="majorHAnsi" w:cstheme="majorHAnsi"/>
              </w:rPr>
              <w:t>to address the specific needs of communities</w:t>
            </w:r>
            <w:r w:rsidRPr="00D87CCD">
              <w:rPr>
                <w:rFonts w:asciiTheme="majorHAnsi" w:hAnsiTheme="majorHAnsi" w:cstheme="majorHAnsi"/>
              </w:rPr>
              <w:t xml:space="preserve"> to be implementated by community-based organizations. Special consideration regarding the services provision is given to high-risk groups because of their social, </w:t>
            </w:r>
            <w:proofErr w:type="gramStart"/>
            <w:r w:rsidRPr="00D87CCD">
              <w:rPr>
                <w:rFonts w:asciiTheme="majorHAnsi" w:hAnsiTheme="majorHAnsi" w:cstheme="majorHAnsi"/>
              </w:rPr>
              <w:t>economic</w:t>
            </w:r>
            <w:proofErr w:type="gramEnd"/>
            <w:r w:rsidRPr="00D87CCD">
              <w:rPr>
                <w:rFonts w:asciiTheme="majorHAnsi" w:hAnsiTheme="majorHAnsi" w:cstheme="majorHAnsi"/>
              </w:rPr>
              <w:t xml:space="preserve"> or biological factors</w:t>
            </w:r>
            <w:r w:rsidR="00DF593B" w:rsidRPr="00D87CCD">
              <w:rPr>
                <w:rFonts w:asciiTheme="majorHAnsi" w:hAnsiTheme="majorHAnsi" w:cstheme="majorHAnsi"/>
              </w:rPr>
              <w:t xml:space="preserve"> that require actions </w:t>
            </w:r>
            <w:r w:rsidRPr="00D87CCD">
              <w:rPr>
                <w:rFonts w:asciiTheme="majorHAnsi" w:hAnsiTheme="majorHAnsi" w:cstheme="majorHAnsi"/>
              </w:rPr>
              <w:t xml:space="preserve">beyond </w:t>
            </w:r>
            <w:r w:rsidR="00DF593B" w:rsidRPr="00D87CCD">
              <w:rPr>
                <w:rFonts w:asciiTheme="majorHAnsi" w:hAnsiTheme="majorHAnsi" w:cstheme="majorHAnsi"/>
              </w:rPr>
              <w:t>helping</w:t>
            </w:r>
            <w:r w:rsidRPr="00D87CCD">
              <w:rPr>
                <w:rFonts w:asciiTheme="majorHAnsi" w:hAnsiTheme="majorHAnsi" w:cstheme="majorHAnsi"/>
              </w:rPr>
              <w:t xml:space="preserve"> them </w:t>
            </w:r>
            <w:r w:rsidR="00DF593B" w:rsidRPr="00D87CCD">
              <w:rPr>
                <w:rFonts w:asciiTheme="majorHAnsi" w:hAnsiTheme="majorHAnsi" w:cstheme="majorHAnsi"/>
              </w:rPr>
              <w:t xml:space="preserve">to access healthcare services and benefit from available social assistance schemes. The supportive </w:t>
            </w:r>
            <w:r w:rsidR="006C3106" w:rsidRPr="00D87CCD">
              <w:rPr>
                <w:rFonts w:asciiTheme="majorHAnsi" w:hAnsiTheme="majorHAnsi" w:cstheme="majorHAnsi"/>
              </w:rPr>
              <w:t>services in general also help tackle stigma and discrimination at the community level.</w:t>
            </w:r>
          </w:p>
          <w:p w14:paraId="21F24091" w14:textId="77777777" w:rsidR="00EB3BB1" w:rsidRPr="00974FD7" w:rsidRDefault="00EB3BB1" w:rsidP="00D87CCD">
            <w:pPr>
              <w:spacing w:after="0" w:line="240" w:lineRule="auto"/>
              <w:jc w:val="both"/>
              <w:rPr>
                <w:rFonts w:asciiTheme="majorHAnsi" w:hAnsiTheme="majorHAnsi" w:cstheme="majorHAnsi"/>
              </w:rPr>
            </w:pPr>
          </w:p>
          <w:p w14:paraId="251AE415" w14:textId="7F44AAFF" w:rsidR="00E865E7" w:rsidRPr="00D87CCD" w:rsidRDefault="00E865E7" w:rsidP="00D87CCD">
            <w:pPr>
              <w:spacing w:after="0" w:line="240" w:lineRule="auto"/>
              <w:jc w:val="both"/>
              <w:rPr>
                <w:rFonts w:asciiTheme="majorHAnsi" w:hAnsiTheme="majorHAnsi" w:cstheme="majorHAnsi"/>
              </w:rPr>
            </w:pPr>
            <w:r w:rsidRPr="00D87CCD">
              <w:rPr>
                <w:rFonts w:asciiTheme="majorHAnsi" w:hAnsiTheme="majorHAnsi" w:cstheme="majorHAnsi"/>
              </w:rPr>
              <w:t xml:space="preserve">From Kazakhstan's experience, the involvement of CSO in TB control has addressed the gaps in medical and supportive services at the community level and has contributed significantly to building the patient-centered service delivery model to cover key and hard-to-reach population groups by a required set of services. The NGO-led services aiming to enhence adherence to treatment of TB patients receiving ambulatory therapy include: (i) informing/counseling to enhance medication adherence; (ii) organization of meetings of the support groups; (iii) peer-to-peer counseling and educating family members about the problems a TB patient might have during TB treatment and possible solutions to enhance family support; (iv) risk assessment of non-adherence to treatment and an individual support plan development; (v) referring/escorting to social services available at the community; (vi) referring beneficiaries to get legal advice; (vii) advocacy for increased accessibility of resources, services and drugs based on information collected from patients with tuberculosis on the quality of medical services, disruptions in the provision of benefits, shortages of drugs and personal expenses through the «OneImpact Kazakhstan» mobile application; </w:t>
            </w:r>
            <w:r w:rsidR="007F6346" w:rsidRPr="00D87CCD">
              <w:rPr>
                <w:rFonts w:asciiTheme="majorHAnsi" w:hAnsiTheme="majorHAnsi" w:cstheme="majorHAnsi"/>
              </w:rPr>
              <w:t xml:space="preserve">and </w:t>
            </w:r>
            <w:r w:rsidRPr="00D87CCD">
              <w:rPr>
                <w:rFonts w:asciiTheme="majorHAnsi" w:hAnsiTheme="majorHAnsi" w:cstheme="majorHAnsi"/>
              </w:rPr>
              <w:t xml:space="preserve">(viii) awareness-raising activities to reduce stigma and discrimination towards TB patients.   </w:t>
            </w:r>
          </w:p>
          <w:p w14:paraId="6F11F268" w14:textId="13ACCF5A" w:rsidR="0020664F" w:rsidRPr="00D87CCD" w:rsidRDefault="0020664F" w:rsidP="00D87CCD">
            <w:pPr>
              <w:spacing w:after="0" w:line="240" w:lineRule="auto"/>
              <w:jc w:val="both"/>
              <w:rPr>
                <w:rFonts w:asciiTheme="majorHAnsi" w:hAnsiTheme="majorHAnsi" w:cstheme="majorHAnsi"/>
                <w:color w:val="00B050"/>
              </w:rPr>
            </w:pPr>
            <w:r w:rsidRPr="00D87CCD">
              <w:rPr>
                <w:rFonts w:asciiTheme="majorHAnsi" w:hAnsiTheme="majorHAnsi" w:cstheme="majorHAnsi"/>
              </w:rPr>
              <w:t xml:space="preserve">   </w:t>
            </w:r>
          </w:p>
          <w:p w14:paraId="36093192" w14:textId="29679508" w:rsidR="0020664F" w:rsidRPr="00D87CCD" w:rsidRDefault="00180DDA" w:rsidP="00D87CCD">
            <w:pPr>
              <w:spacing w:after="0" w:line="240" w:lineRule="auto"/>
              <w:jc w:val="both"/>
              <w:rPr>
                <w:rFonts w:asciiTheme="majorHAnsi" w:hAnsiTheme="majorHAnsi" w:cstheme="majorHAnsi"/>
              </w:rPr>
            </w:pPr>
            <w:r w:rsidRPr="00D87CCD">
              <w:rPr>
                <w:rFonts w:asciiTheme="majorHAnsi" w:hAnsiTheme="majorHAnsi" w:cstheme="majorHAnsi"/>
              </w:rPr>
              <w:t>The NGO-led screening in key population groups is a component of a</w:t>
            </w:r>
            <w:r w:rsidR="002069BF" w:rsidRPr="00D87CCD">
              <w:rPr>
                <w:rFonts w:asciiTheme="majorHAnsi" w:hAnsiTheme="majorHAnsi" w:cstheme="majorHAnsi"/>
              </w:rPr>
              <w:t>ctive case finding, allowing breaking</w:t>
            </w:r>
            <w:r w:rsidRPr="00D87CCD">
              <w:rPr>
                <w:rFonts w:asciiTheme="majorHAnsi" w:hAnsiTheme="majorHAnsi" w:cstheme="majorHAnsi"/>
              </w:rPr>
              <w:t xml:space="preserve"> the chain of transmission, as many representatives of these groups might not have been identified and diagnosed if to rely on passive case finding only. Screening services delivered by NGOs also reduce patients' costs that might incur during TB diagnosis. During the first 18 months of the current GF grant from Jan 2020 till June 2021, 19 NGOs have received funding for 15 months of operation and reached over 94,000 key popu</w:t>
            </w:r>
            <w:r w:rsidR="00B31E45">
              <w:rPr>
                <w:rFonts w:asciiTheme="majorHAnsi" w:hAnsiTheme="majorHAnsi" w:cstheme="majorHAnsi"/>
              </w:rPr>
              <w:t>lation and their clients by</w:t>
            </w:r>
            <w:r w:rsidRPr="00D87CCD">
              <w:rPr>
                <w:rFonts w:asciiTheme="majorHAnsi" w:hAnsiTheme="majorHAnsi" w:cstheme="majorHAnsi"/>
              </w:rPr>
              <w:t xml:space="preserve"> supportive services. This allows detecting 681 new TB cases</w:t>
            </w:r>
            <w:r w:rsidR="005E58E5" w:rsidRPr="00D87CCD">
              <w:rPr>
                <w:rFonts w:asciiTheme="majorHAnsi" w:hAnsiTheme="majorHAnsi" w:cstheme="majorHAnsi"/>
              </w:rPr>
              <w:t xml:space="preserve"> or about 579 cases per 100,000</w:t>
            </w:r>
            <w:r w:rsidRPr="00D87CCD">
              <w:rPr>
                <w:rFonts w:asciiTheme="majorHAnsi" w:hAnsiTheme="majorHAnsi" w:cstheme="majorHAnsi"/>
              </w:rPr>
              <w:t xml:space="preserve"> over </w:t>
            </w:r>
            <w:proofErr w:type="gramStart"/>
            <w:r w:rsidRPr="00D87CCD">
              <w:rPr>
                <w:rFonts w:asciiTheme="majorHAnsi" w:hAnsiTheme="majorHAnsi" w:cstheme="majorHAnsi"/>
              </w:rPr>
              <w:t>12 month</w:t>
            </w:r>
            <w:proofErr w:type="gramEnd"/>
            <w:r w:rsidRPr="00D87CCD">
              <w:rPr>
                <w:rFonts w:asciiTheme="majorHAnsi" w:hAnsiTheme="majorHAnsi" w:cstheme="majorHAnsi"/>
              </w:rPr>
              <w:t xml:space="preserve"> period, which compares favorably with the country's TB incidence rate of 52 per 100,000 in 2020, suggesting a ten-fold case-finding advantage of NGOs in key and hard-to-reach population groups. </w:t>
            </w:r>
            <w:r w:rsidR="002069BF" w:rsidRPr="00D87CCD">
              <w:rPr>
                <w:rFonts w:asciiTheme="majorHAnsi" w:hAnsiTheme="majorHAnsi" w:cstheme="majorHAnsi"/>
              </w:rPr>
              <w:t xml:space="preserve">Further, during the same period, the NGOs provided treatment support to 3,170 clients </w:t>
            </w:r>
            <w:r w:rsidR="0020664F" w:rsidRPr="00D87CCD">
              <w:rPr>
                <w:rFonts w:asciiTheme="majorHAnsi" w:hAnsiTheme="majorHAnsi" w:cstheme="majorHAnsi"/>
              </w:rPr>
              <w:t>or</w:t>
            </w:r>
            <w:r w:rsidR="002069BF" w:rsidRPr="00D87CCD">
              <w:rPr>
                <w:rFonts w:asciiTheme="majorHAnsi" w:hAnsiTheme="majorHAnsi" w:cstheme="majorHAnsi"/>
              </w:rPr>
              <w:t xml:space="preserve"> </w:t>
            </w:r>
            <w:r w:rsidR="00050302" w:rsidRPr="00D87CCD">
              <w:rPr>
                <w:rFonts w:asciiTheme="majorHAnsi" w:hAnsiTheme="majorHAnsi" w:cstheme="majorHAnsi"/>
              </w:rPr>
              <w:t xml:space="preserve">prorated </w:t>
            </w:r>
            <w:r w:rsidR="002069BF" w:rsidRPr="00D87CCD">
              <w:rPr>
                <w:rFonts w:asciiTheme="majorHAnsi" w:hAnsiTheme="majorHAnsi" w:cstheme="majorHAnsi"/>
              </w:rPr>
              <w:t xml:space="preserve">to nearly </w:t>
            </w:r>
            <w:r w:rsidR="0020664F" w:rsidRPr="00D87CCD">
              <w:rPr>
                <w:rFonts w:asciiTheme="majorHAnsi" w:hAnsiTheme="majorHAnsi" w:cstheme="majorHAnsi"/>
              </w:rPr>
              <w:t>2,500</w:t>
            </w:r>
            <w:r w:rsidR="002069BF" w:rsidRPr="00D87CCD">
              <w:rPr>
                <w:rFonts w:asciiTheme="majorHAnsi" w:hAnsiTheme="majorHAnsi" w:cstheme="majorHAnsi"/>
              </w:rPr>
              <w:t xml:space="preserve"> benefici</w:t>
            </w:r>
            <w:r w:rsidR="00EE76FA" w:rsidRPr="00D87CCD">
              <w:rPr>
                <w:rFonts w:asciiTheme="majorHAnsi" w:hAnsiTheme="majorHAnsi" w:cstheme="majorHAnsi"/>
              </w:rPr>
              <w:t>a</w:t>
            </w:r>
            <w:r w:rsidR="002069BF" w:rsidRPr="00D87CCD">
              <w:rPr>
                <w:rFonts w:asciiTheme="majorHAnsi" w:hAnsiTheme="majorHAnsi" w:cstheme="majorHAnsi"/>
              </w:rPr>
              <w:t>ries in 12 months</w:t>
            </w:r>
            <w:r w:rsidR="0020664F" w:rsidRPr="00D87CCD">
              <w:rPr>
                <w:rFonts w:asciiTheme="majorHAnsi" w:hAnsiTheme="majorHAnsi" w:cstheme="majorHAnsi"/>
              </w:rPr>
              <w:t xml:space="preserve">. This roughly accounts for 25% of the country’s total treatment cases in 2020 (about 10,000 cases </w:t>
            </w:r>
            <w:r w:rsidR="002069BF" w:rsidRPr="00D87CCD">
              <w:rPr>
                <w:rFonts w:asciiTheme="majorHAnsi" w:hAnsiTheme="majorHAnsi" w:cstheme="majorHAnsi"/>
              </w:rPr>
              <w:t xml:space="preserve">were </w:t>
            </w:r>
            <w:r w:rsidR="0020664F" w:rsidRPr="00D87CCD">
              <w:rPr>
                <w:rFonts w:asciiTheme="majorHAnsi" w:hAnsiTheme="majorHAnsi" w:cstheme="majorHAnsi"/>
              </w:rPr>
              <w:t>on treatment in 2020). Of the 3,170 clients supported by the</w:t>
            </w:r>
            <w:r w:rsidR="00EE76FA" w:rsidRPr="00D87CCD">
              <w:rPr>
                <w:rFonts w:asciiTheme="majorHAnsi" w:hAnsiTheme="majorHAnsi" w:cstheme="majorHAnsi"/>
              </w:rPr>
              <w:t xml:space="preserve"> NGOs, 96% missed no more than three</w:t>
            </w:r>
            <w:r w:rsidR="0020664F" w:rsidRPr="00D87CCD">
              <w:rPr>
                <w:rFonts w:asciiTheme="majorHAnsi" w:hAnsiTheme="majorHAnsi" w:cstheme="majorHAnsi"/>
              </w:rPr>
              <w:t xml:space="preserve"> doses per month under the care of these NGOs</w:t>
            </w:r>
            <w:r w:rsidR="0020664F" w:rsidRPr="00D87CCD">
              <w:rPr>
                <w:rFonts w:asciiTheme="majorHAnsi" w:hAnsiTheme="majorHAnsi" w:cstheme="majorHAnsi"/>
                <w:vertAlign w:val="superscript"/>
              </w:rPr>
              <w:footnoteReference w:id="73"/>
            </w:r>
            <w:r w:rsidR="0020664F" w:rsidRPr="00D87CCD">
              <w:rPr>
                <w:rFonts w:asciiTheme="majorHAnsi" w:hAnsiTheme="majorHAnsi" w:cstheme="majorHAnsi"/>
              </w:rPr>
              <w:t>.</w:t>
            </w:r>
          </w:p>
          <w:p w14:paraId="49296064" w14:textId="77777777" w:rsidR="002069BF" w:rsidRPr="00D87CCD" w:rsidRDefault="002069BF" w:rsidP="00D87CCD">
            <w:pPr>
              <w:spacing w:after="0" w:line="240" w:lineRule="auto"/>
              <w:jc w:val="both"/>
              <w:rPr>
                <w:rFonts w:asciiTheme="majorHAnsi" w:hAnsiTheme="majorHAnsi" w:cstheme="majorHAnsi"/>
              </w:rPr>
            </w:pPr>
          </w:p>
          <w:p w14:paraId="2DC47705" w14:textId="191340AF" w:rsidR="009D0017" w:rsidRPr="00D87CCD" w:rsidRDefault="009D0017" w:rsidP="00D87CCD">
            <w:pPr>
              <w:spacing w:after="0" w:line="240" w:lineRule="auto"/>
              <w:jc w:val="both"/>
              <w:rPr>
                <w:rFonts w:asciiTheme="majorHAnsi" w:hAnsiTheme="majorHAnsi" w:cstheme="majorHAnsi"/>
                <w:b/>
              </w:rPr>
            </w:pPr>
            <w:r w:rsidRPr="00D87CCD">
              <w:rPr>
                <w:rFonts w:asciiTheme="majorHAnsi" w:hAnsiTheme="majorHAnsi" w:cstheme="majorHAnsi"/>
                <w:b/>
              </w:rPr>
              <w:t>Piloting NGOs new funding arrangement</w:t>
            </w:r>
          </w:p>
          <w:p w14:paraId="0A05811D" w14:textId="12E673D4" w:rsidR="00007BFF" w:rsidRPr="00D87CCD" w:rsidRDefault="00EC4166" w:rsidP="00D87CCD">
            <w:pPr>
              <w:spacing w:after="0" w:line="240" w:lineRule="auto"/>
              <w:jc w:val="both"/>
              <w:rPr>
                <w:rFonts w:asciiTheme="majorHAnsi" w:hAnsiTheme="majorHAnsi" w:cstheme="majorHAnsi"/>
                <w:color w:val="000000"/>
              </w:rPr>
            </w:pPr>
            <w:r w:rsidRPr="00D87CCD">
              <w:rPr>
                <w:rFonts w:asciiTheme="majorHAnsi" w:hAnsiTheme="majorHAnsi" w:cstheme="majorHAnsi"/>
                <w:color w:val="000000"/>
              </w:rPr>
              <w:t>The costing methodology and instrument developed within the frame of the project</w:t>
            </w:r>
            <w:r w:rsidRPr="00D87CCD">
              <w:rPr>
                <w:rStyle w:val="af"/>
                <w:rFonts w:asciiTheme="majorHAnsi" w:hAnsiTheme="majorHAnsi" w:cstheme="majorHAnsi"/>
                <w:color w:val="000000"/>
              </w:rPr>
              <w:footnoteReference w:id="74"/>
            </w:r>
            <w:r w:rsidRPr="00D87CCD">
              <w:rPr>
                <w:rFonts w:asciiTheme="majorHAnsi" w:hAnsiTheme="majorHAnsi" w:cstheme="majorHAnsi"/>
                <w:color w:val="000000"/>
              </w:rPr>
              <w:t xml:space="preserve"> </w:t>
            </w:r>
            <w:r w:rsidR="005B5468" w:rsidRPr="00D87CCD">
              <w:rPr>
                <w:rFonts w:asciiTheme="majorHAnsi" w:hAnsiTheme="majorHAnsi" w:cstheme="majorHAnsi"/>
                <w:color w:val="000000"/>
              </w:rPr>
              <w:t>aimed to standardize the package of community-based support services to improve TB outcomes will be applied to shift to a more transparent service package tariff-based payment of NGOs. The selection of services and methodology in costing will be adapted to the region's needs and specific circumstances. Availability of a resource tracking mechanism and the costing tool will inform on funding arrangements and can be used both by the local governments and NGOs in their advocacy efforts for expanding funding under the social order on TB.</w:t>
            </w:r>
          </w:p>
        </w:tc>
      </w:tr>
      <w:tr w:rsidR="00007BFF" w:rsidRPr="00D87CCD" w14:paraId="1096BDD3" w14:textId="77777777" w:rsidTr="00740264">
        <w:trPr>
          <w:trHeight w:val="431"/>
        </w:trPr>
        <w:tc>
          <w:tcPr>
            <w:tcW w:w="2448" w:type="dxa"/>
            <w:shd w:val="clear" w:color="auto" w:fill="F2F2F2"/>
            <w:vAlign w:val="center"/>
          </w:tcPr>
          <w:p w14:paraId="256DAB93" w14:textId="77777777" w:rsidR="00007BFF" w:rsidRPr="00D87CCD" w:rsidRDefault="00007BFF" w:rsidP="00D87CCD">
            <w:pPr>
              <w:spacing w:after="0" w:line="240" w:lineRule="auto"/>
              <w:rPr>
                <w:rFonts w:asciiTheme="majorHAnsi" w:hAnsiTheme="majorHAnsi" w:cstheme="majorHAnsi"/>
              </w:rPr>
            </w:pPr>
            <w:r w:rsidRPr="00D87CCD">
              <w:rPr>
                <w:rFonts w:asciiTheme="majorHAnsi" w:hAnsiTheme="majorHAnsi" w:cstheme="majorHAnsi"/>
              </w:rPr>
              <w:t>Expected Outcome</w:t>
            </w:r>
          </w:p>
        </w:tc>
        <w:tc>
          <w:tcPr>
            <w:tcW w:w="7902" w:type="dxa"/>
          </w:tcPr>
          <w:p w14:paraId="73128D3A" w14:textId="7CF912F0" w:rsidR="00411AFC" w:rsidRPr="00D87CCD" w:rsidRDefault="00411AFC" w:rsidP="006A0E08">
            <w:pPr>
              <w:numPr>
                <w:ilvl w:val="0"/>
                <w:numId w:val="30"/>
              </w:numPr>
              <w:spacing w:after="0" w:line="240" w:lineRule="auto"/>
              <w:contextualSpacing/>
              <w:jc w:val="both"/>
              <w:rPr>
                <w:rFonts w:asciiTheme="majorHAnsi" w:hAnsiTheme="majorHAnsi" w:cstheme="majorHAnsi"/>
              </w:rPr>
            </w:pPr>
            <w:r w:rsidRPr="00D87CCD">
              <w:rPr>
                <w:rFonts w:asciiTheme="majorHAnsi" w:hAnsiTheme="majorHAnsi" w:cstheme="majorHAnsi"/>
              </w:rPr>
              <w:t>Strengthened coordination and management of LTBI.</w:t>
            </w:r>
          </w:p>
          <w:p w14:paraId="29C0CFC0" w14:textId="7A586E5B" w:rsidR="00411AFC" w:rsidRPr="00D87CCD" w:rsidRDefault="00411AFC" w:rsidP="006A0E08">
            <w:pPr>
              <w:numPr>
                <w:ilvl w:val="0"/>
                <w:numId w:val="30"/>
              </w:numPr>
              <w:spacing w:after="0" w:line="240" w:lineRule="auto"/>
              <w:contextualSpacing/>
              <w:jc w:val="both"/>
              <w:rPr>
                <w:rFonts w:asciiTheme="majorHAnsi" w:hAnsiTheme="majorHAnsi" w:cstheme="majorHAnsi"/>
              </w:rPr>
            </w:pPr>
            <w:r w:rsidRPr="00D87CCD">
              <w:rPr>
                <w:rFonts w:asciiTheme="majorHAnsi" w:hAnsiTheme="majorHAnsi" w:cstheme="majorHAnsi"/>
              </w:rPr>
              <w:t xml:space="preserve">Approximately 5,000 people are tested annually using QFT-Plus tests. </w:t>
            </w:r>
          </w:p>
          <w:p w14:paraId="64EEBEF5" w14:textId="2D8E8BED" w:rsidR="00411AFC" w:rsidRPr="00D87CCD" w:rsidRDefault="00411AFC" w:rsidP="006A0E08">
            <w:pPr>
              <w:numPr>
                <w:ilvl w:val="0"/>
                <w:numId w:val="30"/>
              </w:numPr>
              <w:spacing w:after="0" w:line="240" w:lineRule="auto"/>
              <w:contextualSpacing/>
              <w:jc w:val="both"/>
              <w:rPr>
                <w:rFonts w:asciiTheme="majorHAnsi" w:hAnsiTheme="majorHAnsi" w:cstheme="majorHAnsi"/>
              </w:rPr>
            </w:pPr>
            <w:r w:rsidRPr="00D87CCD">
              <w:rPr>
                <w:rFonts w:asciiTheme="majorHAnsi" w:hAnsiTheme="majorHAnsi" w:cstheme="majorHAnsi"/>
              </w:rPr>
              <w:t>New TPT regimens for LTBI are adopted in practices.</w:t>
            </w:r>
          </w:p>
          <w:p w14:paraId="36209E69" w14:textId="509AC81B" w:rsidR="00411AFC" w:rsidRPr="00D87CCD" w:rsidRDefault="00411AFC" w:rsidP="006A0E08">
            <w:pPr>
              <w:numPr>
                <w:ilvl w:val="0"/>
                <w:numId w:val="30"/>
              </w:numPr>
              <w:spacing w:after="0" w:line="240" w:lineRule="auto"/>
              <w:contextualSpacing/>
              <w:jc w:val="both"/>
              <w:rPr>
                <w:rFonts w:asciiTheme="majorHAnsi" w:hAnsiTheme="majorHAnsi" w:cstheme="majorHAnsi"/>
              </w:rPr>
            </w:pPr>
            <w:r w:rsidRPr="00D87CCD">
              <w:rPr>
                <w:rFonts w:asciiTheme="majorHAnsi" w:hAnsiTheme="majorHAnsi" w:cstheme="majorHAnsi"/>
              </w:rPr>
              <w:t>Around 2,300 persons annually receive TPT with Rifapentine treatment regimens.</w:t>
            </w:r>
          </w:p>
          <w:p w14:paraId="1C6A0115" w14:textId="67EE612E" w:rsidR="00411AFC" w:rsidRPr="00D87CCD" w:rsidRDefault="005E58E5" w:rsidP="006A0E08">
            <w:pPr>
              <w:numPr>
                <w:ilvl w:val="0"/>
                <w:numId w:val="30"/>
              </w:numPr>
              <w:spacing w:after="0" w:line="240" w:lineRule="auto"/>
              <w:contextualSpacing/>
              <w:jc w:val="both"/>
              <w:rPr>
                <w:rFonts w:asciiTheme="majorHAnsi" w:hAnsiTheme="majorHAnsi" w:cstheme="majorHAnsi"/>
              </w:rPr>
            </w:pPr>
            <w:r w:rsidRPr="00D87CCD">
              <w:rPr>
                <w:rFonts w:asciiTheme="majorHAnsi" w:hAnsiTheme="majorHAnsi" w:cstheme="majorHAnsi"/>
              </w:rPr>
              <w:t>Eighteen</w:t>
            </w:r>
            <w:r w:rsidR="00411AFC" w:rsidRPr="00D87CCD">
              <w:rPr>
                <w:rFonts w:asciiTheme="majorHAnsi" w:hAnsiTheme="majorHAnsi" w:cstheme="majorHAnsi"/>
              </w:rPr>
              <w:t xml:space="preserve"> face-to-face training sessions on LTBI have been conducted in all country regions</w:t>
            </w:r>
            <w:r w:rsidRPr="00D87CCD">
              <w:rPr>
                <w:rFonts w:asciiTheme="majorHAnsi" w:hAnsiTheme="majorHAnsi" w:cstheme="majorHAnsi"/>
              </w:rPr>
              <w:t>;</w:t>
            </w:r>
            <w:r w:rsidR="00411AFC" w:rsidRPr="00D87CCD">
              <w:rPr>
                <w:rFonts w:asciiTheme="majorHAnsi" w:hAnsiTheme="majorHAnsi" w:cstheme="majorHAnsi"/>
              </w:rPr>
              <w:t xml:space="preserve"> enhanced knowledge and competencies of medical staff from regions engaged in LTBI control. </w:t>
            </w:r>
          </w:p>
          <w:p w14:paraId="29B83B6D" w14:textId="3B2237B5" w:rsidR="00411AFC" w:rsidRPr="00D87CCD" w:rsidRDefault="00411AFC" w:rsidP="006A0E08">
            <w:pPr>
              <w:numPr>
                <w:ilvl w:val="0"/>
                <w:numId w:val="30"/>
              </w:numPr>
              <w:spacing w:after="0" w:line="240" w:lineRule="auto"/>
              <w:contextualSpacing/>
              <w:jc w:val="both"/>
              <w:rPr>
                <w:rFonts w:asciiTheme="majorHAnsi" w:hAnsiTheme="majorHAnsi" w:cstheme="majorHAnsi"/>
              </w:rPr>
            </w:pPr>
            <w:r w:rsidRPr="00D87CCD">
              <w:rPr>
                <w:rFonts w:asciiTheme="majorHAnsi" w:hAnsiTheme="majorHAnsi" w:cstheme="majorHAnsi"/>
              </w:rPr>
              <w:t>Nearly 400 trainers underwent e-Learning ToT training sessions on LTBI and developed necessary capacities in regions for the cascade training of respective personnel.</w:t>
            </w:r>
          </w:p>
          <w:p w14:paraId="1BCC924D" w14:textId="37246053" w:rsidR="00411AFC" w:rsidRPr="00D87CCD" w:rsidRDefault="00411AFC" w:rsidP="006A0E08">
            <w:pPr>
              <w:numPr>
                <w:ilvl w:val="0"/>
                <w:numId w:val="30"/>
              </w:numPr>
              <w:spacing w:after="0" w:line="240" w:lineRule="auto"/>
              <w:contextualSpacing/>
              <w:jc w:val="both"/>
              <w:rPr>
                <w:rFonts w:asciiTheme="majorHAnsi" w:hAnsiTheme="majorHAnsi" w:cstheme="majorHAnsi"/>
              </w:rPr>
            </w:pPr>
            <w:r w:rsidRPr="00D87CCD">
              <w:rPr>
                <w:rFonts w:asciiTheme="majorHAnsi" w:hAnsiTheme="majorHAnsi" w:cstheme="majorHAnsi"/>
              </w:rPr>
              <w:t xml:space="preserve">Knowledge and competencies of medical staff in LTBI control on application of the </w:t>
            </w:r>
            <w:r w:rsidR="00AB7753" w:rsidRPr="00D87CCD">
              <w:rPr>
                <w:rFonts w:asciiTheme="majorHAnsi" w:hAnsiTheme="majorHAnsi" w:cstheme="majorHAnsi"/>
              </w:rPr>
              <w:t xml:space="preserve">WHO </w:t>
            </w:r>
            <w:r w:rsidRPr="00D87CCD">
              <w:rPr>
                <w:rFonts w:asciiTheme="majorHAnsi" w:hAnsiTheme="majorHAnsi" w:cstheme="majorHAnsi"/>
              </w:rPr>
              <w:t xml:space="preserve">recent recommendations </w:t>
            </w:r>
            <w:r w:rsidR="00AB7753" w:rsidRPr="00D87CCD">
              <w:rPr>
                <w:rFonts w:asciiTheme="majorHAnsi" w:hAnsiTheme="majorHAnsi" w:cstheme="majorHAnsi"/>
              </w:rPr>
              <w:t>in</w:t>
            </w:r>
            <w:r w:rsidR="00B853EC" w:rsidRPr="00D87CCD">
              <w:rPr>
                <w:rFonts w:asciiTheme="majorHAnsi" w:hAnsiTheme="majorHAnsi" w:cstheme="majorHAnsi"/>
              </w:rPr>
              <w:t xml:space="preserve"> </w:t>
            </w:r>
            <w:r w:rsidRPr="00D87CCD">
              <w:rPr>
                <w:rFonts w:asciiTheme="majorHAnsi" w:hAnsiTheme="majorHAnsi" w:cstheme="majorHAnsi"/>
              </w:rPr>
              <w:t xml:space="preserve">diagnosis and treatment of the LTBI have been enhanced. </w:t>
            </w:r>
          </w:p>
          <w:p w14:paraId="12155550" w14:textId="25CC9479" w:rsidR="00411AFC" w:rsidRPr="00D87CCD" w:rsidRDefault="00411AFC" w:rsidP="006A0E08">
            <w:pPr>
              <w:numPr>
                <w:ilvl w:val="0"/>
                <w:numId w:val="30"/>
              </w:numPr>
              <w:spacing w:after="0" w:line="240" w:lineRule="auto"/>
              <w:contextualSpacing/>
              <w:jc w:val="both"/>
              <w:rPr>
                <w:rFonts w:asciiTheme="majorHAnsi" w:hAnsiTheme="majorHAnsi" w:cstheme="majorHAnsi"/>
              </w:rPr>
            </w:pPr>
            <w:r w:rsidRPr="00D87CCD">
              <w:rPr>
                <w:rFonts w:asciiTheme="majorHAnsi" w:hAnsiTheme="majorHAnsi" w:cstheme="majorHAnsi"/>
              </w:rPr>
              <w:t xml:space="preserve">New funding arrangement for NGOs for the package of community-based support services to improve TB outcomes was piloted, and the costing instrument was handed over to regional government and NGOs. </w:t>
            </w:r>
          </w:p>
          <w:p w14:paraId="7B5BECC2" w14:textId="189D1192" w:rsidR="00411AFC" w:rsidRPr="00D87CCD" w:rsidRDefault="00411AFC" w:rsidP="006A0E08">
            <w:pPr>
              <w:numPr>
                <w:ilvl w:val="0"/>
                <w:numId w:val="30"/>
              </w:numPr>
              <w:spacing w:after="0" w:line="240" w:lineRule="auto"/>
              <w:contextualSpacing/>
              <w:jc w:val="both"/>
              <w:rPr>
                <w:rFonts w:asciiTheme="majorHAnsi" w:hAnsiTheme="majorHAnsi" w:cstheme="majorHAnsi"/>
              </w:rPr>
            </w:pPr>
            <w:r w:rsidRPr="00D87CCD">
              <w:rPr>
                <w:rFonts w:asciiTheme="majorHAnsi" w:hAnsiTheme="majorHAnsi" w:cstheme="majorHAnsi"/>
              </w:rPr>
              <w:t>Minimum 10% of the annually notified TB cases in the country are contributed by the NGOs through community referral mechanism adopted.</w:t>
            </w:r>
          </w:p>
        </w:tc>
      </w:tr>
    </w:tbl>
    <w:p w14:paraId="2FFF44F1" w14:textId="77777777" w:rsidR="009C3E86" w:rsidRPr="00D87CCD" w:rsidRDefault="009C3E86" w:rsidP="00D87CCD">
      <w:pPr>
        <w:pStyle w:val="affff3"/>
        <w:spacing w:after="0" w:line="240" w:lineRule="auto"/>
        <w:ind w:left="360"/>
        <w:jc w:val="both"/>
        <w:rPr>
          <w:rFonts w:asciiTheme="majorHAnsi" w:hAnsiTheme="majorHAnsi" w:cstheme="majorHAnsi"/>
        </w:rPr>
      </w:pPr>
    </w:p>
    <w:tbl>
      <w:tblPr>
        <w:tblStyle w:val="TableGrid3"/>
        <w:tblW w:w="10350" w:type="dxa"/>
        <w:tblInd w:w="-5" w:type="dxa"/>
        <w:tblLook w:val="04A0" w:firstRow="1" w:lastRow="0" w:firstColumn="1" w:lastColumn="0" w:noHBand="0" w:noVBand="1"/>
      </w:tblPr>
      <w:tblGrid>
        <w:gridCol w:w="2448"/>
        <w:gridCol w:w="7902"/>
      </w:tblGrid>
      <w:tr w:rsidR="009C3E86" w:rsidRPr="00D87CCD" w14:paraId="03AA7F44" w14:textId="77777777" w:rsidTr="009C3E86">
        <w:trPr>
          <w:trHeight w:val="422"/>
        </w:trPr>
        <w:tc>
          <w:tcPr>
            <w:tcW w:w="2448" w:type="dxa"/>
            <w:shd w:val="clear" w:color="auto" w:fill="F2F2F2"/>
            <w:vAlign w:val="center"/>
          </w:tcPr>
          <w:p w14:paraId="6F04AC36" w14:textId="77777777" w:rsidR="009C3E86" w:rsidRPr="00D87CCD" w:rsidRDefault="009C3E86" w:rsidP="00D87CCD">
            <w:pPr>
              <w:spacing w:after="0" w:line="240" w:lineRule="auto"/>
              <w:rPr>
                <w:rFonts w:asciiTheme="majorHAnsi" w:hAnsiTheme="majorHAnsi" w:cstheme="majorHAnsi"/>
              </w:rPr>
            </w:pPr>
            <w:r w:rsidRPr="00D87CCD">
              <w:rPr>
                <w:rFonts w:asciiTheme="majorHAnsi" w:hAnsiTheme="majorHAnsi" w:cstheme="majorHAnsi"/>
              </w:rPr>
              <w:t xml:space="preserve">Component </w:t>
            </w:r>
          </w:p>
        </w:tc>
        <w:tc>
          <w:tcPr>
            <w:tcW w:w="7902" w:type="dxa"/>
          </w:tcPr>
          <w:p w14:paraId="214F8B94" w14:textId="31DA3E70" w:rsidR="009C3E86" w:rsidRPr="00D87CCD" w:rsidRDefault="00B31D7F" w:rsidP="00D87CCD">
            <w:pPr>
              <w:spacing w:after="0" w:line="240" w:lineRule="auto"/>
              <w:rPr>
                <w:rFonts w:asciiTheme="majorHAnsi" w:hAnsiTheme="majorHAnsi" w:cstheme="majorHAnsi"/>
              </w:rPr>
            </w:pPr>
            <w:r w:rsidRPr="00D87CCD">
              <w:rPr>
                <w:rFonts w:asciiTheme="majorHAnsi" w:hAnsiTheme="majorHAnsi" w:cstheme="majorHAnsi"/>
              </w:rPr>
              <w:t>Tuberculosis</w:t>
            </w:r>
          </w:p>
        </w:tc>
      </w:tr>
      <w:tr w:rsidR="009C3E86" w:rsidRPr="00D87CCD" w14:paraId="143540C2" w14:textId="77777777" w:rsidTr="009C3E86">
        <w:trPr>
          <w:trHeight w:val="440"/>
        </w:trPr>
        <w:tc>
          <w:tcPr>
            <w:tcW w:w="2448" w:type="dxa"/>
            <w:shd w:val="clear" w:color="auto" w:fill="F2F2F2"/>
            <w:vAlign w:val="center"/>
          </w:tcPr>
          <w:p w14:paraId="3EE106A8" w14:textId="77777777" w:rsidR="009C3E86" w:rsidRPr="00D87CCD" w:rsidRDefault="009C3E86" w:rsidP="00D87CCD">
            <w:pPr>
              <w:spacing w:after="0" w:line="240" w:lineRule="auto"/>
              <w:rPr>
                <w:rFonts w:asciiTheme="majorHAnsi" w:hAnsiTheme="majorHAnsi" w:cstheme="majorHAnsi"/>
              </w:rPr>
            </w:pPr>
            <w:r w:rsidRPr="00D87CCD">
              <w:rPr>
                <w:rFonts w:asciiTheme="majorHAnsi" w:hAnsiTheme="majorHAnsi" w:cstheme="majorHAnsi"/>
              </w:rPr>
              <w:t>Module/interventions</w:t>
            </w:r>
          </w:p>
        </w:tc>
        <w:tc>
          <w:tcPr>
            <w:tcW w:w="7902" w:type="dxa"/>
          </w:tcPr>
          <w:p w14:paraId="747DF22F" w14:textId="77777777" w:rsidR="00B31D7F" w:rsidRPr="00D87CCD" w:rsidRDefault="00B31D7F" w:rsidP="00D87CCD">
            <w:pPr>
              <w:spacing w:after="0" w:line="240" w:lineRule="auto"/>
              <w:jc w:val="both"/>
              <w:rPr>
                <w:rFonts w:asciiTheme="majorHAnsi" w:hAnsiTheme="majorHAnsi" w:cstheme="majorHAnsi"/>
              </w:rPr>
            </w:pPr>
            <w:r w:rsidRPr="00D87CCD">
              <w:rPr>
                <w:rFonts w:asciiTheme="majorHAnsi" w:hAnsiTheme="majorHAnsi" w:cstheme="majorHAnsi"/>
                <w:b/>
              </w:rPr>
              <w:t>Module: RSSH: Health management information systems and M&amp;</w:t>
            </w:r>
            <w:r w:rsidRPr="00D87CCD">
              <w:rPr>
                <w:rFonts w:asciiTheme="majorHAnsi" w:hAnsiTheme="majorHAnsi" w:cstheme="majorHAnsi"/>
              </w:rPr>
              <w:t>E</w:t>
            </w:r>
          </w:p>
          <w:p w14:paraId="1EC0F248" w14:textId="77777777" w:rsidR="00B31D7F" w:rsidRPr="00D87CCD" w:rsidRDefault="00B31D7F" w:rsidP="00D87CCD">
            <w:pPr>
              <w:spacing w:after="0" w:line="240" w:lineRule="auto"/>
              <w:jc w:val="both"/>
              <w:rPr>
                <w:rFonts w:asciiTheme="majorHAnsi" w:hAnsiTheme="majorHAnsi" w:cstheme="majorHAnsi"/>
                <w:i/>
              </w:rPr>
            </w:pPr>
          </w:p>
          <w:p w14:paraId="6B1B7BB6" w14:textId="77777777" w:rsidR="00B31D7F" w:rsidRPr="00D87CCD" w:rsidRDefault="00B31D7F" w:rsidP="00D87CCD">
            <w:pPr>
              <w:spacing w:after="0" w:line="240" w:lineRule="auto"/>
              <w:jc w:val="both"/>
              <w:rPr>
                <w:rFonts w:asciiTheme="majorHAnsi" w:hAnsiTheme="majorHAnsi" w:cstheme="majorHAnsi"/>
                <w:i/>
              </w:rPr>
            </w:pPr>
            <w:r w:rsidRPr="00D87CCD">
              <w:rPr>
                <w:rFonts w:asciiTheme="majorHAnsi" w:hAnsiTheme="majorHAnsi" w:cstheme="majorHAnsi"/>
                <w:i/>
              </w:rPr>
              <w:t>Intervention: Program and data quality</w:t>
            </w:r>
          </w:p>
          <w:p w14:paraId="1865E0DE" w14:textId="77777777" w:rsidR="00B31D7F" w:rsidRPr="00D87CCD" w:rsidRDefault="00B31D7F" w:rsidP="00D87CCD">
            <w:pPr>
              <w:spacing w:after="0" w:line="240" w:lineRule="auto"/>
              <w:jc w:val="both"/>
              <w:rPr>
                <w:rFonts w:asciiTheme="majorHAnsi" w:hAnsiTheme="majorHAnsi" w:cstheme="majorHAnsi"/>
              </w:rPr>
            </w:pPr>
          </w:p>
          <w:p w14:paraId="17705FEB" w14:textId="77777777" w:rsidR="00B31D7F" w:rsidRPr="00D87CCD" w:rsidRDefault="00B31D7F" w:rsidP="00D87CCD">
            <w:pPr>
              <w:spacing w:after="0" w:line="240" w:lineRule="auto"/>
              <w:jc w:val="both"/>
              <w:rPr>
                <w:rFonts w:asciiTheme="majorHAnsi" w:hAnsiTheme="majorHAnsi" w:cstheme="majorHAnsi"/>
              </w:rPr>
            </w:pPr>
            <w:r w:rsidRPr="00D87CCD">
              <w:rPr>
                <w:rFonts w:asciiTheme="majorHAnsi" w:hAnsiTheme="majorHAnsi" w:cstheme="majorHAnsi"/>
              </w:rPr>
              <w:t>Activities:</w:t>
            </w:r>
          </w:p>
          <w:p w14:paraId="4D1C87D9" w14:textId="77777777" w:rsidR="00B31D7F" w:rsidRPr="00D87CCD" w:rsidRDefault="00B31D7F" w:rsidP="00D87CCD">
            <w:pPr>
              <w:pStyle w:val="affff3"/>
              <w:spacing w:after="0" w:line="240" w:lineRule="auto"/>
              <w:jc w:val="both"/>
              <w:rPr>
                <w:rFonts w:asciiTheme="majorHAnsi" w:hAnsiTheme="majorHAnsi" w:cstheme="majorHAnsi"/>
              </w:rPr>
            </w:pPr>
          </w:p>
          <w:p w14:paraId="5A9462A0" w14:textId="05EACDFA" w:rsidR="00B31D7F" w:rsidRPr="00D87CCD" w:rsidRDefault="00B31D7F" w:rsidP="006A0E08">
            <w:pPr>
              <w:pStyle w:val="affff3"/>
              <w:numPr>
                <w:ilvl w:val="2"/>
                <w:numId w:val="35"/>
              </w:numPr>
              <w:spacing w:after="0" w:line="240" w:lineRule="auto"/>
              <w:jc w:val="both"/>
              <w:rPr>
                <w:rFonts w:asciiTheme="majorHAnsi" w:hAnsiTheme="majorHAnsi" w:cstheme="majorHAnsi"/>
              </w:rPr>
            </w:pPr>
            <w:r w:rsidRPr="00D87CCD">
              <w:rPr>
                <w:rFonts w:asciiTheme="majorHAnsi" w:hAnsiTheme="majorHAnsi" w:cstheme="majorHAnsi"/>
              </w:rPr>
              <w:t>NTP supervision</w:t>
            </w:r>
            <w:r w:rsidR="008D4ABC" w:rsidRPr="00D87CCD">
              <w:rPr>
                <w:rFonts w:asciiTheme="majorHAnsi" w:hAnsiTheme="majorHAnsi" w:cstheme="majorHAnsi"/>
              </w:rPr>
              <w:t xml:space="preserve"> and M&amp;E</w:t>
            </w:r>
            <w:r w:rsidRPr="00D87CCD">
              <w:rPr>
                <w:rFonts w:asciiTheme="majorHAnsi" w:hAnsiTheme="majorHAnsi" w:cstheme="majorHAnsi"/>
              </w:rPr>
              <w:t xml:space="preserve"> visits</w:t>
            </w:r>
          </w:p>
          <w:p w14:paraId="09988951" w14:textId="77777777" w:rsidR="00B31D7F" w:rsidRPr="00D87CCD" w:rsidRDefault="00B31D7F" w:rsidP="00D87CCD">
            <w:pPr>
              <w:spacing w:after="0" w:line="240" w:lineRule="auto"/>
              <w:jc w:val="both"/>
              <w:rPr>
                <w:rFonts w:asciiTheme="majorHAnsi" w:hAnsiTheme="majorHAnsi" w:cstheme="majorHAnsi"/>
              </w:rPr>
            </w:pPr>
          </w:p>
          <w:p w14:paraId="006038E7" w14:textId="2C60EBDB" w:rsidR="00B31D7F" w:rsidRPr="00D87CCD" w:rsidRDefault="008304BF" w:rsidP="00D87CCD">
            <w:pPr>
              <w:spacing w:after="0" w:line="240" w:lineRule="auto"/>
              <w:jc w:val="both"/>
              <w:rPr>
                <w:rFonts w:asciiTheme="majorHAnsi" w:hAnsiTheme="majorHAnsi" w:cstheme="majorHAnsi"/>
              </w:rPr>
            </w:pPr>
            <w:r w:rsidRPr="00D87CCD">
              <w:rPr>
                <w:rFonts w:asciiTheme="majorHAnsi" w:hAnsiTheme="majorHAnsi" w:cstheme="majorHAnsi"/>
              </w:rPr>
              <w:t xml:space="preserve">The grant will support regular supportive supervision and M&amp;E visits at the central level to regions to oversee the program's implementation, including innovative people-oriented interventions. Each of fourteen oblasts and three cities of republican significance will be visited once a year during the first two years of the grant implementation. Supplementary visits, including regional supervision within oblasts, will be covered from domestic resources. In 2025 only PIU/NSCP M&amp;E visits are envisaged and be supported from the grant funds. NTP will make the complete takeover of the activity for the consequent years.  </w:t>
            </w:r>
          </w:p>
          <w:p w14:paraId="6A662D13" w14:textId="77777777" w:rsidR="00DE7463" w:rsidRPr="00D87CCD" w:rsidRDefault="00DE7463" w:rsidP="00D87CCD">
            <w:pPr>
              <w:spacing w:after="0" w:line="240" w:lineRule="auto"/>
              <w:jc w:val="both"/>
              <w:rPr>
                <w:rFonts w:asciiTheme="majorHAnsi" w:hAnsiTheme="majorHAnsi" w:cstheme="majorHAnsi"/>
                <w:color w:val="00B050"/>
              </w:rPr>
            </w:pPr>
          </w:p>
          <w:p w14:paraId="0673B370" w14:textId="3D9EC822" w:rsidR="00B31D7F" w:rsidRPr="00D87CCD" w:rsidRDefault="008D6A22" w:rsidP="006A0E08">
            <w:pPr>
              <w:pStyle w:val="affff3"/>
              <w:numPr>
                <w:ilvl w:val="2"/>
                <w:numId w:val="35"/>
              </w:numPr>
              <w:spacing w:after="0" w:line="240" w:lineRule="auto"/>
              <w:jc w:val="both"/>
              <w:rPr>
                <w:rFonts w:asciiTheme="majorHAnsi" w:hAnsiTheme="majorHAnsi" w:cstheme="majorHAnsi"/>
              </w:rPr>
            </w:pPr>
            <w:r w:rsidRPr="00D87CCD">
              <w:rPr>
                <w:rFonts w:asciiTheme="majorHAnsi" w:hAnsiTheme="majorHAnsi" w:cstheme="majorHAnsi"/>
              </w:rPr>
              <w:t xml:space="preserve">Extension of the remote </w:t>
            </w:r>
            <w:r w:rsidR="00B31D7F" w:rsidRPr="00D87CCD">
              <w:rPr>
                <w:rFonts w:asciiTheme="majorHAnsi" w:hAnsiTheme="majorHAnsi" w:cstheme="majorHAnsi"/>
              </w:rPr>
              <w:t xml:space="preserve">M&amp;E activities </w:t>
            </w:r>
            <w:r w:rsidR="00DE7463" w:rsidRPr="00D87CCD">
              <w:rPr>
                <w:rFonts w:asciiTheme="majorHAnsi" w:hAnsiTheme="majorHAnsi" w:cstheme="majorHAnsi"/>
              </w:rPr>
              <w:t>at the regional level</w:t>
            </w:r>
          </w:p>
          <w:p w14:paraId="1FB7880A" w14:textId="77777777" w:rsidR="00B31D7F" w:rsidRPr="00D87CCD" w:rsidRDefault="00B31D7F" w:rsidP="00D87CCD">
            <w:pPr>
              <w:spacing w:after="0" w:line="240" w:lineRule="auto"/>
              <w:jc w:val="both"/>
              <w:rPr>
                <w:rFonts w:asciiTheme="majorHAnsi" w:hAnsiTheme="majorHAnsi" w:cstheme="majorHAnsi"/>
              </w:rPr>
            </w:pPr>
          </w:p>
          <w:p w14:paraId="5D5C01CC" w14:textId="3F445D5C" w:rsidR="00B31D7F" w:rsidRPr="00D87CCD" w:rsidRDefault="00973D68" w:rsidP="00D87CCD">
            <w:pPr>
              <w:spacing w:after="0" w:line="240" w:lineRule="auto"/>
              <w:jc w:val="both"/>
              <w:rPr>
                <w:rFonts w:asciiTheme="majorHAnsi" w:hAnsiTheme="majorHAnsi" w:cstheme="majorHAnsi"/>
              </w:rPr>
            </w:pPr>
            <w:r w:rsidRPr="00D87CCD">
              <w:rPr>
                <w:rFonts w:asciiTheme="majorHAnsi" w:hAnsiTheme="majorHAnsi" w:cstheme="majorHAnsi"/>
              </w:rPr>
              <w:t xml:space="preserve">In 2020-2021, to adjust to quarantine restrictions imposed by the epidemic, the capacity of the NTP has been strengthened under the current GF grants for effective distance monitoring and inclusion of remote visits into the M&amp;E system. Currently, the monitoring system envisages at least two distant appointments of the central M&amp;E team with the regional M&amp;E teams and annual supervisory visits in each oblast and the cities of republican significance. The grant funds will be used to conduct training courses for the personnel responsible for M&amp;E activities at the oblast level to expand the use of remote M&amp;E visits </w:t>
            </w:r>
            <w:r w:rsidR="007F6346" w:rsidRPr="00D87CCD">
              <w:rPr>
                <w:rFonts w:asciiTheme="majorHAnsi" w:hAnsiTheme="majorHAnsi" w:cstheme="majorHAnsi"/>
              </w:rPr>
              <w:t>in</w:t>
            </w:r>
            <w:r w:rsidR="00E52128" w:rsidRPr="00D87CCD">
              <w:rPr>
                <w:rFonts w:asciiTheme="majorHAnsi" w:hAnsiTheme="majorHAnsi" w:cstheme="majorHAnsi"/>
              </w:rPr>
              <w:t xml:space="preserve"> district healthcare facilities</w:t>
            </w:r>
            <w:r w:rsidRPr="00D87CCD">
              <w:rPr>
                <w:rFonts w:asciiTheme="majorHAnsi" w:hAnsiTheme="majorHAnsi" w:cstheme="majorHAnsi"/>
              </w:rPr>
              <w:t xml:space="preserve">. It is expected to conduct two training courses in the first year of the grant and one in each second and third year. </w:t>
            </w:r>
          </w:p>
          <w:p w14:paraId="5F7553A5" w14:textId="77777777" w:rsidR="00973D68" w:rsidRPr="0084448C" w:rsidRDefault="00973D68" w:rsidP="00D87CCD">
            <w:pPr>
              <w:spacing w:after="0" w:line="240" w:lineRule="auto"/>
              <w:jc w:val="both"/>
              <w:rPr>
                <w:rFonts w:asciiTheme="majorHAnsi" w:hAnsiTheme="majorHAnsi" w:cstheme="majorHAnsi"/>
              </w:rPr>
            </w:pPr>
          </w:p>
          <w:p w14:paraId="2DBDDA2F" w14:textId="77777777" w:rsidR="00B31D7F" w:rsidRPr="00D87CCD" w:rsidRDefault="00B31D7F" w:rsidP="00D87CCD">
            <w:pPr>
              <w:spacing w:after="0" w:line="240" w:lineRule="auto"/>
              <w:jc w:val="both"/>
              <w:rPr>
                <w:rFonts w:asciiTheme="majorHAnsi" w:hAnsiTheme="majorHAnsi" w:cstheme="majorHAnsi"/>
                <w:i/>
                <w:lang w:val="ru-RU"/>
              </w:rPr>
            </w:pPr>
            <w:r w:rsidRPr="00D87CCD">
              <w:rPr>
                <w:rFonts w:asciiTheme="majorHAnsi" w:hAnsiTheme="majorHAnsi" w:cstheme="majorHAnsi"/>
                <w:i/>
              </w:rPr>
              <w:t>Intervention</w:t>
            </w:r>
            <w:r w:rsidRPr="00D87CCD">
              <w:rPr>
                <w:rFonts w:asciiTheme="majorHAnsi" w:hAnsiTheme="majorHAnsi" w:cstheme="majorHAnsi"/>
                <w:i/>
                <w:lang w:val="ru-RU"/>
              </w:rPr>
              <w:t xml:space="preserve">: </w:t>
            </w:r>
            <w:r w:rsidRPr="00D87CCD">
              <w:rPr>
                <w:rFonts w:asciiTheme="majorHAnsi" w:hAnsiTheme="majorHAnsi" w:cstheme="majorHAnsi"/>
                <w:i/>
              </w:rPr>
              <w:t>Routine</w:t>
            </w:r>
            <w:r w:rsidRPr="00D87CCD">
              <w:rPr>
                <w:rFonts w:asciiTheme="majorHAnsi" w:hAnsiTheme="majorHAnsi" w:cstheme="majorHAnsi"/>
                <w:i/>
                <w:lang w:val="ru-RU"/>
              </w:rPr>
              <w:t xml:space="preserve"> </w:t>
            </w:r>
            <w:r w:rsidRPr="00D87CCD">
              <w:rPr>
                <w:rFonts w:asciiTheme="majorHAnsi" w:hAnsiTheme="majorHAnsi" w:cstheme="majorHAnsi"/>
                <w:i/>
              </w:rPr>
              <w:t>reporting</w:t>
            </w:r>
          </w:p>
          <w:p w14:paraId="67680634" w14:textId="77777777" w:rsidR="00B31D7F" w:rsidRPr="00D87CCD" w:rsidRDefault="00B31D7F" w:rsidP="00D87CCD">
            <w:pPr>
              <w:spacing w:after="0" w:line="240" w:lineRule="auto"/>
              <w:jc w:val="both"/>
              <w:rPr>
                <w:rFonts w:asciiTheme="majorHAnsi" w:hAnsiTheme="majorHAnsi" w:cstheme="majorHAnsi"/>
                <w:color w:val="00B050"/>
                <w:lang w:val="ru-RU"/>
              </w:rPr>
            </w:pPr>
          </w:p>
          <w:p w14:paraId="1CC2DD86" w14:textId="77777777" w:rsidR="00B31D7F" w:rsidRPr="00D87CCD" w:rsidRDefault="00B31D7F" w:rsidP="00D87CCD">
            <w:pPr>
              <w:spacing w:after="0" w:line="240" w:lineRule="auto"/>
              <w:jc w:val="both"/>
              <w:rPr>
                <w:rFonts w:asciiTheme="majorHAnsi" w:hAnsiTheme="majorHAnsi" w:cstheme="majorHAnsi"/>
                <w:lang w:val="ru-RU"/>
              </w:rPr>
            </w:pPr>
            <w:r w:rsidRPr="00D87CCD">
              <w:rPr>
                <w:rFonts w:asciiTheme="majorHAnsi" w:hAnsiTheme="majorHAnsi" w:cstheme="majorHAnsi"/>
              </w:rPr>
              <w:t>Activities</w:t>
            </w:r>
            <w:r w:rsidRPr="00D87CCD">
              <w:rPr>
                <w:rFonts w:asciiTheme="majorHAnsi" w:hAnsiTheme="majorHAnsi" w:cstheme="majorHAnsi"/>
                <w:lang w:val="ru-RU"/>
              </w:rPr>
              <w:t>:</w:t>
            </w:r>
          </w:p>
          <w:p w14:paraId="7AB90EFB" w14:textId="77777777" w:rsidR="00B31D7F" w:rsidRPr="00D87CCD" w:rsidRDefault="00B31D7F" w:rsidP="00D87CCD">
            <w:pPr>
              <w:spacing w:after="0" w:line="240" w:lineRule="auto"/>
              <w:jc w:val="both"/>
              <w:rPr>
                <w:rFonts w:asciiTheme="majorHAnsi" w:hAnsiTheme="majorHAnsi" w:cstheme="majorHAnsi"/>
                <w:lang w:val="ru-RU"/>
              </w:rPr>
            </w:pPr>
          </w:p>
          <w:p w14:paraId="2880A0F5" w14:textId="3533FFB9" w:rsidR="00B31D7F" w:rsidRPr="00D87CCD" w:rsidRDefault="00D94565" w:rsidP="006A0E08">
            <w:pPr>
              <w:pStyle w:val="affff3"/>
              <w:numPr>
                <w:ilvl w:val="2"/>
                <w:numId w:val="36"/>
              </w:numPr>
              <w:spacing w:after="0" w:line="240" w:lineRule="auto"/>
              <w:jc w:val="both"/>
              <w:rPr>
                <w:rFonts w:asciiTheme="majorHAnsi" w:hAnsiTheme="majorHAnsi" w:cstheme="majorHAnsi"/>
              </w:rPr>
            </w:pPr>
            <w:r w:rsidRPr="00D87CCD">
              <w:rPr>
                <w:rFonts w:asciiTheme="majorHAnsi" w:hAnsiTheme="majorHAnsi" w:cstheme="majorHAnsi"/>
              </w:rPr>
              <w:t>National consultant in maintaining National TB Registry</w:t>
            </w:r>
          </w:p>
          <w:p w14:paraId="69AB8E86" w14:textId="77777777" w:rsidR="00B31D7F" w:rsidRPr="00D87CCD" w:rsidRDefault="00B31D7F" w:rsidP="00D87CCD">
            <w:pPr>
              <w:spacing w:after="0" w:line="240" w:lineRule="auto"/>
              <w:jc w:val="both"/>
              <w:rPr>
                <w:rFonts w:asciiTheme="majorHAnsi" w:hAnsiTheme="majorHAnsi" w:cstheme="majorHAnsi"/>
              </w:rPr>
            </w:pPr>
          </w:p>
          <w:p w14:paraId="79D5112B" w14:textId="77777777" w:rsidR="00C36AF0" w:rsidRPr="00D87CCD" w:rsidRDefault="00C36AF0" w:rsidP="00D87CCD">
            <w:pPr>
              <w:spacing w:after="0" w:line="240" w:lineRule="auto"/>
              <w:jc w:val="both"/>
              <w:rPr>
                <w:rFonts w:asciiTheme="majorHAnsi" w:hAnsiTheme="majorHAnsi" w:cstheme="majorHAnsi"/>
              </w:rPr>
            </w:pPr>
            <w:r w:rsidRPr="00D87CCD">
              <w:rPr>
                <w:rFonts w:asciiTheme="majorHAnsi" w:hAnsiTheme="majorHAnsi" w:cstheme="majorHAnsi"/>
              </w:rPr>
              <w:t>The grant funds will be used to support the activities of the national consultant in the NRBT maintenance by the end date of the grant. The scope of work will cover (i) analysis and reports preparation on indicators by regions and sectors; (ii) making recommendations for streamlining the NRBT system and participating in electronic registration and reporting forms revisions exercise; (iii) synchronization with other databases within the health care system; and (iv) interactions with national and international partners on issues related to updating and maintaining the database, data security, reporting to the WHO.</w:t>
            </w:r>
          </w:p>
          <w:p w14:paraId="6E606C8B" w14:textId="77777777" w:rsidR="00B31D7F" w:rsidRPr="0084448C" w:rsidRDefault="00B31D7F" w:rsidP="00D87CCD">
            <w:pPr>
              <w:spacing w:after="0" w:line="240" w:lineRule="auto"/>
              <w:rPr>
                <w:rFonts w:asciiTheme="majorHAnsi" w:hAnsiTheme="majorHAnsi" w:cstheme="majorHAnsi"/>
                <w:color w:val="00B050"/>
              </w:rPr>
            </w:pPr>
          </w:p>
          <w:p w14:paraId="0430F308" w14:textId="77777777" w:rsidR="00B31D7F" w:rsidRPr="00D87CCD" w:rsidRDefault="00B31D7F" w:rsidP="006A0E08">
            <w:pPr>
              <w:pStyle w:val="affff3"/>
              <w:numPr>
                <w:ilvl w:val="2"/>
                <w:numId w:val="36"/>
              </w:numPr>
              <w:spacing w:after="0" w:line="240" w:lineRule="auto"/>
              <w:jc w:val="both"/>
              <w:rPr>
                <w:rFonts w:asciiTheme="majorHAnsi" w:hAnsiTheme="majorHAnsi" w:cstheme="majorHAnsi"/>
              </w:rPr>
            </w:pPr>
            <w:r w:rsidRPr="00D87CCD">
              <w:rPr>
                <w:rFonts w:asciiTheme="majorHAnsi" w:hAnsiTheme="majorHAnsi" w:cstheme="majorHAnsi"/>
              </w:rPr>
              <w:t xml:space="preserve">Maintenance and updates of the National TB Register </w:t>
            </w:r>
          </w:p>
          <w:p w14:paraId="5732ED07" w14:textId="77777777" w:rsidR="003763B3" w:rsidRPr="00D87CCD" w:rsidRDefault="003763B3" w:rsidP="00D87CCD">
            <w:pPr>
              <w:spacing w:after="0" w:line="240" w:lineRule="auto"/>
              <w:jc w:val="both"/>
              <w:rPr>
                <w:rFonts w:asciiTheme="majorHAnsi" w:hAnsiTheme="majorHAnsi" w:cstheme="majorHAnsi"/>
              </w:rPr>
            </w:pPr>
          </w:p>
          <w:p w14:paraId="14001BC6" w14:textId="03755236" w:rsidR="003763B3" w:rsidRPr="0084448C" w:rsidRDefault="003763B3" w:rsidP="00D87CCD">
            <w:pPr>
              <w:spacing w:after="0" w:line="240" w:lineRule="auto"/>
              <w:jc w:val="both"/>
              <w:rPr>
                <w:rFonts w:asciiTheme="majorHAnsi" w:hAnsiTheme="majorHAnsi" w:cstheme="majorHAnsi"/>
              </w:rPr>
            </w:pPr>
            <w:r w:rsidRPr="0084448C">
              <w:rPr>
                <w:rFonts w:asciiTheme="majorHAnsi" w:hAnsiTheme="majorHAnsi" w:cstheme="majorHAnsi"/>
              </w:rPr>
              <w:t>With the frequent emergence of new recommendations from the WHO and technical partners, updating the NRBT system regularly and having sustainable technical support becomes necessary. For this purpose, a</w:t>
            </w:r>
            <w:r w:rsidR="00B31D7F" w:rsidRPr="00D87CCD">
              <w:rPr>
                <w:rFonts w:asciiTheme="majorHAnsi" w:hAnsiTheme="majorHAnsi" w:cstheme="majorHAnsi"/>
              </w:rPr>
              <w:t>n I</w:t>
            </w:r>
            <w:r w:rsidRPr="00D87CCD">
              <w:rPr>
                <w:rFonts w:asciiTheme="majorHAnsi" w:hAnsiTheme="majorHAnsi" w:cstheme="majorHAnsi"/>
              </w:rPr>
              <w:t xml:space="preserve">T company will be contracted for the system update to function in line </w:t>
            </w:r>
            <w:r w:rsidR="00B31D7F" w:rsidRPr="00D87CCD">
              <w:rPr>
                <w:rFonts w:asciiTheme="majorHAnsi" w:hAnsiTheme="majorHAnsi" w:cstheme="majorHAnsi"/>
              </w:rPr>
              <w:t xml:space="preserve">with the </w:t>
            </w:r>
            <w:r w:rsidRPr="00D87CCD">
              <w:rPr>
                <w:rFonts w:asciiTheme="majorHAnsi" w:hAnsiTheme="majorHAnsi" w:cstheme="majorHAnsi"/>
              </w:rPr>
              <w:t xml:space="preserve">recent </w:t>
            </w:r>
            <w:r w:rsidR="00B31D7F" w:rsidRPr="00D87CCD">
              <w:rPr>
                <w:rFonts w:asciiTheme="majorHAnsi" w:hAnsiTheme="majorHAnsi" w:cstheme="majorHAnsi"/>
              </w:rPr>
              <w:t>technical partners recommendations</w:t>
            </w:r>
            <w:r w:rsidR="008D6A22" w:rsidRPr="00D87CCD">
              <w:rPr>
                <w:rFonts w:asciiTheme="majorHAnsi" w:hAnsiTheme="majorHAnsi" w:cstheme="majorHAnsi"/>
              </w:rPr>
              <w:t>.</w:t>
            </w:r>
            <w:r w:rsidR="00B31D7F" w:rsidRPr="00D87CCD">
              <w:rPr>
                <w:rFonts w:asciiTheme="majorHAnsi" w:hAnsiTheme="majorHAnsi" w:cstheme="majorHAnsi"/>
              </w:rPr>
              <w:t xml:space="preserve"> </w:t>
            </w:r>
            <w:r w:rsidRPr="0084448C">
              <w:rPr>
                <w:rFonts w:asciiTheme="majorHAnsi" w:hAnsiTheme="majorHAnsi" w:cstheme="majorHAnsi"/>
              </w:rPr>
              <w:t>From a mid-term perspective, the NTP will focus on revisiting case</w:t>
            </w:r>
            <w:r w:rsidR="00384714">
              <w:rPr>
                <w:rFonts w:asciiTheme="majorHAnsi" w:hAnsiTheme="majorHAnsi" w:cstheme="majorHAnsi"/>
              </w:rPr>
              <w:t>s</w:t>
            </w:r>
            <w:r w:rsidRPr="0084448C">
              <w:rPr>
                <w:rFonts w:asciiTheme="majorHAnsi" w:hAnsiTheme="majorHAnsi" w:cstheme="majorHAnsi"/>
              </w:rPr>
              <w:t xml:space="preserve"> definitions, treatment results, laboratory modules in connection with the large-scale introduction of new and repurposed drugs, adding pharmacovigilance data, and automatic generation of anti-tuberculosis drug' orders. </w:t>
            </w:r>
            <w:r w:rsidR="00B31D7F" w:rsidRPr="00D87CCD">
              <w:rPr>
                <w:rFonts w:asciiTheme="majorHAnsi" w:hAnsiTheme="majorHAnsi" w:cstheme="majorHAnsi"/>
              </w:rPr>
              <w:t xml:space="preserve">The GF </w:t>
            </w:r>
            <w:r w:rsidRPr="00D87CCD">
              <w:rPr>
                <w:rFonts w:asciiTheme="majorHAnsi" w:hAnsiTheme="majorHAnsi" w:cstheme="majorHAnsi"/>
              </w:rPr>
              <w:t>allocations</w:t>
            </w:r>
            <w:r w:rsidR="00B31D7F" w:rsidRPr="00D87CCD">
              <w:rPr>
                <w:rFonts w:asciiTheme="majorHAnsi" w:hAnsiTheme="majorHAnsi" w:cstheme="majorHAnsi"/>
              </w:rPr>
              <w:t xml:space="preserve"> will co-finance the </w:t>
            </w:r>
            <w:r w:rsidRPr="00D87CCD">
              <w:rPr>
                <w:rFonts w:asciiTheme="majorHAnsi" w:hAnsiTheme="majorHAnsi" w:cstheme="majorHAnsi"/>
              </w:rPr>
              <w:t xml:space="preserve">expanded functions of </w:t>
            </w:r>
            <w:r w:rsidR="00A55BD8" w:rsidRPr="00D87CCD">
              <w:rPr>
                <w:rFonts w:asciiTheme="majorHAnsi" w:hAnsiTheme="majorHAnsi" w:cstheme="majorHAnsi"/>
              </w:rPr>
              <w:t xml:space="preserve">the </w:t>
            </w:r>
            <w:r w:rsidR="00B31D7F" w:rsidRPr="00D87CCD">
              <w:rPr>
                <w:rFonts w:asciiTheme="majorHAnsi" w:hAnsiTheme="majorHAnsi" w:cstheme="majorHAnsi"/>
              </w:rPr>
              <w:t>activities</w:t>
            </w:r>
            <w:r w:rsidRPr="00D87CCD">
              <w:rPr>
                <w:rFonts w:asciiTheme="majorHAnsi" w:hAnsiTheme="majorHAnsi" w:cstheme="majorHAnsi"/>
              </w:rPr>
              <w:t xml:space="preserve"> funded</w:t>
            </w:r>
            <w:r w:rsidR="00B31D7F" w:rsidRPr="00D87CCD">
              <w:rPr>
                <w:rFonts w:asciiTheme="majorHAnsi" w:hAnsiTheme="majorHAnsi" w:cstheme="majorHAnsi"/>
              </w:rPr>
              <w:t xml:space="preserve"> </w:t>
            </w:r>
            <w:r w:rsidRPr="00D87CCD">
              <w:rPr>
                <w:rFonts w:asciiTheme="majorHAnsi" w:hAnsiTheme="majorHAnsi" w:cstheme="majorHAnsi"/>
              </w:rPr>
              <w:t>from the</w:t>
            </w:r>
            <w:r w:rsidR="00B31D7F" w:rsidRPr="00D87CCD">
              <w:rPr>
                <w:rFonts w:asciiTheme="majorHAnsi" w:hAnsiTheme="majorHAnsi" w:cstheme="majorHAnsi"/>
              </w:rPr>
              <w:t xml:space="preserve"> NSCP</w:t>
            </w:r>
            <w:r w:rsidRPr="00D87CCD">
              <w:rPr>
                <w:rFonts w:asciiTheme="majorHAnsi" w:hAnsiTheme="majorHAnsi" w:cstheme="majorHAnsi"/>
              </w:rPr>
              <w:t>’ internal sources</w:t>
            </w:r>
            <w:r w:rsidR="00B31D7F" w:rsidRPr="00D87CCD">
              <w:rPr>
                <w:rFonts w:asciiTheme="majorHAnsi" w:hAnsiTheme="majorHAnsi" w:cstheme="majorHAnsi"/>
              </w:rPr>
              <w:t xml:space="preserve">. The grant support is planned </w:t>
            </w:r>
            <w:r w:rsidR="00A55BD8" w:rsidRPr="00D87CCD">
              <w:rPr>
                <w:rFonts w:asciiTheme="majorHAnsi" w:hAnsiTheme="majorHAnsi" w:cstheme="majorHAnsi"/>
              </w:rPr>
              <w:t>throughout the entire grant life</w:t>
            </w:r>
            <w:r w:rsidR="008B4DA8" w:rsidRPr="00D87CCD">
              <w:rPr>
                <w:rFonts w:asciiTheme="majorHAnsi" w:hAnsiTheme="majorHAnsi" w:cstheme="majorHAnsi"/>
              </w:rPr>
              <w:t xml:space="preserve"> cycle</w:t>
            </w:r>
            <w:r w:rsidRPr="00D87CCD">
              <w:rPr>
                <w:rFonts w:asciiTheme="majorHAnsi" w:hAnsiTheme="majorHAnsi" w:cstheme="majorHAnsi"/>
              </w:rPr>
              <w:t>.</w:t>
            </w:r>
          </w:p>
          <w:p w14:paraId="3BF1C0B1" w14:textId="77777777" w:rsidR="00B31D7F" w:rsidRPr="00D87CCD" w:rsidRDefault="00B31D7F" w:rsidP="00D87CCD">
            <w:pPr>
              <w:pStyle w:val="affff3"/>
              <w:spacing w:after="0" w:line="240" w:lineRule="auto"/>
              <w:jc w:val="both"/>
              <w:rPr>
                <w:rFonts w:asciiTheme="majorHAnsi" w:hAnsiTheme="majorHAnsi" w:cstheme="majorHAnsi"/>
              </w:rPr>
            </w:pPr>
          </w:p>
          <w:p w14:paraId="447A1FEA" w14:textId="77777777" w:rsidR="00B31D7F" w:rsidRPr="00D87CCD" w:rsidRDefault="00B31D7F" w:rsidP="00D87CCD">
            <w:pPr>
              <w:spacing w:after="0" w:line="240" w:lineRule="auto"/>
              <w:jc w:val="both"/>
              <w:rPr>
                <w:rFonts w:asciiTheme="majorHAnsi" w:hAnsiTheme="majorHAnsi" w:cstheme="majorHAnsi"/>
                <w:i/>
              </w:rPr>
            </w:pPr>
            <w:r w:rsidRPr="00D87CCD">
              <w:rPr>
                <w:rFonts w:asciiTheme="majorHAnsi" w:hAnsiTheme="majorHAnsi" w:cstheme="majorHAnsi"/>
                <w:i/>
              </w:rPr>
              <w:t xml:space="preserve">Intervention: Analysis, evaluations, </w:t>
            </w:r>
            <w:proofErr w:type="gramStart"/>
            <w:r w:rsidRPr="00D87CCD">
              <w:rPr>
                <w:rFonts w:asciiTheme="majorHAnsi" w:hAnsiTheme="majorHAnsi" w:cstheme="majorHAnsi"/>
                <w:i/>
              </w:rPr>
              <w:t>reviews</w:t>
            </w:r>
            <w:proofErr w:type="gramEnd"/>
            <w:r w:rsidRPr="00D87CCD">
              <w:rPr>
                <w:rFonts w:asciiTheme="majorHAnsi" w:hAnsiTheme="majorHAnsi" w:cstheme="majorHAnsi"/>
                <w:i/>
              </w:rPr>
              <w:t xml:space="preserve"> and transparency</w:t>
            </w:r>
          </w:p>
          <w:p w14:paraId="1C273724" w14:textId="77777777" w:rsidR="00B31D7F" w:rsidRPr="00D87CCD" w:rsidRDefault="00B31D7F" w:rsidP="00D87CCD">
            <w:pPr>
              <w:pStyle w:val="affff3"/>
              <w:spacing w:after="0" w:line="240" w:lineRule="auto"/>
              <w:jc w:val="both"/>
              <w:rPr>
                <w:rFonts w:asciiTheme="majorHAnsi" w:hAnsiTheme="majorHAnsi" w:cstheme="majorHAnsi"/>
              </w:rPr>
            </w:pPr>
          </w:p>
          <w:p w14:paraId="277B1F78" w14:textId="77777777" w:rsidR="00B31D7F" w:rsidRPr="00D87CCD" w:rsidRDefault="00B31D7F" w:rsidP="006A0E08">
            <w:pPr>
              <w:pStyle w:val="affff3"/>
              <w:numPr>
                <w:ilvl w:val="2"/>
                <w:numId w:val="37"/>
              </w:numPr>
              <w:spacing w:after="0" w:line="240" w:lineRule="auto"/>
              <w:jc w:val="both"/>
              <w:rPr>
                <w:rFonts w:asciiTheme="majorHAnsi" w:hAnsiTheme="majorHAnsi" w:cstheme="majorHAnsi"/>
              </w:rPr>
            </w:pPr>
            <w:r w:rsidRPr="00D87CCD">
              <w:rPr>
                <w:rFonts w:asciiTheme="majorHAnsi" w:hAnsiTheme="majorHAnsi" w:cstheme="majorHAnsi"/>
              </w:rPr>
              <w:t>Support to the annual GLC/GDF mission</w:t>
            </w:r>
          </w:p>
          <w:p w14:paraId="39730BB2" w14:textId="77777777" w:rsidR="00B31D7F" w:rsidRPr="00D87CCD" w:rsidRDefault="00B31D7F" w:rsidP="00D87CCD">
            <w:pPr>
              <w:pStyle w:val="affff3"/>
              <w:spacing w:after="0" w:line="240" w:lineRule="auto"/>
              <w:jc w:val="both"/>
              <w:rPr>
                <w:rFonts w:asciiTheme="majorHAnsi" w:hAnsiTheme="majorHAnsi" w:cstheme="majorHAnsi"/>
              </w:rPr>
            </w:pPr>
          </w:p>
          <w:p w14:paraId="0D9481FC" w14:textId="77777777" w:rsidR="00B31D7F" w:rsidRPr="00D87CCD" w:rsidRDefault="00B31D7F" w:rsidP="00D87CCD">
            <w:pPr>
              <w:spacing w:after="0" w:line="240" w:lineRule="auto"/>
              <w:jc w:val="both"/>
              <w:rPr>
                <w:rFonts w:asciiTheme="majorHAnsi" w:hAnsiTheme="majorHAnsi" w:cstheme="majorHAnsi"/>
              </w:rPr>
            </w:pPr>
            <w:r w:rsidRPr="00D87CCD">
              <w:rPr>
                <w:rFonts w:asciiTheme="majorHAnsi" w:hAnsiTheme="majorHAnsi" w:cstheme="majorHAnsi"/>
              </w:rPr>
              <w:t>Annual payments to the GLC are included according to the TGF/WHO agreement and GF requirements for applicants. The realization of the annual rGLC/EURO and GDF mission in the country aimed on assessment and support to the NTP in implementation of the Program management of the DR-TB in Kazakhstan. One mission per year will be supported during grant life</w:t>
            </w:r>
          </w:p>
          <w:p w14:paraId="154B5D9E" w14:textId="77777777" w:rsidR="00B31D7F" w:rsidRPr="00D87CCD" w:rsidRDefault="00B31D7F" w:rsidP="00D87CCD">
            <w:pPr>
              <w:pStyle w:val="affff3"/>
              <w:spacing w:after="0" w:line="240" w:lineRule="auto"/>
              <w:jc w:val="both"/>
              <w:rPr>
                <w:rFonts w:asciiTheme="majorHAnsi" w:hAnsiTheme="majorHAnsi" w:cstheme="majorHAnsi"/>
              </w:rPr>
            </w:pPr>
          </w:p>
          <w:p w14:paraId="1CB0E598" w14:textId="786032C0" w:rsidR="00B31D7F" w:rsidRPr="00D87CCD" w:rsidRDefault="00B31D7F" w:rsidP="006A0E08">
            <w:pPr>
              <w:pStyle w:val="affff3"/>
              <w:numPr>
                <w:ilvl w:val="2"/>
                <w:numId w:val="37"/>
              </w:numPr>
              <w:spacing w:after="0" w:line="240" w:lineRule="auto"/>
              <w:jc w:val="both"/>
              <w:rPr>
                <w:rFonts w:asciiTheme="majorHAnsi" w:hAnsiTheme="majorHAnsi" w:cstheme="majorHAnsi"/>
              </w:rPr>
            </w:pPr>
            <w:r w:rsidRPr="00D87CCD">
              <w:rPr>
                <w:rFonts w:asciiTheme="majorHAnsi" w:hAnsiTheme="majorHAnsi" w:cstheme="majorHAnsi"/>
                <w:i/>
              </w:rPr>
              <w:t>Support to the WHO NTP mid-term assessment mission</w:t>
            </w:r>
            <w:r w:rsidRPr="00D87CCD">
              <w:rPr>
                <w:rFonts w:asciiTheme="majorHAnsi" w:hAnsiTheme="majorHAnsi" w:cstheme="majorHAnsi"/>
              </w:rPr>
              <w:t xml:space="preserve"> (</w:t>
            </w:r>
            <w:r w:rsidR="000866E4" w:rsidRPr="00D87CCD">
              <w:rPr>
                <w:rFonts w:asciiTheme="majorHAnsi" w:hAnsiTheme="majorHAnsi" w:cstheme="majorHAnsi"/>
              </w:rPr>
              <w:t>please refer to the PAAR template for description)</w:t>
            </w:r>
          </w:p>
          <w:p w14:paraId="35CE00D4" w14:textId="77777777" w:rsidR="00B31D7F" w:rsidRPr="00D87CCD" w:rsidRDefault="00B31D7F" w:rsidP="00D87CCD">
            <w:pPr>
              <w:spacing w:after="0" w:line="240" w:lineRule="auto"/>
              <w:jc w:val="both"/>
              <w:rPr>
                <w:rFonts w:asciiTheme="majorHAnsi" w:hAnsiTheme="majorHAnsi" w:cstheme="majorHAnsi"/>
              </w:rPr>
            </w:pPr>
          </w:p>
          <w:p w14:paraId="6DF13099" w14:textId="4DD53CFE" w:rsidR="00B31D7F" w:rsidRPr="00D87CCD" w:rsidRDefault="00B31D7F" w:rsidP="006A0E08">
            <w:pPr>
              <w:pStyle w:val="affff3"/>
              <w:numPr>
                <w:ilvl w:val="2"/>
                <w:numId w:val="37"/>
              </w:numPr>
              <w:spacing w:after="0" w:line="240" w:lineRule="auto"/>
              <w:jc w:val="both"/>
              <w:rPr>
                <w:rFonts w:asciiTheme="majorHAnsi" w:hAnsiTheme="majorHAnsi" w:cstheme="majorHAnsi"/>
              </w:rPr>
            </w:pPr>
            <w:r w:rsidRPr="00D87CCD">
              <w:rPr>
                <w:rFonts w:asciiTheme="majorHAnsi" w:hAnsiTheme="majorHAnsi" w:cstheme="majorHAnsi"/>
              </w:rPr>
              <w:t xml:space="preserve">Operational </w:t>
            </w:r>
            <w:proofErr w:type="gramStart"/>
            <w:r w:rsidRPr="00D87CCD">
              <w:rPr>
                <w:rFonts w:asciiTheme="majorHAnsi" w:hAnsiTheme="majorHAnsi" w:cstheme="majorHAnsi"/>
              </w:rPr>
              <w:t>research</w:t>
            </w:r>
            <w:r w:rsidR="00A8113A">
              <w:rPr>
                <w:rFonts w:asciiTheme="majorHAnsi" w:hAnsiTheme="majorHAnsi" w:cstheme="majorHAnsi"/>
              </w:rPr>
              <w:t>es</w:t>
            </w:r>
            <w:proofErr w:type="gramEnd"/>
            <w:r w:rsidRPr="00D87CCD">
              <w:rPr>
                <w:rFonts w:asciiTheme="majorHAnsi" w:hAnsiTheme="majorHAnsi" w:cstheme="majorHAnsi"/>
              </w:rPr>
              <w:t xml:space="preserve"> in priority issues of TB management </w:t>
            </w:r>
          </w:p>
          <w:p w14:paraId="171906EE" w14:textId="77777777" w:rsidR="00C460F1" w:rsidRPr="00D87CCD" w:rsidRDefault="00C460F1" w:rsidP="00D87CCD">
            <w:pPr>
              <w:spacing w:after="0" w:line="240" w:lineRule="auto"/>
              <w:jc w:val="both"/>
              <w:rPr>
                <w:rFonts w:asciiTheme="majorHAnsi" w:hAnsiTheme="majorHAnsi" w:cstheme="majorHAnsi"/>
              </w:rPr>
            </w:pPr>
          </w:p>
          <w:p w14:paraId="71E26849" w14:textId="77777777" w:rsidR="003C260D" w:rsidRPr="00D87CCD" w:rsidRDefault="00B31D7F" w:rsidP="00D87CCD">
            <w:pPr>
              <w:spacing w:after="0" w:line="240" w:lineRule="auto"/>
              <w:jc w:val="both"/>
              <w:rPr>
                <w:rFonts w:asciiTheme="majorHAnsi" w:hAnsiTheme="majorHAnsi" w:cstheme="majorHAnsi"/>
              </w:rPr>
            </w:pPr>
            <w:r w:rsidRPr="00D87CCD">
              <w:rPr>
                <w:rFonts w:asciiTheme="majorHAnsi" w:hAnsiTheme="majorHAnsi" w:cstheme="majorHAnsi"/>
              </w:rPr>
              <w:t xml:space="preserve">The application </w:t>
            </w:r>
            <w:r w:rsidR="008A54C7" w:rsidRPr="00D87CCD">
              <w:rPr>
                <w:rFonts w:asciiTheme="majorHAnsi" w:hAnsiTheme="majorHAnsi" w:cstheme="majorHAnsi"/>
              </w:rPr>
              <w:t>envisages support to four</w:t>
            </w:r>
            <w:r w:rsidRPr="00D87CCD">
              <w:rPr>
                <w:rFonts w:asciiTheme="majorHAnsi" w:hAnsiTheme="majorHAnsi" w:cstheme="majorHAnsi"/>
              </w:rPr>
              <w:t xml:space="preserve"> OR studies in priority program areas relate</w:t>
            </w:r>
            <w:r w:rsidR="008A54C7" w:rsidRPr="00D87CCD">
              <w:rPr>
                <w:rFonts w:asciiTheme="majorHAnsi" w:hAnsiTheme="majorHAnsi" w:cstheme="majorHAnsi"/>
              </w:rPr>
              <w:t xml:space="preserve">d to TB case detection and </w:t>
            </w:r>
            <w:r w:rsidRPr="00D87CCD">
              <w:rPr>
                <w:rFonts w:asciiTheme="majorHAnsi" w:hAnsiTheme="majorHAnsi" w:cstheme="majorHAnsi"/>
              </w:rPr>
              <w:t>management, as well as to the interventions in populations</w:t>
            </w:r>
            <w:r w:rsidR="003C260D" w:rsidRPr="00D87CCD">
              <w:rPr>
                <w:rFonts w:asciiTheme="majorHAnsi" w:hAnsiTheme="majorHAnsi" w:cstheme="majorHAnsi"/>
              </w:rPr>
              <w:t xml:space="preserve"> at risk. These are:</w:t>
            </w:r>
          </w:p>
          <w:p w14:paraId="5377BB7E" w14:textId="77777777" w:rsidR="00C14D74" w:rsidRPr="00D87CCD" w:rsidRDefault="00B31D7F" w:rsidP="006A0E08">
            <w:pPr>
              <w:pStyle w:val="affff3"/>
              <w:numPr>
                <w:ilvl w:val="0"/>
                <w:numId w:val="42"/>
              </w:numPr>
              <w:spacing w:after="0" w:line="240" w:lineRule="auto"/>
              <w:ind w:left="782" w:hanging="357"/>
              <w:jc w:val="both"/>
              <w:rPr>
                <w:rFonts w:asciiTheme="majorHAnsi" w:hAnsiTheme="majorHAnsi" w:cstheme="majorHAnsi"/>
              </w:rPr>
            </w:pPr>
            <w:r w:rsidRPr="00D87CCD">
              <w:rPr>
                <w:rFonts w:asciiTheme="majorHAnsi" w:hAnsiTheme="majorHAnsi" w:cstheme="majorHAnsi"/>
              </w:rPr>
              <w:t>Impact of the COVID</w:t>
            </w:r>
            <w:r w:rsidR="003C260D" w:rsidRPr="00D87CCD">
              <w:rPr>
                <w:rFonts w:asciiTheme="majorHAnsi" w:hAnsiTheme="majorHAnsi" w:cstheme="majorHAnsi"/>
              </w:rPr>
              <w:t>-</w:t>
            </w:r>
            <w:r w:rsidRPr="00D87CCD">
              <w:rPr>
                <w:rFonts w:asciiTheme="majorHAnsi" w:hAnsiTheme="majorHAnsi" w:cstheme="majorHAnsi"/>
              </w:rPr>
              <w:t>19</w:t>
            </w:r>
            <w:r w:rsidR="003C260D" w:rsidRPr="00D87CCD">
              <w:rPr>
                <w:rFonts w:asciiTheme="majorHAnsi" w:hAnsiTheme="majorHAnsi" w:cstheme="majorHAnsi"/>
              </w:rPr>
              <w:t xml:space="preserve"> pandemic</w:t>
            </w:r>
            <w:r w:rsidRPr="00D87CCD">
              <w:rPr>
                <w:rFonts w:asciiTheme="majorHAnsi" w:hAnsiTheme="majorHAnsi" w:cstheme="majorHAnsi"/>
              </w:rPr>
              <w:t xml:space="preserve"> on TB</w:t>
            </w:r>
            <w:r w:rsidR="003C260D" w:rsidRPr="00D87CCD">
              <w:rPr>
                <w:rFonts w:asciiTheme="majorHAnsi" w:hAnsiTheme="majorHAnsi" w:cstheme="majorHAnsi"/>
              </w:rPr>
              <w:t xml:space="preserve"> </w:t>
            </w:r>
            <w:r w:rsidR="004B6D76" w:rsidRPr="00D87CCD">
              <w:rPr>
                <w:rFonts w:asciiTheme="majorHAnsi" w:hAnsiTheme="majorHAnsi" w:cstheme="majorHAnsi"/>
              </w:rPr>
              <w:t xml:space="preserve">epidemiology and </w:t>
            </w:r>
            <w:r w:rsidR="003C260D" w:rsidRPr="00D87CCD">
              <w:rPr>
                <w:rFonts w:asciiTheme="majorHAnsi" w:hAnsiTheme="majorHAnsi" w:cstheme="majorHAnsi"/>
              </w:rPr>
              <w:t>responce in Kazakhstan</w:t>
            </w:r>
            <w:r w:rsidR="001B4C7F" w:rsidRPr="00D87CCD">
              <w:rPr>
                <w:rFonts w:asciiTheme="majorHAnsi" w:hAnsiTheme="majorHAnsi" w:cstheme="majorHAnsi"/>
              </w:rPr>
              <w:t>, from base allocation portion of the grant.</w:t>
            </w:r>
            <w:r w:rsidR="00C14D74" w:rsidRPr="00D87CCD">
              <w:rPr>
                <w:rFonts w:asciiTheme="majorHAnsi" w:hAnsiTheme="majorHAnsi" w:cstheme="majorHAnsi"/>
              </w:rPr>
              <w:t xml:space="preserve"> This is a retrospective study, and analysis will be made using the available database.</w:t>
            </w:r>
          </w:p>
          <w:p w14:paraId="2E34D5E6" w14:textId="1F3052B1" w:rsidR="004B6D76" w:rsidRPr="00D87CCD" w:rsidRDefault="004B6D76" w:rsidP="006A0E08">
            <w:pPr>
              <w:pStyle w:val="affff3"/>
              <w:numPr>
                <w:ilvl w:val="0"/>
                <w:numId w:val="42"/>
              </w:numPr>
              <w:spacing w:after="0" w:line="240" w:lineRule="auto"/>
              <w:jc w:val="both"/>
              <w:rPr>
                <w:rFonts w:asciiTheme="majorHAnsi" w:hAnsiTheme="majorHAnsi" w:cstheme="majorHAnsi"/>
              </w:rPr>
            </w:pPr>
            <w:r w:rsidRPr="00D87CCD">
              <w:rPr>
                <w:rFonts w:asciiTheme="majorHAnsi" w:hAnsiTheme="majorHAnsi" w:cstheme="majorHAnsi"/>
              </w:rPr>
              <w:t>Main characteristics of TB in children in Kazakhstan</w:t>
            </w:r>
            <w:r w:rsidR="00C14D74" w:rsidRPr="00D87CCD">
              <w:rPr>
                <w:rFonts w:asciiTheme="majorHAnsi" w:hAnsiTheme="majorHAnsi" w:cstheme="majorHAnsi"/>
              </w:rPr>
              <w:t>, a retrospective study</w:t>
            </w:r>
            <w:r w:rsidR="001B4C7F" w:rsidRPr="00D87CCD">
              <w:rPr>
                <w:rFonts w:asciiTheme="majorHAnsi" w:hAnsiTheme="majorHAnsi" w:cstheme="majorHAnsi"/>
              </w:rPr>
              <w:t>, from base allocation portion of the gtrant.</w:t>
            </w:r>
          </w:p>
          <w:p w14:paraId="6FA30477" w14:textId="243DA53D" w:rsidR="001B4C7F" w:rsidRPr="00D87CCD" w:rsidRDefault="00B31D7F" w:rsidP="006A0E08">
            <w:pPr>
              <w:pStyle w:val="affff3"/>
              <w:numPr>
                <w:ilvl w:val="0"/>
                <w:numId w:val="42"/>
              </w:numPr>
              <w:spacing w:after="0" w:line="240" w:lineRule="auto"/>
              <w:jc w:val="both"/>
              <w:rPr>
                <w:rFonts w:asciiTheme="majorHAnsi" w:hAnsiTheme="majorHAnsi" w:cstheme="majorHAnsi"/>
              </w:rPr>
            </w:pPr>
            <w:r w:rsidRPr="00D87CCD">
              <w:rPr>
                <w:rFonts w:asciiTheme="majorHAnsi" w:hAnsiTheme="majorHAnsi" w:cstheme="majorHAnsi"/>
              </w:rPr>
              <w:t xml:space="preserve">Evaluation of the quality of treatment </w:t>
            </w:r>
            <w:r w:rsidR="004B6D76" w:rsidRPr="00D87CCD">
              <w:rPr>
                <w:rFonts w:asciiTheme="majorHAnsi" w:hAnsiTheme="majorHAnsi" w:cstheme="majorHAnsi"/>
              </w:rPr>
              <w:t xml:space="preserve">management </w:t>
            </w:r>
            <w:r w:rsidRPr="00D87CCD">
              <w:rPr>
                <w:rFonts w:asciiTheme="majorHAnsi" w:hAnsiTheme="majorHAnsi" w:cstheme="majorHAnsi"/>
              </w:rPr>
              <w:t>of M/XDR-TB patients, including active monitorin</w:t>
            </w:r>
            <w:r w:rsidR="00604180" w:rsidRPr="00D87CCD">
              <w:rPr>
                <w:rFonts w:asciiTheme="majorHAnsi" w:hAnsiTheme="majorHAnsi" w:cstheme="majorHAnsi"/>
              </w:rPr>
              <w:t>g of the safety of TB medicines and new regimens</w:t>
            </w:r>
            <w:r w:rsidR="001B4C7F" w:rsidRPr="00D87CCD">
              <w:rPr>
                <w:rFonts w:asciiTheme="majorHAnsi" w:hAnsiTheme="majorHAnsi" w:cstheme="majorHAnsi"/>
              </w:rPr>
              <w:t xml:space="preserve">. The evaluation study will be finaced from base </w:t>
            </w:r>
            <w:r w:rsidR="00C14D74" w:rsidRPr="00D87CCD">
              <w:rPr>
                <w:rFonts w:asciiTheme="majorHAnsi" w:hAnsiTheme="majorHAnsi" w:cstheme="majorHAnsi"/>
              </w:rPr>
              <w:t>allocation portion of the grant.</w:t>
            </w:r>
          </w:p>
          <w:p w14:paraId="19C31C5D" w14:textId="7491B1A7" w:rsidR="001B4C7F" w:rsidRPr="00D87CCD" w:rsidRDefault="001B4C7F" w:rsidP="006A0E08">
            <w:pPr>
              <w:pStyle w:val="affff3"/>
              <w:numPr>
                <w:ilvl w:val="0"/>
                <w:numId w:val="42"/>
              </w:numPr>
              <w:spacing w:after="0" w:line="240" w:lineRule="auto"/>
              <w:jc w:val="both"/>
              <w:rPr>
                <w:rFonts w:asciiTheme="majorHAnsi" w:hAnsiTheme="majorHAnsi" w:cstheme="majorHAnsi"/>
              </w:rPr>
            </w:pPr>
            <w:r w:rsidRPr="00D87CCD">
              <w:rPr>
                <w:rFonts w:asciiTheme="majorHAnsi" w:hAnsiTheme="majorHAnsi" w:cstheme="majorHAnsi"/>
              </w:rPr>
              <w:t xml:space="preserve">Knowledge, attitudes, and practices (KAP) related to TB among the general population and high-risk groups. The KAP survey is planned for 2024 under PAAR budget. </w:t>
            </w:r>
          </w:p>
          <w:p w14:paraId="3103C8B1" w14:textId="77777777" w:rsidR="001B4C7F" w:rsidRPr="00D87CCD" w:rsidRDefault="001B4C7F" w:rsidP="00D87CCD">
            <w:pPr>
              <w:spacing w:after="0" w:line="240" w:lineRule="auto"/>
              <w:ind w:left="64"/>
              <w:jc w:val="both"/>
              <w:rPr>
                <w:rFonts w:asciiTheme="majorHAnsi" w:hAnsiTheme="majorHAnsi" w:cstheme="majorHAnsi"/>
              </w:rPr>
            </w:pPr>
          </w:p>
          <w:p w14:paraId="59C92249" w14:textId="279F52F5" w:rsidR="009C3E86" w:rsidRPr="00D87CCD" w:rsidRDefault="006E15C4" w:rsidP="00D87CCD">
            <w:pPr>
              <w:spacing w:after="0" w:line="240" w:lineRule="auto"/>
              <w:jc w:val="both"/>
              <w:rPr>
                <w:rFonts w:asciiTheme="majorHAnsi" w:hAnsiTheme="majorHAnsi" w:cstheme="majorHAnsi"/>
              </w:rPr>
            </w:pPr>
            <w:r w:rsidRPr="00D87CCD">
              <w:rPr>
                <w:rFonts w:asciiTheme="majorHAnsi" w:hAnsiTheme="majorHAnsi" w:cstheme="majorHAnsi"/>
              </w:rPr>
              <w:t>NSCP, in collaboration with partners, will conduct the OR</w:t>
            </w:r>
            <w:r w:rsidR="00B31E45">
              <w:rPr>
                <w:rFonts w:asciiTheme="majorHAnsi" w:hAnsiTheme="majorHAnsi" w:cstheme="majorHAnsi"/>
              </w:rPr>
              <w:t>s</w:t>
            </w:r>
            <w:r w:rsidRPr="00D87CCD">
              <w:rPr>
                <w:rFonts w:asciiTheme="majorHAnsi" w:hAnsiTheme="majorHAnsi" w:cstheme="majorHAnsi"/>
              </w:rPr>
              <w:t>. The findings of the studies will inform the decisions on TB management, addressing the needs of vulnerable and high-risk population groups</w:t>
            </w:r>
            <w:r w:rsidR="00B31E45">
              <w:rPr>
                <w:rFonts w:asciiTheme="majorHAnsi" w:hAnsiTheme="majorHAnsi" w:cstheme="majorHAnsi"/>
              </w:rPr>
              <w:t>,</w:t>
            </w:r>
            <w:r w:rsidRPr="00D87CCD">
              <w:rPr>
                <w:rFonts w:asciiTheme="majorHAnsi" w:hAnsiTheme="majorHAnsi" w:cstheme="majorHAnsi"/>
              </w:rPr>
              <w:t xml:space="preserve"> and transitioning from GF support.</w:t>
            </w:r>
          </w:p>
        </w:tc>
      </w:tr>
      <w:tr w:rsidR="009C3E86" w:rsidRPr="00D87CCD" w14:paraId="696D8E3E" w14:textId="77777777" w:rsidTr="009C3E86">
        <w:trPr>
          <w:trHeight w:val="440"/>
        </w:trPr>
        <w:tc>
          <w:tcPr>
            <w:tcW w:w="2448" w:type="dxa"/>
            <w:shd w:val="clear" w:color="auto" w:fill="F2F2F2"/>
            <w:vAlign w:val="center"/>
          </w:tcPr>
          <w:p w14:paraId="5A021E14" w14:textId="4ABDFB66" w:rsidR="009C3E86" w:rsidRPr="00D87CCD" w:rsidRDefault="009C3E86" w:rsidP="00D87CCD">
            <w:pPr>
              <w:spacing w:after="0" w:line="240" w:lineRule="auto"/>
              <w:rPr>
                <w:rFonts w:asciiTheme="majorHAnsi" w:hAnsiTheme="majorHAnsi" w:cstheme="majorHAnsi"/>
              </w:rPr>
            </w:pPr>
            <w:r w:rsidRPr="00D87CCD">
              <w:rPr>
                <w:rFonts w:asciiTheme="majorHAnsi" w:hAnsiTheme="majorHAnsi" w:cstheme="majorHAnsi"/>
              </w:rPr>
              <w:t>Priority populations</w:t>
            </w:r>
          </w:p>
        </w:tc>
        <w:tc>
          <w:tcPr>
            <w:tcW w:w="7902" w:type="dxa"/>
          </w:tcPr>
          <w:p w14:paraId="58B2153F" w14:textId="394D2E5D" w:rsidR="00B31D7F" w:rsidRPr="00D87CCD" w:rsidRDefault="00894895" w:rsidP="006A0E08">
            <w:pPr>
              <w:pStyle w:val="affff3"/>
              <w:numPr>
                <w:ilvl w:val="0"/>
                <w:numId w:val="39"/>
              </w:numPr>
              <w:spacing w:after="0" w:line="240" w:lineRule="auto"/>
              <w:jc w:val="both"/>
              <w:rPr>
                <w:rFonts w:asciiTheme="majorHAnsi" w:hAnsiTheme="majorHAnsi" w:cstheme="majorHAnsi"/>
              </w:rPr>
            </w:pPr>
            <w:r w:rsidRPr="00D87CCD">
              <w:rPr>
                <w:rFonts w:asciiTheme="majorHAnsi" w:hAnsiTheme="majorHAnsi" w:cstheme="majorHAnsi"/>
              </w:rPr>
              <w:t>General population</w:t>
            </w:r>
            <w:r w:rsidR="00870259" w:rsidRPr="00D87CCD">
              <w:rPr>
                <w:rFonts w:asciiTheme="majorHAnsi" w:hAnsiTheme="majorHAnsi" w:cstheme="majorHAnsi"/>
              </w:rPr>
              <w:t>.</w:t>
            </w:r>
          </w:p>
          <w:p w14:paraId="42E60820" w14:textId="60F87F06" w:rsidR="00B31D7F" w:rsidRPr="00D87CCD" w:rsidRDefault="00B31D7F" w:rsidP="006A0E08">
            <w:pPr>
              <w:pStyle w:val="affff3"/>
              <w:numPr>
                <w:ilvl w:val="0"/>
                <w:numId w:val="39"/>
              </w:numPr>
              <w:spacing w:after="0" w:line="240" w:lineRule="auto"/>
              <w:jc w:val="both"/>
              <w:rPr>
                <w:rFonts w:asciiTheme="majorHAnsi" w:hAnsiTheme="majorHAnsi" w:cstheme="majorHAnsi"/>
              </w:rPr>
            </w:pPr>
            <w:r w:rsidRPr="00D87CCD">
              <w:rPr>
                <w:rFonts w:asciiTheme="majorHAnsi" w:hAnsiTheme="majorHAnsi" w:cstheme="majorHAnsi"/>
              </w:rPr>
              <w:t>Patients with TB (DS a</w:t>
            </w:r>
            <w:r w:rsidR="00894895" w:rsidRPr="00D87CCD">
              <w:rPr>
                <w:rFonts w:asciiTheme="majorHAnsi" w:hAnsiTheme="majorHAnsi" w:cstheme="majorHAnsi"/>
              </w:rPr>
              <w:t>nd DR cases) and their families</w:t>
            </w:r>
            <w:r w:rsidR="00870259" w:rsidRPr="00D87CCD">
              <w:rPr>
                <w:rFonts w:asciiTheme="majorHAnsi" w:hAnsiTheme="majorHAnsi" w:cstheme="majorHAnsi"/>
              </w:rPr>
              <w:t>.</w:t>
            </w:r>
          </w:p>
          <w:p w14:paraId="0DD27F3B" w14:textId="382DEFD5" w:rsidR="00B31D7F" w:rsidRPr="00D87CCD" w:rsidRDefault="00894895" w:rsidP="006A0E08">
            <w:pPr>
              <w:pStyle w:val="affff3"/>
              <w:numPr>
                <w:ilvl w:val="0"/>
                <w:numId w:val="38"/>
              </w:numPr>
              <w:spacing w:after="0" w:line="240" w:lineRule="auto"/>
              <w:jc w:val="both"/>
              <w:rPr>
                <w:rFonts w:asciiTheme="majorHAnsi" w:hAnsiTheme="majorHAnsi" w:cstheme="majorHAnsi"/>
              </w:rPr>
            </w:pPr>
            <w:r w:rsidRPr="00D87CCD">
              <w:rPr>
                <w:rFonts w:asciiTheme="majorHAnsi" w:hAnsiTheme="majorHAnsi" w:cstheme="majorHAnsi"/>
              </w:rPr>
              <w:t>People with LTBI</w:t>
            </w:r>
            <w:r w:rsidR="00870259" w:rsidRPr="00D87CCD">
              <w:rPr>
                <w:rFonts w:asciiTheme="majorHAnsi" w:hAnsiTheme="majorHAnsi" w:cstheme="majorHAnsi"/>
              </w:rPr>
              <w:t>.</w:t>
            </w:r>
          </w:p>
          <w:p w14:paraId="5F67B879" w14:textId="5556925F" w:rsidR="00B31D7F" w:rsidRPr="00D87CCD" w:rsidRDefault="00894895" w:rsidP="006A0E08">
            <w:pPr>
              <w:pStyle w:val="affff3"/>
              <w:numPr>
                <w:ilvl w:val="0"/>
                <w:numId w:val="38"/>
              </w:numPr>
              <w:spacing w:after="0" w:line="240" w:lineRule="auto"/>
              <w:jc w:val="both"/>
              <w:rPr>
                <w:rFonts w:asciiTheme="majorHAnsi" w:hAnsiTheme="majorHAnsi" w:cstheme="majorHAnsi"/>
              </w:rPr>
            </w:pPr>
            <w:r w:rsidRPr="00D87CCD">
              <w:rPr>
                <w:rFonts w:asciiTheme="majorHAnsi" w:hAnsiTheme="majorHAnsi" w:cstheme="majorHAnsi"/>
              </w:rPr>
              <w:t>Populations at high risk of TB</w:t>
            </w:r>
            <w:r w:rsidR="00870259" w:rsidRPr="00D87CCD">
              <w:rPr>
                <w:rFonts w:asciiTheme="majorHAnsi" w:hAnsiTheme="majorHAnsi" w:cstheme="majorHAnsi"/>
              </w:rPr>
              <w:t>.</w:t>
            </w:r>
          </w:p>
          <w:p w14:paraId="291CE315" w14:textId="753A381A" w:rsidR="00B31D7F" w:rsidRPr="00D87CCD" w:rsidRDefault="008467E8" w:rsidP="006A0E08">
            <w:pPr>
              <w:pStyle w:val="affff3"/>
              <w:numPr>
                <w:ilvl w:val="0"/>
                <w:numId w:val="38"/>
              </w:numPr>
              <w:spacing w:after="0" w:line="240" w:lineRule="auto"/>
              <w:rPr>
                <w:rFonts w:asciiTheme="majorHAnsi" w:hAnsiTheme="majorHAnsi" w:cstheme="majorHAnsi"/>
              </w:rPr>
            </w:pPr>
            <w:r w:rsidRPr="00D87CCD">
              <w:rPr>
                <w:rFonts w:asciiTheme="majorHAnsi" w:hAnsiTheme="majorHAnsi" w:cstheme="majorHAnsi"/>
              </w:rPr>
              <w:t>Healthcare workers envolved in TB control</w:t>
            </w:r>
            <w:r w:rsidR="00870259" w:rsidRPr="00D87CCD">
              <w:rPr>
                <w:rFonts w:asciiTheme="majorHAnsi" w:hAnsiTheme="majorHAnsi" w:cstheme="majorHAnsi"/>
              </w:rPr>
              <w:t>.</w:t>
            </w:r>
            <w:r w:rsidRPr="00D87CCD">
              <w:rPr>
                <w:rFonts w:asciiTheme="majorHAnsi" w:hAnsiTheme="majorHAnsi" w:cstheme="majorHAnsi"/>
              </w:rPr>
              <w:t xml:space="preserve"> </w:t>
            </w:r>
            <w:r w:rsidR="00B31D7F" w:rsidRPr="00D87CCD">
              <w:rPr>
                <w:rFonts w:asciiTheme="majorHAnsi" w:hAnsiTheme="majorHAnsi" w:cstheme="majorHAnsi"/>
              </w:rPr>
              <w:t xml:space="preserve"> </w:t>
            </w:r>
          </w:p>
          <w:p w14:paraId="1E48C9AC" w14:textId="5587255F" w:rsidR="009C3E86" w:rsidRPr="00D87CCD" w:rsidRDefault="008467E8" w:rsidP="006A0E08">
            <w:pPr>
              <w:pStyle w:val="affff3"/>
              <w:numPr>
                <w:ilvl w:val="0"/>
                <w:numId w:val="38"/>
              </w:numPr>
              <w:spacing w:after="0" w:line="240" w:lineRule="auto"/>
              <w:rPr>
                <w:rFonts w:asciiTheme="majorHAnsi" w:hAnsiTheme="majorHAnsi" w:cstheme="majorHAnsi"/>
              </w:rPr>
            </w:pPr>
            <w:r w:rsidRPr="00D87CCD">
              <w:rPr>
                <w:rFonts w:asciiTheme="majorHAnsi" w:hAnsiTheme="majorHAnsi" w:cstheme="majorHAnsi"/>
              </w:rPr>
              <w:t>Decision-makers</w:t>
            </w:r>
            <w:r w:rsidR="00870259" w:rsidRPr="00D87CCD">
              <w:rPr>
                <w:rFonts w:asciiTheme="majorHAnsi" w:hAnsiTheme="majorHAnsi" w:cstheme="majorHAnsi"/>
              </w:rPr>
              <w:t>.</w:t>
            </w:r>
          </w:p>
        </w:tc>
      </w:tr>
      <w:tr w:rsidR="009C3E86" w:rsidRPr="00D87CCD" w14:paraId="3E12CFC5" w14:textId="77777777" w:rsidTr="009C3E86">
        <w:trPr>
          <w:trHeight w:val="440"/>
        </w:trPr>
        <w:tc>
          <w:tcPr>
            <w:tcW w:w="2448" w:type="dxa"/>
            <w:shd w:val="clear" w:color="auto" w:fill="F2F2F2"/>
            <w:vAlign w:val="center"/>
          </w:tcPr>
          <w:p w14:paraId="2AF6DAA8" w14:textId="77777777" w:rsidR="009C3E86" w:rsidRPr="00D87CCD" w:rsidRDefault="009C3E86" w:rsidP="00D87CCD">
            <w:pPr>
              <w:spacing w:after="0" w:line="240" w:lineRule="auto"/>
              <w:rPr>
                <w:rFonts w:asciiTheme="majorHAnsi" w:hAnsiTheme="majorHAnsi" w:cstheme="majorHAnsi"/>
              </w:rPr>
            </w:pPr>
            <w:r w:rsidRPr="00D87CCD">
              <w:rPr>
                <w:rFonts w:asciiTheme="majorHAnsi" w:hAnsiTheme="majorHAnsi" w:cstheme="majorHAnsi"/>
              </w:rPr>
              <w:t>Barriers and inequities</w:t>
            </w:r>
          </w:p>
        </w:tc>
        <w:tc>
          <w:tcPr>
            <w:tcW w:w="7902" w:type="dxa"/>
          </w:tcPr>
          <w:p w14:paraId="401D66AC" w14:textId="16B12ED3" w:rsidR="00FE3B00" w:rsidRPr="00974FD7" w:rsidRDefault="007732D0" w:rsidP="006A0E08">
            <w:pPr>
              <w:pStyle w:val="affff3"/>
              <w:numPr>
                <w:ilvl w:val="0"/>
                <w:numId w:val="38"/>
              </w:numPr>
              <w:spacing w:after="0" w:line="240" w:lineRule="auto"/>
              <w:jc w:val="both"/>
              <w:rPr>
                <w:rFonts w:asciiTheme="majorHAnsi" w:hAnsiTheme="majorHAnsi" w:cstheme="majorHAnsi"/>
              </w:rPr>
            </w:pPr>
            <w:r w:rsidRPr="00974FD7">
              <w:rPr>
                <w:rFonts w:asciiTheme="majorHAnsi" w:hAnsiTheme="majorHAnsi" w:cstheme="majorHAnsi"/>
              </w:rPr>
              <w:t>The frequently evolving recommendations of the WHO and technical partners challenge the NTP for making revisions in the country'</w:t>
            </w:r>
            <w:r w:rsidR="00D87CCD" w:rsidRPr="00974FD7">
              <w:rPr>
                <w:rFonts w:asciiTheme="majorHAnsi" w:hAnsiTheme="majorHAnsi" w:cstheme="majorHAnsi"/>
              </w:rPr>
              <w:t xml:space="preserve">s legal and regulatory system, </w:t>
            </w:r>
            <w:r w:rsidRPr="00974FD7">
              <w:rPr>
                <w:rFonts w:asciiTheme="majorHAnsi" w:hAnsiTheme="majorHAnsi" w:cstheme="majorHAnsi"/>
              </w:rPr>
              <w:t>clinical guidelines, and SOPs. This, in its turn, requires knowledge and competencies building interventions among frontline workers to adjust their practices accordingly and establ</w:t>
            </w:r>
            <w:r w:rsidR="00FE3B00" w:rsidRPr="00974FD7">
              <w:rPr>
                <w:rFonts w:asciiTheme="majorHAnsi" w:hAnsiTheme="majorHAnsi" w:cstheme="majorHAnsi"/>
              </w:rPr>
              <w:t xml:space="preserve">ish or enhance an M&amp;E mechanism. </w:t>
            </w:r>
          </w:p>
          <w:p w14:paraId="1E0F3B06" w14:textId="77777777" w:rsidR="00B95D7A" w:rsidRPr="00974FD7" w:rsidRDefault="00B95D7A" w:rsidP="006A0E08">
            <w:pPr>
              <w:pStyle w:val="affff3"/>
              <w:numPr>
                <w:ilvl w:val="0"/>
                <w:numId w:val="38"/>
              </w:numPr>
              <w:spacing w:after="0" w:line="240" w:lineRule="auto"/>
              <w:jc w:val="both"/>
              <w:rPr>
                <w:rFonts w:asciiTheme="majorHAnsi" w:hAnsiTheme="majorHAnsi" w:cstheme="majorHAnsi"/>
              </w:rPr>
            </w:pPr>
            <w:r w:rsidRPr="00974FD7">
              <w:rPr>
                <w:rFonts w:asciiTheme="majorHAnsi" w:hAnsiTheme="majorHAnsi" w:cstheme="majorHAnsi"/>
              </w:rPr>
              <w:t xml:space="preserve">The frequently evolving technical recommendations also compel reflection in the health information system, including NRBT, which increases the workload on personnel and requires additional resources, including financial. </w:t>
            </w:r>
          </w:p>
          <w:p w14:paraId="0A60F453" w14:textId="7E193E00" w:rsidR="00B31D7F" w:rsidRPr="00974FD7" w:rsidRDefault="00AB0421" w:rsidP="006A0E08">
            <w:pPr>
              <w:pStyle w:val="affff3"/>
              <w:numPr>
                <w:ilvl w:val="0"/>
                <w:numId w:val="40"/>
              </w:numPr>
              <w:spacing w:after="0" w:line="240" w:lineRule="auto"/>
              <w:jc w:val="both"/>
              <w:rPr>
                <w:rFonts w:asciiTheme="majorHAnsi" w:hAnsiTheme="majorHAnsi" w:cstheme="majorHAnsi"/>
              </w:rPr>
            </w:pPr>
            <w:r w:rsidRPr="00974FD7">
              <w:rPr>
                <w:rFonts w:asciiTheme="majorHAnsi" w:hAnsiTheme="majorHAnsi" w:cstheme="majorHAnsi"/>
              </w:rPr>
              <w:t>Insufficient provision of full-time health workers for organizational and methodological departments and M&amp;E groups and high staff turnover affect the quality of ongoing M&amp;E activities and the need for continuous training of newly hir</w:t>
            </w:r>
            <w:r w:rsidR="00D07F38" w:rsidRPr="00974FD7">
              <w:rPr>
                <w:rFonts w:asciiTheme="majorHAnsi" w:hAnsiTheme="majorHAnsi" w:cstheme="majorHAnsi"/>
              </w:rPr>
              <w:t>ed personnel, guaranteeing</w:t>
            </w:r>
            <w:r w:rsidRPr="00974FD7">
              <w:rPr>
                <w:rFonts w:asciiTheme="majorHAnsi" w:hAnsiTheme="majorHAnsi" w:cstheme="majorHAnsi"/>
              </w:rPr>
              <w:t xml:space="preserve"> financial motivation and growth. </w:t>
            </w:r>
          </w:p>
          <w:p w14:paraId="5B2F3BB7" w14:textId="1B8D0022" w:rsidR="009C3E86" w:rsidRPr="00974FD7" w:rsidRDefault="00865512" w:rsidP="006A0E08">
            <w:pPr>
              <w:pStyle w:val="affff3"/>
              <w:numPr>
                <w:ilvl w:val="0"/>
                <w:numId w:val="40"/>
              </w:numPr>
              <w:spacing w:after="0" w:line="240" w:lineRule="auto"/>
              <w:ind w:left="357" w:hanging="357"/>
              <w:jc w:val="both"/>
              <w:rPr>
                <w:rFonts w:asciiTheme="majorHAnsi" w:hAnsiTheme="majorHAnsi" w:cstheme="majorHAnsi"/>
              </w:rPr>
            </w:pPr>
            <w:r w:rsidRPr="00974FD7">
              <w:rPr>
                <w:rFonts w:asciiTheme="majorHAnsi" w:hAnsiTheme="majorHAnsi" w:cstheme="majorHAnsi"/>
              </w:rPr>
              <w:t>Conduction of operational research requires trained personnel and financial resources, which are not among the priorities of available internal funding, determining the increased role of donors in financing.</w:t>
            </w:r>
          </w:p>
        </w:tc>
      </w:tr>
      <w:tr w:rsidR="009C3E86" w:rsidRPr="00D87CCD" w14:paraId="01036DEF" w14:textId="77777777" w:rsidTr="009C3E86">
        <w:trPr>
          <w:trHeight w:val="440"/>
        </w:trPr>
        <w:tc>
          <w:tcPr>
            <w:tcW w:w="2448" w:type="dxa"/>
            <w:shd w:val="clear" w:color="auto" w:fill="F2F2F2"/>
            <w:vAlign w:val="center"/>
          </w:tcPr>
          <w:p w14:paraId="72B98ECE" w14:textId="77777777" w:rsidR="009C3E86" w:rsidRPr="00D87CCD" w:rsidRDefault="009C3E86" w:rsidP="00D87CCD">
            <w:pPr>
              <w:spacing w:after="0" w:line="240" w:lineRule="auto"/>
              <w:rPr>
                <w:rFonts w:asciiTheme="majorHAnsi" w:hAnsiTheme="majorHAnsi" w:cstheme="majorHAnsi"/>
              </w:rPr>
            </w:pPr>
            <w:r w:rsidRPr="00D87CCD">
              <w:rPr>
                <w:rFonts w:asciiTheme="majorHAnsi" w:hAnsiTheme="majorHAnsi" w:cstheme="majorHAnsi"/>
              </w:rPr>
              <w:t>Rationale</w:t>
            </w:r>
          </w:p>
        </w:tc>
        <w:tc>
          <w:tcPr>
            <w:tcW w:w="7902" w:type="dxa"/>
          </w:tcPr>
          <w:p w14:paraId="0E4ACD54" w14:textId="60C7DA27" w:rsidR="007B2BFF" w:rsidRPr="00974FD7" w:rsidRDefault="00B31D7F" w:rsidP="00D87CCD">
            <w:pPr>
              <w:pStyle w:val="Standard"/>
              <w:jc w:val="both"/>
              <w:rPr>
                <w:rFonts w:asciiTheme="majorHAnsi" w:hAnsiTheme="majorHAnsi" w:cstheme="majorHAnsi"/>
                <w:color w:val="auto"/>
                <w:sz w:val="22"/>
                <w:szCs w:val="22"/>
              </w:rPr>
            </w:pPr>
            <w:r w:rsidRPr="00D87CCD">
              <w:rPr>
                <w:rFonts w:asciiTheme="majorHAnsi" w:hAnsiTheme="majorHAnsi" w:cstheme="majorHAnsi"/>
                <w:b/>
                <w:color w:val="auto"/>
                <w:sz w:val="22"/>
                <w:szCs w:val="22"/>
              </w:rPr>
              <w:t>TB</w:t>
            </w:r>
            <w:r w:rsidRPr="00974FD7">
              <w:rPr>
                <w:rFonts w:asciiTheme="majorHAnsi" w:hAnsiTheme="majorHAnsi" w:cstheme="majorHAnsi"/>
                <w:b/>
                <w:color w:val="auto"/>
                <w:sz w:val="22"/>
                <w:szCs w:val="22"/>
                <w:lang w:val="en-GB"/>
              </w:rPr>
              <w:t xml:space="preserve"> </w:t>
            </w:r>
            <w:r w:rsidRPr="00D87CCD">
              <w:rPr>
                <w:rFonts w:asciiTheme="majorHAnsi" w:hAnsiTheme="majorHAnsi" w:cstheme="majorHAnsi"/>
                <w:b/>
                <w:color w:val="auto"/>
                <w:sz w:val="22"/>
                <w:szCs w:val="22"/>
              </w:rPr>
              <w:t>surveillance</w:t>
            </w:r>
            <w:r w:rsidRPr="00974FD7">
              <w:rPr>
                <w:rFonts w:asciiTheme="majorHAnsi" w:hAnsiTheme="majorHAnsi" w:cstheme="majorHAnsi"/>
                <w:b/>
                <w:color w:val="auto"/>
                <w:sz w:val="22"/>
                <w:szCs w:val="22"/>
                <w:lang w:val="en-GB"/>
              </w:rPr>
              <w:t xml:space="preserve"> </w:t>
            </w:r>
            <w:r w:rsidRPr="00D87CCD">
              <w:rPr>
                <w:rFonts w:asciiTheme="majorHAnsi" w:hAnsiTheme="majorHAnsi" w:cstheme="majorHAnsi"/>
                <w:b/>
                <w:color w:val="auto"/>
                <w:sz w:val="22"/>
                <w:szCs w:val="22"/>
              </w:rPr>
              <w:t>system</w:t>
            </w:r>
            <w:r w:rsidR="007B2BFF" w:rsidRPr="00974FD7">
              <w:rPr>
                <w:rFonts w:asciiTheme="majorHAnsi" w:hAnsiTheme="majorHAnsi" w:cstheme="majorHAnsi"/>
                <w:b/>
                <w:color w:val="auto"/>
                <w:sz w:val="22"/>
                <w:szCs w:val="22"/>
                <w:lang w:val="en-GB"/>
              </w:rPr>
              <w:t xml:space="preserve"> strengthening</w:t>
            </w:r>
          </w:p>
          <w:p w14:paraId="6E090353" w14:textId="7EA2BA36" w:rsidR="007B2BFF" w:rsidRPr="00974FD7" w:rsidRDefault="00C91C09" w:rsidP="00D87CCD">
            <w:pPr>
              <w:pStyle w:val="Standard"/>
              <w:jc w:val="both"/>
              <w:rPr>
                <w:rFonts w:asciiTheme="majorHAnsi" w:hAnsiTheme="majorHAnsi" w:cstheme="majorHAnsi"/>
                <w:color w:val="auto"/>
                <w:sz w:val="22"/>
                <w:szCs w:val="22"/>
              </w:rPr>
            </w:pPr>
            <w:r w:rsidRPr="00974FD7">
              <w:rPr>
                <w:rFonts w:asciiTheme="majorHAnsi" w:hAnsiTheme="majorHAnsi" w:cstheme="majorHAnsi"/>
                <w:color w:val="auto"/>
                <w:sz w:val="22"/>
                <w:szCs w:val="22"/>
                <w:lang w:val="en-GB"/>
              </w:rPr>
              <w:t>Epidemiological surveillance of TB in the country is organized through a vertical system of standardized recording and reporting of TB cases at three different administrative levels: district, regional and republican levels, and in institutions of the penitentiary sector (pre-trial detention centers and colonies). The identification and registration of patients done by district and regional healthcare facilities</w:t>
            </w:r>
            <w:r w:rsidR="00BA60E7" w:rsidRPr="00974FD7">
              <w:rPr>
                <w:rFonts w:asciiTheme="majorHAnsi" w:hAnsiTheme="majorHAnsi" w:cstheme="majorHAnsi"/>
                <w:color w:val="auto"/>
                <w:sz w:val="22"/>
                <w:szCs w:val="22"/>
                <w:lang w:val="en-GB"/>
              </w:rPr>
              <w:t xml:space="preserve">. The epidemiological </w:t>
            </w:r>
            <w:r w:rsidRPr="00974FD7">
              <w:rPr>
                <w:rFonts w:asciiTheme="majorHAnsi" w:hAnsiTheme="majorHAnsi" w:cstheme="majorHAnsi"/>
                <w:color w:val="auto"/>
                <w:sz w:val="22"/>
                <w:szCs w:val="22"/>
                <w:lang w:val="en-GB"/>
              </w:rPr>
              <w:t xml:space="preserve">data are aggregated at regional and central levels, allowing to generate various reports. </w:t>
            </w:r>
          </w:p>
          <w:p w14:paraId="3A6BAE8D" w14:textId="77777777" w:rsidR="00C91C09" w:rsidRPr="00974FD7" w:rsidRDefault="00C91C09" w:rsidP="00D87CCD">
            <w:pPr>
              <w:pStyle w:val="Standard"/>
              <w:jc w:val="both"/>
              <w:rPr>
                <w:rFonts w:asciiTheme="majorHAnsi" w:hAnsiTheme="majorHAnsi" w:cstheme="majorHAnsi"/>
                <w:color w:val="auto"/>
                <w:sz w:val="22"/>
                <w:szCs w:val="22"/>
              </w:rPr>
            </w:pPr>
          </w:p>
          <w:p w14:paraId="3186E742" w14:textId="77777777" w:rsidR="00C6387A" w:rsidRPr="00974FD7" w:rsidRDefault="00C6387A" w:rsidP="00D87CCD">
            <w:pPr>
              <w:pStyle w:val="Standard"/>
              <w:jc w:val="both"/>
              <w:rPr>
                <w:rFonts w:asciiTheme="majorHAnsi" w:hAnsiTheme="majorHAnsi" w:cstheme="majorHAnsi"/>
                <w:color w:val="auto"/>
                <w:sz w:val="22"/>
                <w:szCs w:val="22"/>
              </w:rPr>
            </w:pPr>
            <w:r w:rsidRPr="00974FD7">
              <w:rPr>
                <w:rFonts w:asciiTheme="majorHAnsi" w:hAnsiTheme="majorHAnsi" w:cstheme="majorHAnsi"/>
                <w:color w:val="auto"/>
                <w:sz w:val="22"/>
                <w:szCs w:val="22"/>
                <w:lang w:val="en-GB"/>
              </w:rPr>
              <w:t xml:space="preserve">In 2001, within the frame of the project led by the Centers for Disease Prevention and Control (CDC) and with the financial assistance of USAID, the National TB Registry was created in Kazakhstan. In 2007, all </w:t>
            </w:r>
            <w:proofErr w:type="gramStart"/>
            <w:r w:rsidRPr="00974FD7">
              <w:rPr>
                <w:rFonts w:asciiTheme="majorHAnsi" w:hAnsiTheme="majorHAnsi" w:cstheme="majorHAnsi"/>
                <w:color w:val="auto"/>
                <w:sz w:val="22"/>
                <w:szCs w:val="22"/>
                <w:lang w:val="en-GB"/>
              </w:rPr>
              <w:t>recording</w:t>
            </w:r>
            <w:proofErr w:type="gramEnd"/>
            <w:r w:rsidRPr="00974FD7">
              <w:rPr>
                <w:rFonts w:asciiTheme="majorHAnsi" w:hAnsiTheme="majorHAnsi" w:cstheme="majorHAnsi"/>
                <w:color w:val="auto"/>
                <w:sz w:val="22"/>
                <w:szCs w:val="22"/>
                <w:lang w:val="en-GB"/>
              </w:rPr>
              <w:t xml:space="preserve"> and reporting data were brought to international standards. In 2013, with the financial support of the Global Fund and the efforts of Medinform LLP, the electronic register was transferred to the online mode. All patient data contained in the old FoxPro-based database were fully transferred into real-time operation.</w:t>
            </w:r>
          </w:p>
          <w:p w14:paraId="241ECC31" w14:textId="77777777" w:rsidR="00C6387A" w:rsidRPr="00974FD7" w:rsidRDefault="00C6387A" w:rsidP="00D87CCD">
            <w:pPr>
              <w:pStyle w:val="Standard"/>
              <w:jc w:val="both"/>
              <w:rPr>
                <w:rFonts w:asciiTheme="majorHAnsi" w:hAnsiTheme="majorHAnsi" w:cstheme="majorHAnsi"/>
                <w:color w:val="auto"/>
                <w:sz w:val="22"/>
                <w:szCs w:val="22"/>
              </w:rPr>
            </w:pPr>
          </w:p>
          <w:p w14:paraId="7068CF03" w14:textId="004ED3B1" w:rsidR="00723316" w:rsidRPr="00974FD7" w:rsidRDefault="00FA304D" w:rsidP="00D87CCD">
            <w:pPr>
              <w:spacing w:after="0" w:line="240" w:lineRule="auto"/>
              <w:jc w:val="both"/>
              <w:rPr>
                <w:rFonts w:asciiTheme="majorHAnsi" w:hAnsiTheme="majorHAnsi" w:cstheme="majorHAnsi"/>
              </w:rPr>
            </w:pPr>
            <w:r w:rsidRPr="00974FD7">
              <w:rPr>
                <w:rFonts w:asciiTheme="majorHAnsi" w:hAnsiTheme="majorHAnsi" w:cstheme="majorHAnsi"/>
              </w:rPr>
              <w:t>TB case registration and reporting include data on TB by clinical manifestation (pulmonary or extrapulmonary), results of sputum smear test and culture investigation, by type of case (new case or relapse, treatment failure, treatment after interruption and transferred case), by the category of treatment regimens they receive (Category I - new cases, Category IV - MDR/XDR-TB cases) a</w:t>
            </w:r>
            <w:r w:rsidR="00D75C2D" w:rsidRPr="00974FD7">
              <w:rPr>
                <w:rFonts w:asciiTheme="majorHAnsi" w:hAnsiTheme="majorHAnsi" w:cstheme="majorHAnsi"/>
              </w:rPr>
              <w:t>nd treatment outcomes as recommended</w:t>
            </w:r>
            <w:r w:rsidRPr="00974FD7">
              <w:rPr>
                <w:rFonts w:asciiTheme="majorHAnsi" w:hAnsiTheme="majorHAnsi" w:cstheme="majorHAnsi"/>
              </w:rPr>
              <w:t xml:space="preserve"> by </w:t>
            </w:r>
            <w:r w:rsidR="00D75C2D" w:rsidRPr="00974FD7">
              <w:rPr>
                <w:rFonts w:asciiTheme="majorHAnsi" w:hAnsiTheme="majorHAnsi" w:cstheme="majorHAnsi"/>
              </w:rPr>
              <w:t xml:space="preserve">the </w:t>
            </w:r>
            <w:r w:rsidRPr="00974FD7">
              <w:rPr>
                <w:rFonts w:asciiTheme="majorHAnsi" w:hAnsiTheme="majorHAnsi" w:cstheme="majorHAnsi"/>
              </w:rPr>
              <w:t>WHO.</w:t>
            </w:r>
          </w:p>
          <w:p w14:paraId="5A4A0BC0" w14:textId="77777777" w:rsidR="00FA304D" w:rsidRPr="00974FD7" w:rsidRDefault="00FA304D" w:rsidP="00D87CCD">
            <w:pPr>
              <w:spacing w:after="0" w:line="240" w:lineRule="auto"/>
              <w:jc w:val="both"/>
              <w:rPr>
                <w:rFonts w:asciiTheme="majorHAnsi" w:hAnsiTheme="majorHAnsi" w:cstheme="majorHAnsi"/>
              </w:rPr>
            </w:pPr>
          </w:p>
          <w:p w14:paraId="033855EE" w14:textId="09148680" w:rsidR="00706337" w:rsidRPr="00974FD7" w:rsidRDefault="00732085" w:rsidP="00D87CCD">
            <w:pPr>
              <w:pStyle w:val="Standard"/>
              <w:jc w:val="both"/>
              <w:rPr>
                <w:rFonts w:asciiTheme="majorHAnsi" w:hAnsiTheme="majorHAnsi" w:cstheme="majorHAnsi"/>
                <w:color w:val="auto"/>
                <w:sz w:val="22"/>
                <w:szCs w:val="22"/>
              </w:rPr>
            </w:pPr>
            <w:r w:rsidRPr="00974FD7">
              <w:rPr>
                <w:rFonts w:asciiTheme="majorHAnsi" w:hAnsiTheme="majorHAnsi" w:cstheme="majorHAnsi"/>
                <w:color w:val="auto"/>
                <w:sz w:val="22"/>
                <w:szCs w:val="22"/>
                <w:lang w:val="en-GB"/>
              </w:rPr>
              <w:t xml:space="preserve">The NRBT's </w:t>
            </w:r>
            <w:r w:rsidRPr="00974FD7">
              <w:rPr>
                <w:rFonts w:asciiTheme="majorHAnsi" w:hAnsiTheme="majorHAnsi" w:cstheme="majorHAnsi"/>
                <w:i/>
                <w:color w:val="auto"/>
                <w:sz w:val="22"/>
                <w:szCs w:val="22"/>
                <w:lang w:val="en-GB"/>
              </w:rPr>
              <w:t>Dispensary</w:t>
            </w:r>
            <w:r w:rsidRPr="00974FD7">
              <w:rPr>
                <w:rFonts w:asciiTheme="majorHAnsi" w:hAnsiTheme="majorHAnsi" w:cstheme="majorHAnsi"/>
                <w:color w:val="auto"/>
                <w:sz w:val="22"/>
                <w:szCs w:val="22"/>
                <w:lang w:val="en-GB"/>
              </w:rPr>
              <w:t xml:space="preserve"> module includes detailed personalized information on each TB patient in the country, including socio-demographic, diagnostic data, information on the prescribed treatment regimen, and its outcome. The </w:t>
            </w:r>
            <w:r w:rsidRPr="00974FD7">
              <w:rPr>
                <w:rFonts w:asciiTheme="majorHAnsi" w:hAnsiTheme="majorHAnsi" w:cstheme="majorHAnsi"/>
                <w:i/>
                <w:color w:val="auto"/>
                <w:sz w:val="22"/>
                <w:szCs w:val="22"/>
                <w:lang w:val="en-GB"/>
              </w:rPr>
              <w:t>Laboratory</w:t>
            </w:r>
            <w:r w:rsidRPr="00974FD7">
              <w:rPr>
                <w:rFonts w:asciiTheme="majorHAnsi" w:hAnsiTheme="majorHAnsi" w:cstheme="majorHAnsi"/>
                <w:color w:val="auto"/>
                <w:sz w:val="22"/>
                <w:szCs w:val="22"/>
                <w:lang w:val="en-GB"/>
              </w:rPr>
              <w:t xml:space="preserve"> module collects and maintains individual records on performed lab and diagnostic tests. The </w:t>
            </w:r>
            <w:r w:rsidRPr="00974FD7">
              <w:rPr>
                <w:rFonts w:asciiTheme="majorHAnsi" w:hAnsiTheme="majorHAnsi" w:cstheme="majorHAnsi"/>
                <w:i/>
                <w:color w:val="auto"/>
                <w:sz w:val="22"/>
                <w:szCs w:val="22"/>
                <w:lang w:val="en-GB"/>
              </w:rPr>
              <w:t>Drugs Supply Management</w:t>
            </w:r>
            <w:r w:rsidRPr="00974FD7">
              <w:rPr>
                <w:rFonts w:asciiTheme="majorHAnsi" w:hAnsiTheme="majorHAnsi" w:cstheme="majorHAnsi"/>
                <w:color w:val="auto"/>
                <w:sz w:val="22"/>
                <w:szCs w:val="22"/>
                <w:lang w:val="en-GB"/>
              </w:rPr>
              <w:t xml:space="preserve"> module produces reports for </w:t>
            </w:r>
            <w:r w:rsidR="00D75C2D" w:rsidRPr="00974FD7">
              <w:rPr>
                <w:rFonts w:asciiTheme="majorHAnsi" w:hAnsiTheme="majorHAnsi" w:cstheme="majorHAnsi"/>
                <w:color w:val="auto"/>
                <w:sz w:val="22"/>
                <w:szCs w:val="22"/>
                <w:lang w:val="en-GB"/>
              </w:rPr>
              <w:t xml:space="preserve">the </w:t>
            </w:r>
            <w:r w:rsidRPr="00974FD7">
              <w:rPr>
                <w:rFonts w:asciiTheme="majorHAnsi" w:hAnsiTheme="majorHAnsi" w:cstheme="majorHAnsi"/>
                <w:color w:val="auto"/>
                <w:sz w:val="22"/>
                <w:szCs w:val="22"/>
                <w:lang w:val="en-GB"/>
              </w:rPr>
              <w:t>use</w:t>
            </w:r>
            <w:r w:rsidR="00D75C2D" w:rsidRPr="00974FD7">
              <w:rPr>
                <w:rFonts w:asciiTheme="majorHAnsi" w:hAnsiTheme="majorHAnsi" w:cstheme="majorHAnsi"/>
                <w:color w:val="auto"/>
                <w:sz w:val="22"/>
                <w:szCs w:val="22"/>
                <w:lang w:val="en-GB"/>
              </w:rPr>
              <w:t xml:space="preserve"> the data</w:t>
            </w:r>
            <w:r w:rsidRPr="00974FD7">
              <w:rPr>
                <w:rFonts w:asciiTheme="majorHAnsi" w:hAnsiTheme="majorHAnsi" w:cstheme="majorHAnsi"/>
                <w:color w:val="auto"/>
                <w:sz w:val="22"/>
                <w:szCs w:val="22"/>
                <w:lang w:val="en-GB"/>
              </w:rPr>
              <w:t xml:space="preserve"> in the QuanTB tool, on missed doses, and many others.</w:t>
            </w:r>
          </w:p>
          <w:p w14:paraId="100F2A0A" w14:textId="77777777" w:rsidR="00732085" w:rsidRPr="00974FD7" w:rsidRDefault="00732085" w:rsidP="00D87CCD">
            <w:pPr>
              <w:pStyle w:val="Standard"/>
              <w:jc w:val="both"/>
              <w:rPr>
                <w:rFonts w:asciiTheme="majorHAnsi" w:hAnsiTheme="majorHAnsi" w:cstheme="majorHAnsi"/>
                <w:color w:val="auto"/>
                <w:sz w:val="22"/>
                <w:szCs w:val="22"/>
              </w:rPr>
            </w:pPr>
          </w:p>
          <w:p w14:paraId="161BA71C" w14:textId="08037AF8" w:rsidR="00D110DF" w:rsidRPr="00974FD7" w:rsidRDefault="00D75C2D" w:rsidP="00D87CCD">
            <w:pPr>
              <w:pStyle w:val="Standard"/>
              <w:jc w:val="both"/>
              <w:rPr>
                <w:rFonts w:asciiTheme="majorHAnsi" w:hAnsiTheme="majorHAnsi" w:cstheme="majorHAnsi"/>
                <w:color w:val="auto"/>
                <w:sz w:val="22"/>
                <w:szCs w:val="22"/>
              </w:rPr>
            </w:pPr>
            <w:r w:rsidRPr="00974FD7">
              <w:rPr>
                <w:rFonts w:asciiTheme="majorHAnsi" w:hAnsiTheme="majorHAnsi" w:cstheme="majorHAnsi"/>
                <w:color w:val="auto"/>
                <w:sz w:val="22"/>
                <w:szCs w:val="22"/>
                <w:lang w:val="en-GB"/>
              </w:rPr>
              <w:t>The system allows</w:t>
            </w:r>
            <w:r w:rsidR="00D110DF" w:rsidRPr="00974FD7">
              <w:rPr>
                <w:rFonts w:asciiTheme="majorHAnsi" w:hAnsiTheme="majorHAnsi" w:cstheme="majorHAnsi"/>
                <w:color w:val="auto"/>
                <w:sz w:val="22"/>
                <w:szCs w:val="22"/>
                <w:lang w:val="en-GB"/>
              </w:rPr>
              <w:t xml:space="preserve"> to generate more than 100 personified and standardized reports for each disaggregation variable (by geography, sector, age group, and gender) and on all registered TB cases, treatment ou</w:t>
            </w:r>
            <w:r w:rsidRPr="00974FD7">
              <w:rPr>
                <w:rFonts w:asciiTheme="majorHAnsi" w:hAnsiTheme="majorHAnsi" w:cstheme="majorHAnsi"/>
                <w:color w:val="auto"/>
                <w:sz w:val="22"/>
                <w:szCs w:val="22"/>
                <w:lang w:val="en-GB"/>
              </w:rPr>
              <w:t>tcomes, risk groups, PLHIV, and DST</w:t>
            </w:r>
            <w:r w:rsidR="00D110DF" w:rsidRPr="00974FD7">
              <w:rPr>
                <w:rFonts w:asciiTheme="majorHAnsi" w:hAnsiTheme="majorHAnsi" w:cstheme="majorHAnsi"/>
                <w:color w:val="auto"/>
                <w:sz w:val="22"/>
                <w:szCs w:val="22"/>
                <w:lang w:val="en-GB"/>
              </w:rPr>
              <w:t xml:space="preserve">. </w:t>
            </w:r>
            <w:r w:rsidR="008E5384" w:rsidRPr="00974FD7">
              <w:rPr>
                <w:rFonts w:asciiTheme="majorHAnsi" w:hAnsiTheme="majorHAnsi" w:cstheme="majorHAnsi"/>
                <w:color w:val="auto"/>
                <w:sz w:val="22"/>
                <w:szCs w:val="22"/>
                <w:lang w:val="en-GB"/>
              </w:rPr>
              <w:t>Today, the NRBT is integrated with three republican databases: "Registry on patients on follow-up treatment," "Enrollment Registry," and "Information System on Drugs Supply" for data exchange</w:t>
            </w:r>
            <w:r w:rsidR="008D5CAE" w:rsidRPr="00974FD7">
              <w:rPr>
                <w:rFonts w:asciiTheme="majorHAnsi" w:hAnsiTheme="majorHAnsi" w:cstheme="majorHAnsi"/>
                <w:color w:val="auto"/>
                <w:sz w:val="22"/>
                <w:szCs w:val="22"/>
                <w:lang w:val="en-GB"/>
              </w:rPr>
              <w:t xml:space="preserve"> and sharing</w:t>
            </w:r>
            <w:r w:rsidR="008E5384" w:rsidRPr="00974FD7">
              <w:rPr>
                <w:rFonts w:asciiTheme="majorHAnsi" w:hAnsiTheme="majorHAnsi" w:cstheme="majorHAnsi"/>
                <w:color w:val="auto"/>
                <w:sz w:val="22"/>
                <w:szCs w:val="22"/>
                <w:lang w:val="en-GB"/>
              </w:rPr>
              <w:t xml:space="preserve">. </w:t>
            </w:r>
          </w:p>
          <w:p w14:paraId="08AF10FF" w14:textId="77777777" w:rsidR="002C7EB4" w:rsidRPr="00974FD7" w:rsidRDefault="002C7EB4" w:rsidP="00D87CCD">
            <w:pPr>
              <w:pStyle w:val="Standard"/>
              <w:jc w:val="both"/>
              <w:rPr>
                <w:rFonts w:asciiTheme="majorHAnsi" w:hAnsiTheme="majorHAnsi" w:cstheme="majorHAnsi"/>
                <w:color w:val="auto"/>
                <w:sz w:val="22"/>
                <w:szCs w:val="22"/>
              </w:rPr>
            </w:pPr>
          </w:p>
          <w:p w14:paraId="06F5AF48" w14:textId="46DF9B76" w:rsidR="00B31D7F" w:rsidRPr="00D87CCD" w:rsidRDefault="00C2411B" w:rsidP="00D87CCD">
            <w:pPr>
              <w:pStyle w:val="Standard"/>
              <w:jc w:val="both"/>
              <w:rPr>
                <w:rFonts w:asciiTheme="majorHAnsi" w:hAnsiTheme="majorHAnsi" w:cstheme="majorHAnsi"/>
                <w:color w:val="auto"/>
                <w:sz w:val="22"/>
                <w:szCs w:val="22"/>
              </w:rPr>
            </w:pPr>
            <w:r w:rsidRPr="00D87CCD">
              <w:rPr>
                <w:rFonts w:asciiTheme="majorHAnsi" w:hAnsiTheme="majorHAnsi" w:cstheme="majorHAnsi"/>
                <w:color w:val="auto"/>
                <w:sz w:val="22"/>
                <w:szCs w:val="22"/>
              </w:rPr>
              <w:t>From a mid-term perspective, to address recent WHO recommendation</w:t>
            </w:r>
            <w:r w:rsidR="00D75C2D" w:rsidRPr="00D87CCD">
              <w:rPr>
                <w:rFonts w:asciiTheme="majorHAnsi" w:hAnsiTheme="majorHAnsi" w:cstheme="majorHAnsi"/>
                <w:color w:val="auto"/>
                <w:sz w:val="22"/>
                <w:szCs w:val="22"/>
              </w:rPr>
              <w:t>s</w:t>
            </w:r>
            <w:r w:rsidRPr="00D87CCD">
              <w:rPr>
                <w:rFonts w:asciiTheme="majorHAnsi" w:hAnsiTheme="majorHAnsi" w:cstheme="majorHAnsi"/>
                <w:color w:val="auto"/>
                <w:sz w:val="22"/>
                <w:szCs w:val="22"/>
              </w:rPr>
              <w:t>, the NTP will focus on revisiting case</w:t>
            </w:r>
            <w:r w:rsidR="00384714">
              <w:rPr>
                <w:rFonts w:asciiTheme="majorHAnsi" w:hAnsiTheme="majorHAnsi" w:cstheme="majorHAnsi"/>
                <w:color w:val="auto"/>
                <w:sz w:val="22"/>
                <w:szCs w:val="22"/>
              </w:rPr>
              <w:t>s</w:t>
            </w:r>
            <w:r w:rsidRPr="00D87CCD">
              <w:rPr>
                <w:rFonts w:asciiTheme="majorHAnsi" w:hAnsiTheme="majorHAnsi" w:cstheme="majorHAnsi"/>
                <w:color w:val="auto"/>
                <w:sz w:val="22"/>
                <w:szCs w:val="22"/>
              </w:rPr>
              <w:t xml:space="preserve"> definitions, treatment results, laboratory modules in connection with the large-scale introduction of new and repurposed drugs, adding pharmacovigilance data, and refining reporting sub-system of the NRBT for automatic generation of anti-tuberculosis drug' orders.</w:t>
            </w:r>
          </w:p>
          <w:p w14:paraId="0735800B" w14:textId="77777777" w:rsidR="00C2411B" w:rsidRPr="00D87CCD" w:rsidRDefault="00C2411B" w:rsidP="00D87CCD">
            <w:pPr>
              <w:pStyle w:val="Standard"/>
              <w:jc w:val="both"/>
              <w:rPr>
                <w:rFonts w:asciiTheme="majorHAnsi" w:hAnsiTheme="majorHAnsi" w:cstheme="majorHAnsi"/>
                <w:b/>
                <w:color w:val="00B050"/>
                <w:sz w:val="22"/>
                <w:szCs w:val="22"/>
              </w:rPr>
            </w:pPr>
          </w:p>
          <w:p w14:paraId="46FD68AB" w14:textId="08B7F8BC" w:rsidR="00FF3CC4" w:rsidRPr="00D87CCD" w:rsidRDefault="009D0FD6" w:rsidP="00D87CCD">
            <w:pPr>
              <w:pStyle w:val="Standard"/>
              <w:jc w:val="both"/>
              <w:rPr>
                <w:rFonts w:asciiTheme="majorHAnsi" w:hAnsiTheme="majorHAnsi" w:cstheme="majorHAnsi"/>
                <w:b/>
                <w:color w:val="auto"/>
                <w:sz w:val="22"/>
                <w:szCs w:val="22"/>
              </w:rPr>
            </w:pPr>
            <w:r w:rsidRPr="00D87CCD">
              <w:rPr>
                <w:rFonts w:asciiTheme="majorHAnsi" w:hAnsiTheme="majorHAnsi" w:cstheme="majorHAnsi"/>
                <w:b/>
                <w:color w:val="auto"/>
                <w:sz w:val="22"/>
                <w:szCs w:val="22"/>
              </w:rPr>
              <w:t xml:space="preserve">Enhancing </w:t>
            </w:r>
            <w:r w:rsidR="0082448F" w:rsidRPr="00D87CCD">
              <w:rPr>
                <w:rFonts w:asciiTheme="majorHAnsi" w:hAnsiTheme="majorHAnsi" w:cstheme="majorHAnsi"/>
                <w:b/>
                <w:color w:val="auto"/>
                <w:sz w:val="22"/>
                <w:szCs w:val="22"/>
              </w:rPr>
              <w:t xml:space="preserve">supportive supervision and </w:t>
            </w:r>
            <w:r w:rsidR="00B31D7F" w:rsidRPr="00D87CCD">
              <w:rPr>
                <w:rFonts w:asciiTheme="majorHAnsi" w:hAnsiTheme="majorHAnsi" w:cstheme="majorHAnsi"/>
                <w:b/>
                <w:color w:val="auto"/>
                <w:sz w:val="22"/>
                <w:szCs w:val="22"/>
              </w:rPr>
              <w:t>M</w:t>
            </w:r>
            <w:r w:rsidR="00B31D7F" w:rsidRPr="00974FD7">
              <w:rPr>
                <w:rFonts w:asciiTheme="majorHAnsi" w:hAnsiTheme="majorHAnsi" w:cstheme="majorHAnsi"/>
                <w:b/>
                <w:color w:val="auto"/>
                <w:sz w:val="22"/>
                <w:szCs w:val="22"/>
                <w:lang w:val="en-GB"/>
              </w:rPr>
              <w:t>&amp;</w:t>
            </w:r>
            <w:r w:rsidR="00B31D7F" w:rsidRPr="00D87CCD">
              <w:rPr>
                <w:rFonts w:asciiTheme="majorHAnsi" w:hAnsiTheme="majorHAnsi" w:cstheme="majorHAnsi"/>
                <w:b/>
                <w:color w:val="auto"/>
                <w:sz w:val="22"/>
                <w:szCs w:val="22"/>
              </w:rPr>
              <w:t>E</w:t>
            </w:r>
            <w:r w:rsidR="00B31D7F" w:rsidRPr="00974FD7">
              <w:rPr>
                <w:rFonts w:asciiTheme="majorHAnsi" w:hAnsiTheme="majorHAnsi" w:cstheme="majorHAnsi"/>
                <w:b/>
                <w:color w:val="auto"/>
                <w:sz w:val="22"/>
                <w:szCs w:val="22"/>
                <w:lang w:val="en-GB"/>
              </w:rPr>
              <w:t xml:space="preserve"> </w:t>
            </w:r>
            <w:r w:rsidR="00B31D7F" w:rsidRPr="00D87CCD">
              <w:rPr>
                <w:rFonts w:asciiTheme="majorHAnsi" w:hAnsiTheme="majorHAnsi" w:cstheme="majorHAnsi"/>
                <w:b/>
                <w:color w:val="auto"/>
                <w:sz w:val="22"/>
                <w:szCs w:val="22"/>
              </w:rPr>
              <w:t>system</w:t>
            </w:r>
            <w:r w:rsidRPr="00D87CCD">
              <w:rPr>
                <w:rFonts w:asciiTheme="majorHAnsi" w:hAnsiTheme="majorHAnsi" w:cstheme="majorHAnsi"/>
                <w:b/>
                <w:color w:val="auto"/>
                <w:sz w:val="22"/>
                <w:szCs w:val="22"/>
              </w:rPr>
              <w:t xml:space="preserve"> </w:t>
            </w:r>
          </w:p>
          <w:p w14:paraId="287F845F" w14:textId="77777777" w:rsidR="00D75C2D" w:rsidRPr="00974FD7" w:rsidRDefault="001B51E4" w:rsidP="00D87CCD">
            <w:pPr>
              <w:pStyle w:val="Standard"/>
              <w:jc w:val="both"/>
              <w:rPr>
                <w:rFonts w:asciiTheme="majorHAnsi" w:hAnsiTheme="majorHAnsi" w:cstheme="majorHAnsi"/>
                <w:color w:val="auto"/>
                <w:sz w:val="22"/>
                <w:szCs w:val="22"/>
              </w:rPr>
            </w:pPr>
            <w:r w:rsidRPr="00974FD7">
              <w:rPr>
                <w:rFonts w:asciiTheme="majorHAnsi" w:hAnsiTheme="majorHAnsi" w:cstheme="majorHAnsi"/>
                <w:color w:val="auto"/>
                <w:sz w:val="22"/>
                <w:szCs w:val="22"/>
                <w:lang w:val="en-GB"/>
              </w:rPr>
              <w:t xml:space="preserve">The M&amp;E plays an essential role in the day-to-day management of the TB program in Kazakhstan and produces the information needed for strategic planning, NTP design, implementation, </w:t>
            </w:r>
            <w:r w:rsidR="00EC4271" w:rsidRPr="00974FD7">
              <w:rPr>
                <w:rFonts w:asciiTheme="majorHAnsi" w:hAnsiTheme="majorHAnsi" w:cstheme="majorHAnsi"/>
                <w:color w:val="auto"/>
                <w:sz w:val="22"/>
                <w:szCs w:val="22"/>
                <w:lang w:val="en-GB"/>
              </w:rPr>
              <w:t xml:space="preserve">tracking the progress towards the </w:t>
            </w:r>
            <w:proofErr w:type="gramStart"/>
            <w:r w:rsidR="00EC4271" w:rsidRPr="00974FD7">
              <w:rPr>
                <w:rFonts w:asciiTheme="majorHAnsi" w:hAnsiTheme="majorHAnsi" w:cstheme="majorHAnsi"/>
                <w:color w:val="auto"/>
                <w:sz w:val="22"/>
                <w:szCs w:val="22"/>
                <w:lang w:val="en-GB"/>
              </w:rPr>
              <w:t>programs</w:t>
            </w:r>
            <w:proofErr w:type="gramEnd"/>
            <w:r w:rsidR="00EC4271" w:rsidRPr="00974FD7">
              <w:rPr>
                <w:rFonts w:asciiTheme="majorHAnsi" w:hAnsiTheme="majorHAnsi" w:cstheme="majorHAnsi"/>
                <w:color w:val="auto"/>
                <w:sz w:val="22"/>
                <w:szCs w:val="22"/>
                <w:lang w:val="en-GB"/>
              </w:rPr>
              <w:t xml:space="preserve"> objectives, </w:t>
            </w:r>
            <w:r w:rsidRPr="00974FD7">
              <w:rPr>
                <w:rFonts w:asciiTheme="majorHAnsi" w:hAnsiTheme="majorHAnsi" w:cstheme="majorHAnsi"/>
                <w:color w:val="auto"/>
                <w:sz w:val="22"/>
                <w:szCs w:val="22"/>
                <w:lang w:val="en-GB"/>
              </w:rPr>
              <w:t xml:space="preserve">evidence-based decision making regarding the required human and financial resources. </w:t>
            </w:r>
            <w:r w:rsidR="00A91C4D" w:rsidRPr="00974FD7">
              <w:rPr>
                <w:rFonts w:asciiTheme="majorHAnsi" w:hAnsiTheme="majorHAnsi" w:cstheme="majorHAnsi"/>
                <w:color w:val="auto"/>
                <w:sz w:val="22"/>
                <w:szCs w:val="22"/>
                <w:lang w:val="en-GB"/>
              </w:rPr>
              <w:t xml:space="preserve">In the context of the frequently evolving technical partners' recommendations, it becomes more critical to monitor the changes introduced and revisit and adjust programs or interventions accordingly by considering the regional specifics. </w:t>
            </w:r>
            <w:r w:rsidR="0000159A" w:rsidRPr="00974FD7">
              <w:rPr>
                <w:rFonts w:asciiTheme="majorHAnsi" w:hAnsiTheme="majorHAnsi" w:cstheme="majorHAnsi"/>
                <w:color w:val="auto"/>
                <w:sz w:val="22"/>
                <w:szCs w:val="22"/>
                <w:lang w:val="en-GB"/>
              </w:rPr>
              <w:t>The M&amp;E activities are carried out following the monitoring guide</w:t>
            </w:r>
            <w:r w:rsidR="0000159A" w:rsidRPr="00D87CCD">
              <w:rPr>
                <w:rStyle w:val="af"/>
                <w:rFonts w:asciiTheme="majorHAnsi" w:hAnsiTheme="majorHAnsi" w:cstheme="majorHAnsi"/>
                <w:color w:val="auto"/>
                <w:sz w:val="22"/>
                <w:szCs w:val="22"/>
              </w:rPr>
              <w:footnoteReference w:id="75"/>
            </w:r>
            <w:r w:rsidR="0000159A" w:rsidRPr="00974FD7">
              <w:rPr>
                <w:rFonts w:asciiTheme="majorHAnsi" w:hAnsiTheme="majorHAnsi" w:cstheme="majorHAnsi"/>
                <w:color w:val="auto"/>
                <w:sz w:val="22"/>
                <w:szCs w:val="22"/>
                <w:lang w:val="en-GB"/>
              </w:rPr>
              <w:t xml:space="preserve"> adopted in 2019. To effectively use resources available in the program and obtain reliable data for managing TB response, the monitoring is performed</w:t>
            </w:r>
            <w:r w:rsidR="00D75C2D" w:rsidRPr="00974FD7">
              <w:rPr>
                <w:rFonts w:asciiTheme="majorHAnsi" w:hAnsiTheme="majorHAnsi" w:cstheme="majorHAnsi"/>
                <w:color w:val="auto"/>
                <w:sz w:val="22"/>
                <w:szCs w:val="22"/>
                <w:lang w:val="en-GB"/>
              </w:rPr>
              <w:t>:</w:t>
            </w:r>
          </w:p>
          <w:p w14:paraId="2818E465" w14:textId="77777777" w:rsidR="00D75C2D" w:rsidRPr="00974FD7" w:rsidRDefault="0000159A" w:rsidP="006A0E08">
            <w:pPr>
              <w:pStyle w:val="Standard"/>
              <w:numPr>
                <w:ilvl w:val="0"/>
                <w:numId w:val="44"/>
              </w:numPr>
              <w:jc w:val="both"/>
              <w:rPr>
                <w:rFonts w:asciiTheme="majorHAnsi" w:hAnsiTheme="majorHAnsi" w:cstheme="majorHAnsi"/>
                <w:color w:val="auto"/>
                <w:sz w:val="22"/>
                <w:szCs w:val="22"/>
              </w:rPr>
            </w:pPr>
            <w:r w:rsidRPr="00974FD7">
              <w:rPr>
                <w:rFonts w:asciiTheme="majorHAnsi" w:hAnsiTheme="majorHAnsi" w:cstheme="majorHAnsi"/>
                <w:color w:val="auto"/>
                <w:sz w:val="22"/>
                <w:szCs w:val="22"/>
                <w:lang w:val="en-GB"/>
              </w:rPr>
              <w:t xml:space="preserve">at the national level by NSCP through its M&amp;E system and </w:t>
            </w:r>
            <w:r w:rsidR="00D75C2D" w:rsidRPr="00974FD7">
              <w:rPr>
                <w:rFonts w:asciiTheme="majorHAnsi" w:hAnsiTheme="majorHAnsi" w:cstheme="majorHAnsi"/>
                <w:color w:val="auto"/>
                <w:sz w:val="22"/>
                <w:szCs w:val="22"/>
                <w:lang w:val="en-GB"/>
              </w:rPr>
              <w:t xml:space="preserve">the </w:t>
            </w:r>
            <w:r w:rsidRPr="00974FD7">
              <w:rPr>
                <w:rFonts w:asciiTheme="majorHAnsi" w:hAnsiTheme="majorHAnsi" w:cstheme="majorHAnsi"/>
                <w:color w:val="auto"/>
                <w:sz w:val="22"/>
                <w:szCs w:val="22"/>
                <w:lang w:val="en-GB"/>
              </w:rPr>
              <w:t xml:space="preserve">MoH via the country-led platform for </w:t>
            </w:r>
            <w:proofErr w:type="gramStart"/>
            <w:r w:rsidRPr="00974FD7">
              <w:rPr>
                <w:rFonts w:asciiTheme="majorHAnsi" w:hAnsiTheme="majorHAnsi" w:cstheme="majorHAnsi"/>
                <w:color w:val="auto"/>
                <w:sz w:val="22"/>
                <w:szCs w:val="22"/>
                <w:lang w:val="en-GB"/>
              </w:rPr>
              <w:t>monitoring;</w:t>
            </w:r>
            <w:proofErr w:type="gramEnd"/>
            <w:r w:rsidRPr="00974FD7">
              <w:rPr>
                <w:rFonts w:asciiTheme="majorHAnsi" w:hAnsiTheme="majorHAnsi" w:cstheme="majorHAnsi"/>
                <w:color w:val="auto"/>
                <w:sz w:val="22"/>
                <w:szCs w:val="22"/>
                <w:lang w:val="en-GB"/>
              </w:rPr>
              <w:t xml:space="preserve"> </w:t>
            </w:r>
          </w:p>
          <w:p w14:paraId="43A97A2E" w14:textId="77777777" w:rsidR="00D75C2D" w:rsidRPr="00974FD7" w:rsidRDefault="00CC23BB" w:rsidP="006A0E08">
            <w:pPr>
              <w:pStyle w:val="Standard"/>
              <w:numPr>
                <w:ilvl w:val="0"/>
                <w:numId w:val="44"/>
              </w:numPr>
              <w:jc w:val="both"/>
              <w:rPr>
                <w:rFonts w:asciiTheme="majorHAnsi" w:hAnsiTheme="majorHAnsi" w:cstheme="majorHAnsi"/>
                <w:color w:val="auto"/>
                <w:sz w:val="22"/>
                <w:szCs w:val="22"/>
              </w:rPr>
            </w:pPr>
            <w:r w:rsidRPr="00974FD7">
              <w:rPr>
                <w:rFonts w:asciiTheme="majorHAnsi" w:hAnsiTheme="majorHAnsi" w:cstheme="majorHAnsi"/>
                <w:color w:val="auto"/>
                <w:sz w:val="22"/>
                <w:szCs w:val="22"/>
                <w:lang w:val="en-GB"/>
              </w:rPr>
              <w:t xml:space="preserve">at the </w:t>
            </w:r>
            <w:r w:rsidR="0000159A" w:rsidRPr="00974FD7">
              <w:rPr>
                <w:rFonts w:asciiTheme="majorHAnsi" w:hAnsiTheme="majorHAnsi" w:cstheme="majorHAnsi"/>
                <w:color w:val="auto"/>
                <w:sz w:val="22"/>
                <w:szCs w:val="22"/>
                <w:lang w:val="en-GB"/>
              </w:rPr>
              <w:t xml:space="preserve">regional level by </w:t>
            </w:r>
            <w:r w:rsidR="00D75C2D" w:rsidRPr="00974FD7">
              <w:rPr>
                <w:rFonts w:asciiTheme="majorHAnsi" w:hAnsiTheme="majorHAnsi" w:cstheme="majorHAnsi"/>
                <w:color w:val="auto"/>
                <w:sz w:val="22"/>
                <w:szCs w:val="22"/>
                <w:lang w:val="en-GB"/>
              </w:rPr>
              <w:t xml:space="preserve">the </w:t>
            </w:r>
            <w:r w:rsidR="0000159A" w:rsidRPr="00974FD7">
              <w:rPr>
                <w:rFonts w:asciiTheme="majorHAnsi" w:hAnsiTheme="majorHAnsi" w:cstheme="majorHAnsi"/>
                <w:color w:val="auto"/>
                <w:sz w:val="22"/>
                <w:szCs w:val="22"/>
                <w:lang w:val="en-GB"/>
              </w:rPr>
              <w:t>M&amp;E groups established at regiona</w:t>
            </w:r>
            <w:r w:rsidRPr="00974FD7">
              <w:rPr>
                <w:rFonts w:asciiTheme="majorHAnsi" w:hAnsiTheme="majorHAnsi" w:cstheme="majorHAnsi"/>
                <w:color w:val="auto"/>
                <w:sz w:val="22"/>
                <w:szCs w:val="22"/>
                <w:lang w:val="en-GB"/>
              </w:rPr>
              <w:t xml:space="preserve">l and district TB </w:t>
            </w:r>
            <w:proofErr w:type="gramStart"/>
            <w:r w:rsidRPr="00974FD7">
              <w:rPr>
                <w:rFonts w:asciiTheme="majorHAnsi" w:hAnsiTheme="majorHAnsi" w:cstheme="majorHAnsi"/>
                <w:color w:val="auto"/>
                <w:sz w:val="22"/>
                <w:szCs w:val="22"/>
                <w:lang w:val="en-GB"/>
              </w:rPr>
              <w:t>Centers;</w:t>
            </w:r>
            <w:proofErr w:type="gramEnd"/>
            <w:r w:rsidRPr="00974FD7">
              <w:rPr>
                <w:rFonts w:asciiTheme="majorHAnsi" w:hAnsiTheme="majorHAnsi" w:cstheme="majorHAnsi"/>
                <w:color w:val="auto"/>
                <w:sz w:val="22"/>
                <w:szCs w:val="22"/>
                <w:lang w:val="en-GB"/>
              </w:rPr>
              <w:t xml:space="preserve"> </w:t>
            </w:r>
          </w:p>
          <w:p w14:paraId="167F155D" w14:textId="77777777" w:rsidR="00D75C2D" w:rsidRPr="00974FD7" w:rsidRDefault="00CC23BB" w:rsidP="006A0E08">
            <w:pPr>
              <w:pStyle w:val="Standard"/>
              <w:numPr>
                <w:ilvl w:val="0"/>
                <w:numId w:val="44"/>
              </w:numPr>
              <w:jc w:val="both"/>
              <w:rPr>
                <w:rFonts w:asciiTheme="majorHAnsi" w:hAnsiTheme="majorHAnsi" w:cstheme="majorHAnsi"/>
                <w:color w:val="auto"/>
                <w:sz w:val="22"/>
                <w:szCs w:val="22"/>
              </w:rPr>
            </w:pPr>
            <w:r w:rsidRPr="00974FD7">
              <w:rPr>
                <w:rFonts w:asciiTheme="majorHAnsi" w:hAnsiTheme="majorHAnsi" w:cstheme="majorHAnsi"/>
                <w:color w:val="auto"/>
                <w:sz w:val="22"/>
                <w:szCs w:val="22"/>
                <w:lang w:val="en-GB"/>
              </w:rPr>
              <w:t>at the</w:t>
            </w:r>
            <w:r w:rsidR="0000159A" w:rsidRPr="00974FD7">
              <w:rPr>
                <w:rFonts w:asciiTheme="majorHAnsi" w:hAnsiTheme="majorHAnsi" w:cstheme="majorHAnsi"/>
                <w:color w:val="auto"/>
                <w:sz w:val="22"/>
                <w:szCs w:val="22"/>
                <w:lang w:val="en-GB"/>
              </w:rPr>
              <w:t xml:space="preserve"> PHC level</w:t>
            </w:r>
            <w:r w:rsidRPr="00974FD7">
              <w:rPr>
                <w:rFonts w:asciiTheme="majorHAnsi" w:hAnsiTheme="majorHAnsi" w:cstheme="majorHAnsi"/>
                <w:color w:val="auto"/>
                <w:sz w:val="22"/>
                <w:szCs w:val="22"/>
                <w:lang w:val="en-GB"/>
              </w:rPr>
              <w:t>-</w:t>
            </w:r>
            <w:r w:rsidR="00D75C2D" w:rsidRPr="00974FD7">
              <w:rPr>
                <w:rFonts w:asciiTheme="majorHAnsi" w:hAnsiTheme="majorHAnsi" w:cstheme="majorHAnsi"/>
                <w:color w:val="auto"/>
                <w:sz w:val="22"/>
                <w:szCs w:val="22"/>
                <w:lang w:val="en-GB"/>
              </w:rPr>
              <w:t xml:space="preserve"> by the</w:t>
            </w:r>
            <w:r w:rsidR="0000159A" w:rsidRPr="00974FD7">
              <w:rPr>
                <w:rFonts w:asciiTheme="majorHAnsi" w:hAnsiTheme="majorHAnsi" w:cstheme="majorHAnsi"/>
                <w:color w:val="auto"/>
                <w:sz w:val="22"/>
                <w:szCs w:val="22"/>
                <w:lang w:val="en-GB"/>
              </w:rPr>
              <w:t xml:space="preserve"> </w:t>
            </w:r>
            <w:r w:rsidRPr="00974FD7">
              <w:rPr>
                <w:rFonts w:asciiTheme="majorHAnsi" w:hAnsiTheme="majorHAnsi" w:cstheme="majorHAnsi"/>
                <w:color w:val="auto"/>
                <w:sz w:val="22"/>
                <w:szCs w:val="22"/>
                <w:lang w:val="en-GB"/>
              </w:rPr>
              <w:t xml:space="preserve">central and regional </w:t>
            </w:r>
            <w:r w:rsidR="00D75C2D" w:rsidRPr="00974FD7">
              <w:rPr>
                <w:rFonts w:asciiTheme="majorHAnsi" w:hAnsiTheme="majorHAnsi" w:cstheme="majorHAnsi"/>
                <w:color w:val="auto"/>
                <w:sz w:val="22"/>
                <w:szCs w:val="22"/>
                <w:lang w:val="en-GB"/>
              </w:rPr>
              <w:t xml:space="preserve">M&amp;E </w:t>
            </w:r>
            <w:r w:rsidRPr="00974FD7">
              <w:rPr>
                <w:rFonts w:asciiTheme="majorHAnsi" w:hAnsiTheme="majorHAnsi" w:cstheme="majorHAnsi"/>
                <w:color w:val="auto"/>
                <w:sz w:val="22"/>
                <w:szCs w:val="22"/>
                <w:lang w:val="en-GB"/>
              </w:rPr>
              <w:t xml:space="preserve">groups, </w:t>
            </w:r>
            <w:r w:rsidR="0000159A" w:rsidRPr="00974FD7">
              <w:rPr>
                <w:rFonts w:asciiTheme="majorHAnsi" w:hAnsiTheme="majorHAnsi" w:cstheme="majorHAnsi"/>
                <w:color w:val="auto"/>
                <w:sz w:val="22"/>
                <w:szCs w:val="22"/>
                <w:lang w:val="en-GB"/>
              </w:rPr>
              <w:t>management of primary healthcare organizations</w:t>
            </w:r>
            <w:r w:rsidRPr="00974FD7">
              <w:rPr>
                <w:rFonts w:asciiTheme="majorHAnsi" w:hAnsiTheme="majorHAnsi" w:cstheme="majorHAnsi"/>
                <w:color w:val="auto"/>
                <w:sz w:val="22"/>
                <w:szCs w:val="22"/>
                <w:lang w:val="en-GB"/>
              </w:rPr>
              <w:t xml:space="preserve"> and </w:t>
            </w:r>
            <w:r w:rsidR="007F5BBF" w:rsidRPr="00974FD7">
              <w:rPr>
                <w:rFonts w:asciiTheme="majorHAnsi" w:hAnsiTheme="majorHAnsi" w:cstheme="majorHAnsi"/>
                <w:color w:val="auto"/>
                <w:sz w:val="22"/>
                <w:szCs w:val="22"/>
                <w:lang w:val="en-GB"/>
              </w:rPr>
              <w:t>Territorial phthysiatricians (TPh</w:t>
            </w:r>
            <w:r w:rsidRPr="00974FD7">
              <w:rPr>
                <w:rFonts w:asciiTheme="majorHAnsi" w:hAnsiTheme="majorHAnsi" w:cstheme="majorHAnsi"/>
                <w:color w:val="auto"/>
                <w:sz w:val="22"/>
                <w:szCs w:val="22"/>
                <w:lang w:val="en-GB"/>
              </w:rPr>
              <w:t>)</w:t>
            </w:r>
            <w:r w:rsidR="0000159A" w:rsidRPr="00974FD7">
              <w:rPr>
                <w:rFonts w:asciiTheme="majorHAnsi" w:hAnsiTheme="majorHAnsi" w:cstheme="majorHAnsi"/>
                <w:color w:val="auto"/>
                <w:sz w:val="22"/>
                <w:szCs w:val="22"/>
                <w:lang w:val="en-GB"/>
              </w:rPr>
              <w:t xml:space="preserve">. </w:t>
            </w:r>
          </w:p>
          <w:p w14:paraId="0FFC477B" w14:textId="77777777" w:rsidR="00D75C2D" w:rsidRPr="00974FD7" w:rsidRDefault="00D75C2D" w:rsidP="00D87CCD">
            <w:pPr>
              <w:pStyle w:val="Standard"/>
              <w:ind w:left="64"/>
              <w:jc w:val="both"/>
              <w:rPr>
                <w:rFonts w:asciiTheme="majorHAnsi" w:hAnsiTheme="majorHAnsi" w:cstheme="majorHAnsi"/>
                <w:color w:val="auto"/>
                <w:sz w:val="22"/>
                <w:szCs w:val="22"/>
              </w:rPr>
            </w:pPr>
          </w:p>
          <w:p w14:paraId="436DD9A8" w14:textId="24634935" w:rsidR="0000159A" w:rsidRPr="00974FD7" w:rsidRDefault="0000159A" w:rsidP="00D87CCD">
            <w:pPr>
              <w:pStyle w:val="Standard"/>
              <w:ind w:left="64"/>
              <w:jc w:val="both"/>
              <w:rPr>
                <w:rFonts w:asciiTheme="majorHAnsi" w:hAnsiTheme="majorHAnsi" w:cstheme="majorHAnsi"/>
                <w:color w:val="auto"/>
                <w:sz w:val="22"/>
                <w:szCs w:val="22"/>
              </w:rPr>
            </w:pPr>
            <w:r w:rsidRPr="00974FD7">
              <w:rPr>
                <w:rFonts w:asciiTheme="majorHAnsi" w:hAnsiTheme="majorHAnsi" w:cstheme="majorHAnsi"/>
                <w:color w:val="auto"/>
                <w:sz w:val="22"/>
                <w:szCs w:val="22"/>
                <w:lang w:val="en-GB"/>
              </w:rPr>
              <w:t xml:space="preserve">There are also mechanisms adopted for external monitoring and evaluation of the NTP components by the technical partners. </w:t>
            </w:r>
          </w:p>
          <w:p w14:paraId="5F650C6E" w14:textId="77777777" w:rsidR="00E92883" w:rsidRPr="00974FD7" w:rsidRDefault="00E92883" w:rsidP="00D87CCD">
            <w:pPr>
              <w:pStyle w:val="Standard"/>
              <w:jc w:val="both"/>
              <w:rPr>
                <w:rFonts w:asciiTheme="majorHAnsi" w:hAnsiTheme="majorHAnsi" w:cstheme="majorHAnsi"/>
                <w:color w:val="auto"/>
                <w:sz w:val="22"/>
                <w:szCs w:val="22"/>
              </w:rPr>
            </w:pPr>
          </w:p>
          <w:p w14:paraId="7E1ED6BA" w14:textId="03DA4417" w:rsidR="00965066" w:rsidRPr="00974FD7" w:rsidRDefault="00882F89" w:rsidP="00D87CCD">
            <w:pPr>
              <w:pStyle w:val="Standard"/>
              <w:jc w:val="both"/>
              <w:rPr>
                <w:rFonts w:asciiTheme="majorHAnsi" w:hAnsiTheme="majorHAnsi" w:cstheme="majorHAnsi"/>
                <w:color w:val="auto"/>
                <w:sz w:val="22"/>
                <w:szCs w:val="22"/>
              </w:rPr>
            </w:pPr>
            <w:r w:rsidRPr="00974FD7">
              <w:rPr>
                <w:rFonts w:asciiTheme="majorHAnsi" w:eastAsiaTheme="minorHAnsi" w:hAnsiTheme="majorHAnsi" w:cstheme="majorHAnsi"/>
                <w:color w:val="auto"/>
                <w:kern w:val="0"/>
                <w:sz w:val="22"/>
                <w:szCs w:val="22"/>
                <w:lang w:val="en-GB"/>
              </w:rPr>
              <w:t>The</w:t>
            </w:r>
            <w:r w:rsidR="00D75C2D" w:rsidRPr="00974FD7">
              <w:rPr>
                <w:rFonts w:asciiTheme="majorHAnsi" w:eastAsiaTheme="minorHAnsi" w:hAnsiTheme="majorHAnsi" w:cstheme="majorHAnsi"/>
                <w:color w:val="auto"/>
                <w:kern w:val="0"/>
                <w:sz w:val="22"/>
                <w:szCs w:val="22"/>
                <w:lang w:val="en-GB"/>
              </w:rPr>
              <w:t xml:space="preserve"> NTP monitoring and evaluation u</w:t>
            </w:r>
            <w:r w:rsidRPr="00974FD7">
              <w:rPr>
                <w:rFonts w:asciiTheme="majorHAnsi" w:eastAsiaTheme="minorHAnsi" w:hAnsiTheme="majorHAnsi" w:cstheme="majorHAnsi"/>
                <w:color w:val="auto"/>
                <w:kern w:val="0"/>
                <w:sz w:val="22"/>
                <w:szCs w:val="22"/>
                <w:lang w:val="en-GB"/>
              </w:rPr>
              <w:t xml:space="preserve">nit </w:t>
            </w:r>
            <w:r w:rsidR="00E64D4C" w:rsidRPr="00974FD7">
              <w:rPr>
                <w:rFonts w:asciiTheme="majorHAnsi" w:eastAsiaTheme="minorHAnsi" w:hAnsiTheme="majorHAnsi" w:cstheme="majorHAnsi"/>
                <w:color w:val="auto"/>
                <w:kern w:val="0"/>
                <w:sz w:val="22"/>
                <w:szCs w:val="22"/>
                <w:lang w:val="en-GB"/>
              </w:rPr>
              <w:t xml:space="preserve">operates </w:t>
            </w:r>
            <w:r w:rsidRPr="00974FD7">
              <w:rPr>
                <w:rFonts w:asciiTheme="majorHAnsi" w:eastAsiaTheme="minorHAnsi" w:hAnsiTheme="majorHAnsi" w:cstheme="majorHAnsi"/>
                <w:color w:val="auto"/>
                <w:kern w:val="0"/>
                <w:sz w:val="22"/>
                <w:szCs w:val="22"/>
                <w:lang w:val="en-GB"/>
              </w:rPr>
              <w:t>in the structure of the Organizational and Methodological Department (</w:t>
            </w:r>
            <w:r w:rsidR="00010846" w:rsidRPr="00974FD7">
              <w:rPr>
                <w:rFonts w:asciiTheme="majorHAnsi" w:eastAsiaTheme="minorHAnsi" w:hAnsiTheme="majorHAnsi" w:cstheme="majorHAnsi"/>
                <w:color w:val="auto"/>
                <w:kern w:val="0"/>
                <w:sz w:val="22"/>
                <w:szCs w:val="22"/>
                <w:lang w:val="en-GB"/>
              </w:rPr>
              <w:t xml:space="preserve">hereafter, </w:t>
            </w:r>
            <w:r w:rsidR="00D87CCD" w:rsidRPr="00974FD7">
              <w:rPr>
                <w:rFonts w:asciiTheme="majorHAnsi" w:eastAsiaTheme="minorHAnsi" w:hAnsiTheme="majorHAnsi" w:cstheme="majorHAnsi"/>
                <w:color w:val="auto"/>
                <w:kern w:val="0"/>
                <w:sz w:val="22"/>
                <w:szCs w:val="22"/>
                <w:lang w:val="en-GB"/>
              </w:rPr>
              <w:t>org</w:t>
            </w:r>
            <w:r w:rsidRPr="00974FD7">
              <w:rPr>
                <w:rFonts w:asciiTheme="majorHAnsi" w:eastAsiaTheme="minorHAnsi" w:hAnsiTheme="majorHAnsi" w:cstheme="majorHAnsi"/>
                <w:color w:val="auto"/>
                <w:kern w:val="0"/>
                <w:sz w:val="22"/>
                <w:szCs w:val="22"/>
                <w:lang w:val="en-GB"/>
              </w:rPr>
              <w:t xml:space="preserve">method) at the NSCP. The coordination of the NTP components implementation, legal and regulatory framework development, clinical guidelines elaboration, TB measures performance, monitoring visits conduction and technical support, TB Service data collection and analysis, </w:t>
            </w:r>
            <w:r w:rsidR="00965066" w:rsidRPr="00974FD7">
              <w:rPr>
                <w:rFonts w:asciiTheme="majorHAnsi" w:eastAsiaTheme="minorHAnsi" w:hAnsiTheme="majorHAnsi" w:cstheme="majorHAnsi"/>
                <w:color w:val="auto"/>
                <w:kern w:val="0"/>
                <w:sz w:val="22"/>
                <w:szCs w:val="22"/>
                <w:lang w:val="en-GB"/>
              </w:rPr>
              <w:t xml:space="preserve">work with information systems, </w:t>
            </w:r>
            <w:r w:rsidRPr="00974FD7">
              <w:rPr>
                <w:rFonts w:asciiTheme="majorHAnsi" w:eastAsiaTheme="minorHAnsi" w:hAnsiTheme="majorHAnsi" w:cstheme="majorHAnsi"/>
                <w:color w:val="auto"/>
                <w:kern w:val="0"/>
                <w:sz w:val="22"/>
                <w:szCs w:val="22"/>
                <w:lang w:val="en-GB"/>
              </w:rPr>
              <w:t xml:space="preserve">TB drugs, reagents, and supplies centralized procurement, reporting, and coordination of international missions (e.g., WHO, GDF, rGLC) are among </w:t>
            </w:r>
            <w:r w:rsidR="002A1586" w:rsidRPr="00974FD7">
              <w:rPr>
                <w:rFonts w:asciiTheme="majorHAnsi" w:eastAsiaTheme="minorHAnsi" w:hAnsiTheme="majorHAnsi" w:cstheme="majorHAnsi"/>
                <w:color w:val="auto"/>
                <w:kern w:val="0"/>
                <w:sz w:val="22"/>
                <w:szCs w:val="22"/>
                <w:lang w:val="en-GB"/>
              </w:rPr>
              <w:t xml:space="preserve">the </w:t>
            </w:r>
            <w:r w:rsidRPr="00974FD7">
              <w:rPr>
                <w:rFonts w:asciiTheme="majorHAnsi" w:eastAsiaTheme="minorHAnsi" w:hAnsiTheme="majorHAnsi" w:cstheme="majorHAnsi"/>
                <w:color w:val="auto"/>
                <w:kern w:val="0"/>
                <w:sz w:val="22"/>
                <w:szCs w:val="22"/>
                <w:lang w:val="en-GB"/>
              </w:rPr>
              <w:t xml:space="preserve">main tasks of the </w:t>
            </w:r>
            <w:r w:rsidR="002A1586" w:rsidRPr="00974FD7">
              <w:rPr>
                <w:rFonts w:asciiTheme="majorHAnsi" w:eastAsiaTheme="minorHAnsi" w:hAnsiTheme="majorHAnsi" w:cstheme="majorHAnsi"/>
                <w:color w:val="auto"/>
                <w:kern w:val="0"/>
                <w:sz w:val="22"/>
                <w:szCs w:val="22"/>
                <w:lang w:val="en-GB"/>
              </w:rPr>
              <w:t>orgmethod</w:t>
            </w:r>
            <w:r w:rsidRPr="00974FD7">
              <w:rPr>
                <w:rFonts w:asciiTheme="majorHAnsi" w:eastAsiaTheme="minorHAnsi" w:hAnsiTheme="majorHAnsi" w:cstheme="majorHAnsi"/>
                <w:color w:val="auto"/>
                <w:kern w:val="0"/>
                <w:sz w:val="22"/>
                <w:szCs w:val="22"/>
                <w:lang w:val="en-GB"/>
              </w:rPr>
              <w:t xml:space="preserve">. Similar </w:t>
            </w:r>
            <w:r w:rsidR="002A1586" w:rsidRPr="00974FD7">
              <w:rPr>
                <w:rFonts w:asciiTheme="majorHAnsi" w:eastAsiaTheme="minorHAnsi" w:hAnsiTheme="majorHAnsi" w:cstheme="majorHAnsi"/>
                <w:color w:val="auto"/>
                <w:kern w:val="0"/>
                <w:sz w:val="22"/>
                <w:szCs w:val="22"/>
                <w:lang w:val="en-GB"/>
              </w:rPr>
              <w:t xml:space="preserve">departments </w:t>
            </w:r>
            <w:r w:rsidRPr="00974FD7">
              <w:rPr>
                <w:rFonts w:asciiTheme="majorHAnsi" w:eastAsiaTheme="minorHAnsi" w:hAnsiTheme="majorHAnsi" w:cstheme="majorHAnsi"/>
                <w:color w:val="auto"/>
                <w:kern w:val="0"/>
                <w:sz w:val="22"/>
                <w:szCs w:val="22"/>
                <w:lang w:val="en-GB"/>
              </w:rPr>
              <w:t xml:space="preserve">are operating at the regional TB Centers for M&amp;E activities conduction within respective regions, and the reporting line is established between </w:t>
            </w:r>
            <w:r w:rsidR="00965066" w:rsidRPr="00974FD7">
              <w:rPr>
                <w:rFonts w:asciiTheme="majorHAnsi" w:eastAsiaTheme="minorHAnsi" w:hAnsiTheme="majorHAnsi" w:cstheme="majorHAnsi"/>
                <w:color w:val="auto"/>
                <w:kern w:val="0"/>
                <w:sz w:val="22"/>
                <w:szCs w:val="22"/>
                <w:lang w:val="en-GB"/>
              </w:rPr>
              <w:t xml:space="preserve">the </w:t>
            </w:r>
            <w:r w:rsidRPr="00974FD7">
              <w:rPr>
                <w:rFonts w:asciiTheme="majorHAnsi" w:eastAsiaTheme="minorHAnsi" w:hAnsiTheme="majorHAnsi" w:cstheme="majorHAnsi"/>
                <w:color w:val="auto"/>
                <w:kern w:val="0"/>
                <w:sz w:val="22"/>
                <w:szCs w:val="22"/>
                <w:lang w:val="en-GB"/>
              </w:rPr>
              <w:t xml:space="preserve">levels. </w:t>
            </w:r>
            <w:r w:rsidR="00965066" w:rsidRPr="00974FD7">
              <w:rPr>
                <w:rFonts w:asciiTheme="majorHAnsi" w:eastAsiaTheme="minorHAnsi" w:hAnsiTheme="majorHAnsi" w:cstheme="majorHAnsi"/>
                <w:color w:val="auto"/>
                <w:kern w:val="0"/>
                <w:sz w:val="22"/>
                <w:szCs w:val="22"/>
                <w:lang w:val="en-GB"/>
              </w:rPr>
              <w:t xml:space="preserve">The </w:t>
            </w:r>
            <w:r w:rsidR="00965066" w:rsidRPr="00974FD7">
              <w:rPr>
                <w:rFonts w:asciiTheme="majorHAnsi" w:hAnsiTheme="majorHAnsi" w:cstheme="majorHAnsi"/>
                <w:color w:val="auto"/>
                <w:sz w:val="22"/>
                <w:szCs w:val="22"/>
                <w:lang w:val="en-GB"/>
              </w:rPr>
              <w:t>M&amp;E experts from civilian and penitentiary TB services work in close collaboration with envolvement of staff</w:t>
            </w:r>
            <w:r w:rsidR="002A1586" w:rsidRPr="00974FD7">
              <w:rPr>
                <w:rFonts w:asciiTheme="majorHAnsi" w:hAnsiTheme="majorHAnsi" w:cstheme="majorHAnsi"/>
                <w:color w:val="auto"/>
                <w:sz w:val="22"/>
                <w:szCs w:val="22"/>
                <w:lang w:val="en-GB"/>
              </w:rPr>
              <w:t xml:space="preserve"> from regional </w:t>
            </w:r>
            <w:r w:rsidR="00965066" w:rsidRPr="00974FD7">
              <w:rPr>
                <w:rFonts w:asciiTheme="majorHAnsi" w:hAnsiTheme="majorHAnsi" w:cstheme="majorHAnsi"/>
                <w:color w:val="auto"/>
                <w:sz w:val="22"/>
                <w:szCs w:val="22"/>
                <w:lang w:val="en-GB"/>
              </w:rPr>
              <w:t>health departments</w:t>
            </w:r>
            <w:r w:rsidR="006C7671" w:rsidRPr="00974FD7">
              <w:rPr>
                <w:rFonts w:asciiTheme="majorHAnsi" w:hAnsiTheme="majorHAnsi" w:cstheme="majorHAnsi"/>
                <w:color w:val="auto"/>
                <w:sz w:val="22"/>
                <w:szCs w:val="22"/>
                <w:lang w:val="en-GB"/>
              </w:rPr>
              <w:t xml:space="preserve"> and </w:t>
            </w:r>
            <w:r w:rsidR="002A1586" w:rsidRPr="00974FD7">
              <w:rPr>
                <w:rFonts w:asciiTheme="majorHAnsi" w:hAnsiTheme="majorHAnsi" w:cstheme="majorHAnsi"/>
                <w:color w:val="auto"/>
                <w:sz w:val="22"/>
                <w:szCs w:val="22"/>
                <w:lang w:val="en-GB"/>
              </w:rPr>
              <w:t>PHC</w:t>
            </w:r>
            <w:r w:rsidR="00965066" w:rsidRPr="00974FD7">
              <w:rPr>
                <w:rFonts w:asciiTheme="majorHAnsi" w:hAnsiTheme="majorHAnsi" w:cstheme="majorHAnsi"/>
                <w:color w:val="auto"/>
                <w:sz w:val="22"/>
                <w:szCs w:val="22"/>
                <w:lang w:val="en-GB"/>
              </w:rPr>
              <w:t xml:space="preserve"> facilities. </w:t>
            </w:r>
          </w:p>
          <w:p w14:paraId="625F3D2F" w14:textId="77777777" w:rsidR="00010846" w:rsidRPr="00974FD7" w:rsidRDefault="00010846" w:rsidP="00D87CCD">
            <w:pPr>
              <w:pStyle w:val="Standard"/>
              <w:jc w:val="both"/>
              <w:rPr>
                <w:rFonts w:asciiTheme="majorHAnsi" w:hAnsiTheme="majorHAnsi" w:cstheme="majorHAnsi"/>
                <w:color w:val="auto"/>
                <w:sz w:val="22"/>
                <w:szCs w:val="22"/>
              </w:rPr>
            </w:pPr>
          </w:p>
          <w:p w14:paraId="07F07418" w14:textId="3CC80A4B" w:rsidR="009606BD" w:rsidRPr="00974FD7" w:rsidRDefault="00D87CCD" w:rsidP="00D87CCD">
            <w:pPr>
              <w:pStyle w:val="Standard"/>
              <w:jc w:val="both"/>
              <w:rPr>
                <w:rFonts w:asciiTheme="majorHAnsi" w:hAnsiTheme="majorHAnsi" w:cstheme="majorHAnsi"/>
                <w:color w:val="auto"/>
                <w:sz w:val="22"/>
                <w:szCs w:val="22"/>
              </w:rPr>
            </w:pPr>
            <w:r w:rsidRPr="00974FD7">
              <w:rPr>
                <w:rFonts w:asciiTheme="majorHAnsi" w:hAnsiTheme="majorHAnsi" w:cstheme="majorHAnsi"/>
                <w:color w:val="auto"/>
                <w:sz w:val="22"/>
                <w:szCs w:val="22"/>
                <w:lang w:val="en-GB"/>
              </w:rPr>
              <w:t>The org</w:t>
            </w:r>
            <w:r w:rsidR="00E11E5C" w:rsidRPr="00974FD7">
              <w:rPr>
                <w:rFonts w:asciiTheme="majorHAnsi" w:hAnsiTheme="majorHAnsi" w:cstheme="majorHAnsi"/>
                <w:color w:val="auto"/>
                <w:sz w:val="22"/>
                <w:szCs w:val="22"/>
                <w:lang w:val="en-GB"/>
              </w:rPr>
              <w:t>method in TB centers at the national, regional, and district levels includes: (i) a group of specialists for activities linked with the NRBT, including Operators and Coordinators in Informatics, (ii) M&amp;E groups typically comprises of specialists on clinical issues, laboratory diagnostics, drug management, accounting, and reporting, on issues of epidemiology and infection control.</w:t>
            </w:r>
          </w:p>
          <w:p w14:paraId="7D1CC348" w14:textId="77777777" w:rsidR="00744E31" w:rsidRPr="00974FD7" w:rsidRDefault="00744E31" w:rsidP="00D87CCD">
            <w:pPr>
              <w:spacing w:after="0" w:line="240" w:lineRule="auto"/>
              <w:ind w:right="157"/>
              <w:jc w:val="both"/>
              <w:rPr>
                <w:rFonts w:asciiTheme="majorHAnsi" w:eastAsia="SimSun" w:hAnsiTheme="majorHAnsi" w:cstheme="majorHAnsi"/>
                <w:kern w:val="3"/>
              </w:rPr>
            </w:pPr>
          </w:p>
          <w:p w14:paraId="30EC0264" w14:textId="201ACCAB" w:rsidR="001E4329" w:rsidRPr="00974FD7" w:rsidRDefault="008F54A0" w:rsidP="00D87CCD">
            <w:pPr>
              <w:spacing w:after="0" w:line="240" w:lineRule="auto"/>
              <w:ind w:right="157"/>
              <w:contextualSpacing/>
              <w:jc w:val="both"/>
              <w:rPr>
                <w:rFonts w:asciiTheme="majorHAnsi" w:hAnsiTheme="majorHAnsi" w:cstheme="majorHAnsi"/>
              </w:rPr>
            </w:pPr>
            <w:r w:rsidRPr="00974FD7">
              <w:rPr>
                <w:rFonts w:asciiTheme="majorHAnsi" w:hAnsiTheme="majorHAnsi" w:cstheme="majorHAnsi"/>
              </w:rPr>
              <w:t>Supervisory</w:t>
            </w:r>
            <w:r w:rsidR="001E4329" w:rsidRPr="00974FD7">
              <w:rPr>
                <w:rFonts w:asciiTheme="majorHAnsi" w:hAnsiTheme="majorHAnsi" w:cstheme="majorHAnsi"/>
              </w:rPr>
              <w:t xml:space="preserve"> visits from the central to the oblast levels are carried out once a year, or more often if </w:t>
            </w:r>
            <w:r w:rsidRPr="00974FD7">
              <w:rPr>
                <w:rFonts w:asciiTheme="majorHAnsi" w:hAnsiTheme="majorHAnsi" w:cstheme="majorHAnsi"/>
              </w:rPr>
              <w:t>required</w:t>
            </w:r>
            <w:r w:rsidR="001E4329" w:rsidRPr="00974FD7">
              <w:rPr>
                <w:rFonts w:asciiTheme="majorHAnsi" w:hAnsiTheme="majorHAnsi" w:cstheme="majorHAnsi"/>
              </w:rPr>
              <w:t>. During the visit, the healthcare facilities in TB Service are monitored, with a mandatory visit to be conducted to at least two districts w</w:t>
            </w:r>
            <w:r w:rsidRPr="00974FD7">
              <w:rPr>
                <w:rFonts w:asciiTheme="majorHAnsi" w:hAnsiTheme="majorHAnsi" w:cstheme="majorHAnsi"/>
              </w:rPr>
              <w:t>ithin the region.  T</w:t>
            </w:r>
            <w:r w:rsidR="001E4329" w:rsidRPr="00974FD7">
              <w:rPr>
                <w:rFonts w:asciiTheme="majorHAnsi" w:hAnsiTheme="majorHAnsi" w:cstheme="majorHAnsi"/>
              </w:rPr>
              <w:t xml:space="preserve">he </w:t>
            </w:r>
            <w:r w:rsidR="007F5BBF" w:rsidRPr="00974FD7">
              <w:rPr>
                <w:rFonts w:asciiTheme="majorHAnsi" w:hAnsiTheme="majorHAnsi" w:cstheme="majorHAnsi"/>
              </w:rPr>
              <w:t xml:space="preserve">provision of </w:t>
            </w:r>
            <w:r w:rsidR="001E4329" w:rsidRPr="00974FD7">
              <w:rPr>
                <w:rFonts w:asciiTheme="majorHAnsi" w:hAnsiTheme="majorHAnsi" w:cstheme="majorHAnsi"/>
              </w:rPr>
              <w:t xml:space="preserve">cascade of care </w:t>
            </w:r>
            <w:r w:rsidRPr="00974FD7">
              <w:rPr>
                <w:rFonts w:asciiTheme="majorHAnsi" w:hAnsiTheme="majorHAnsi" w:cstheme="majorHAnsi"/>
              </w:rPr>
              <w:t xml:space="preserve">to </w:t>
            </w:r>
            <w:r w:rsidR="001E4329" w:rsidRPr="00974FD7">
              <w:rPr>
                <w:rFonts w:asciiTheme="majorHAnsi" w:hAnsiTheme="majorHAnsi" w:cstheme="majorHAnsi"/>
              </w:rPr>
              <w:t xml:space="preserve">persons with </w:t>
            </w:r>
            <w:r w:rsidRPr="00974FD7">
              <w:rPr>
                <w:rFonts w:asciiTheme="majorHAnsi" w:hAnsiTheme="majorHAnsi" w:cstheme="majorHAnsi"/>
              </w:rPr>
              <w:t>presumtive TB</w:t>
            </w:r>
            <w:r w:rsidR="001E4329" w:rsidRPr="00974FD7">
              <w:rPr>
                <w:rFonts w:asciiTheme="majorHAnsi" w:hAnsiTheme="majorHAnsi" w:cstheme="majorHAnsi"/>
              </w:rPr>
              <w:t xml:space="preserve">, </w:t>
            </w:r>
            <w:r w:rsidRPr="00974FD7">
              <w:rPr>
                <w:rFonts w:asciiTheme="majorHAnsi" w:hAnsiTheme="majorHAnsi" w:cstheme="majorHAnsi"/>
              </w:rPr>
              <w:t>M&amp;E</w:t>
            </w:r>
            <w:r w:rsidR="007F5BBF" w:rsidRPr="00974FD7">
              <w:rPr>
                <w:rFonts w:asciiTheme="majorHAnsi" w:hAnsiTheme="majorHAnsi" w:cstheme="majorHAnsi"/>
              </w:rPr>
              <w:t xml:space="preserve"> activities</w:t>
            </w:r>
            <w:r w:rsidR="001E4329" w:rsidRPr="00974FD7">
              <w:rPr>
                <w:rFonts w:asciiTheme="majorHAnsi" w:hAnsiTheme="majorHAnsi" w:cstheme="majorHAnsi"/>
              </w:rPr>
              <w:t xml:space="preserve">, the NRBT management, involvement of NGOs and private providers, ACSM activities are targeted during the supervisory mission. Moreover, the central M&amp;E group provides technical assistance to the medical personnel in regional healthcare facilites, identify training needs and perform advocacy meetings with the local administration. </w:t>
            </w:r>
          </w:p>
          <w:p w14:paraId="4B26662B" w14:textId="77777777" w:rsidR="001E4329" w:rsidRPr="00974FD7" w:rsidRDefault="001E4329" w:rsidP="00D87CCD">
            <w:pPr>
              <w:spacing w:after="0" w:line="240" w:lineRule="auto"/>
              <w:ind w:right="157"/>
              <w:contextualSpacing/>
              <w:jc w:val="both"/>
              <w:rPr>
                <w:rFonts w:asciiTheme="majorHAnsi" w:hAnsiTheme="majorHAnsi" w:cstheme="majorHAnsi"/>
              </w:rPr>
            </w:pPr>
          </w:p>
          <w:p w14:paraId="1B2A4B87" w14:textId="27C853C8" w:rsidR="001E4329" w:rsidRPr="00974FD7" w:rsidRDefault="007F5BBF" w:rsidP="00D87CCD">
            <w:pPr>
              <w:spacing w:after="0" w:line="240" w:lineRule="auto"/>
              <w:ind w:right="157"/>
              <w:contextualSpacing/>
              <w:jc w:val="both"/>
              <w:rPr>
                <w:rFonts w:asciiTheme="majorHAnsi" w:hAnsiTheme="majorHAnsi" w:cstheme="majorHAnsi"/>
              </w:rPr>
            </w:pPr>
            <w:r w:rsidRPr="00974FD7">
              <w:rPr>
                <w:rFonts w:asciiTheme="majorHAnsi" w:hAnsiTheme="majorHAnsi" w:cstheme="majorHAnsi"/>
              </w:rPr>
              <w:t xml:space="preserve">At the regional level, </w:t>
            </w:r>
            <w:r w:rsidR="002A1586" w:rsidRPr="00974FD7">
              <w:rPr>
                <w:rFonts w:asciiTheme="majorHAnsi" w:hAnsiTheme="majorHAnsi" w:cstheme="majorHAnsi"/>
              </w:rPr>
              <w:t xml:space="preserve">supportive </w:t>
            </w:r>
            <w:r w:rsidRPr="00974FD7">
              <w:rPr>
                <w:rFonts w:asciiTheme="majorHAnsi" w:hAnsiTheme="majorHAnsi" w:cstheme="majorHAnsi"/>
              </w:rPr>
              <w:t xml:space="preserve">supervisory </w:t>
            </w:r>
            <w:r w:rsidR="002A1586" w:rsidRPr="00974FD7">
              <w:rPr>
                <w:rFonts w:asciiTheme="majorHAnsi" w:hAnsiTheme="majorHAnsi" w:cstheme="majorHAnsi"/>
              </w:rPr>
              <w:t xml:space="preserve">and monitoring </w:t>
            </w:r>
            <w:r w:rsidRPr="00974FD7">
              <w:rPr>
                <w:rFonts w:asciiTheme="majorHAnsi" w:hAnsiTheme="majorHAnsi" w:cstheme="majorHAnsi"/>
              </w:rPr>
              <w:t xml:space="preserve">visits of oblast' M&amp;E teams to district healthcare facilities are carried out once a quarter to monitor the quality TB services provision by assessing it on compliance with the national guidelines as well as to provide local technical assistance to medical personnel, identify training needs and conduct advocacy meetings and events at the district level. At the PHC faciity level, the TPh do </w:t>
            </w:r>
            <w:r w:rsidR="001E4329" w:rsidRPr="00974FD7">
              <w:rPr>
                <w:rFonts w:asciiTheme="majorHAnsi" w:hAnsiTheme="majorHAnsi" w:cstheme="majorHAnsi"/>
              </w:rPr>
              <w:t>monthly supervision within their area of ​​responsibility.</w:t>
            </w:r>
          </w:p>
          <w:p w14:paraId="537C8E53" w14:textId="77777777" w:rsidR="00744E31" w:rsidRPr="00974FD7" w:rsidRDefault="00744E31" w:rsidP="00D87CCD">
            <w:pPr>
              <w:spacing w:after="0" w:line="240" w:lineRule="auto"/>
              <w:ind w:right="157"/>
              <w:contextualSpacing/>
              <w:jc w:val="both"/>
              <w:rPr>
                <w:rFonts w:asciiTheme="majorHAnsi" w:hAnsiTheme="majorHAnsi" w:cstheme="majorHAnsi"/>
              </w:rPr>
            </w:pPr>
          </w:p>
          <w:p w14:paraId="421B52C8" w14:textId="758F52BB" w:rsidR="003C69F6" w:rsidRPr="00974FD7" w:rsidRDefault="00C81783" w:rsidP="00D87CCD">
            <w:pPr>
              <w:spacing w:after="0" w:line="240" w:lineRule="auto"/>
              <w:jc w:val="both"/>
              <w:rPr>
                <w:rFonts w:asciiTheme="majorHAnsi" w:hAnsiTheme="majorHAnsi" w:cstheme="majorHAnsi"/>
              </w:rPr>
            </w:pPr>
            <w:r w:rsidRPr="00D87CCD">
              <w:rPr>
                <w:rFonts w:asciiTheme="majorHAnsi" w:hAnsiTheme="majorHAnsi" w:cstheme="majorHAnsi"/>
                <w:color w:val="191919"/>
              </w:rPr>
              <w:t xml:space="preserve">To adjust to quarantine restrictions imposed by the COVID-19 epidemic, the capacity of the NTP has been strengthened under the current GF grants for effective distance monitoring and inclusion of remote visits into the M&amp;E system. </w:t>
            </w:r>
            <w:r w:rsidR="00DC4385" w:rsidRPr="00974FD7">
              <w:rPr>
                <w:rFonts w:asciiTheme="majorHAnsi" w:hAnsiTheme="majorHAnsi" w:cstheme="majorHAnsi"/>
              </w:rPr>
              <w:t xml:space="preserve">Thus, </w:t>
            </w:r>
            <w:r w:rsidR="003C69F6" w:rsidRPr="00974FD7">
              <w:rPr>
                <w:rFonts w:asciiTheme="majorHAnsi" w:hAnsiTheme="majorHAnsi" w:cstheme="majorHAnsi"/>
              </w:rPr>
              <w:t>sta</w:t>
            </w:r>
            <w:r w:rsidR="00DC4385" w:rsidRPr="00974FD7">
              <w:rPr>
                <w:rFonts w:asciiTheme="majorHAnsi" w:hAnsiTheme="majorHAnsi" w:cstheme="majorHAnsi"/>
              </w:rPr>
              <w:t xml:space="preserve">rting from March </w:t>
            </w:r>
            <w:r w:rsidR="0087224E" w:rsidRPr="00974FD7">
              <w:rPr>
                <w:rFonts w:asciiTheme="majorHAnsi" w:hAnsiTheme="majorHAnsi" w:cstheme="majorHAnsi"/>
              </w:rPr>
              <w:t>to December 2021, 26</w:t>
            </w:r>
            <w:r w:rsidR="00DC4385" w:rsidRPr="00974FD7">
              <w:rPr>
                <w:rFonts w:asciiTheme="majorHAnsi" w:hAnsiTheme="majorHAnsi" w:cstheme="majorHAnsi"/>
              </w:rPr>
              <w:t xml:space="preserve"> remote central level supervisory vists were conducted following the "Instruction on the organization and conduction of monitoring and evaluation of activities to reduce tuberculosis' burden in the Republic of Kazakhstan at the central and regional levels, including remote visits". </w:t>
            </w:r>
            <w:r w:rsidR="00DC4385" w:rsidRPr="00D87CCD">
              <w:rPr>
                <w:rFonts w:asciiTheme="majorHAnsi" w:hAnsiTheme="majorHAnsi" w:cstheme="majorHAnsi"/>
              </w:rPr>
              <w:t xml:space="preserve">By </w:t>
            </w:r>
            <w:r w:rsidR="00DC4385" w:rsidRPr="00D87CCD">
              <w:rPr>
                <w:rFonts w:asciiTheme="majorHAnsi" w:hAnsiTheme="majorHAnsi" w:cstheme="majorHAnsi"/>
                <w:shd w:val="clear" w:color="auto" w:fill="FFFFFF"/>
              </w:rPr>
              <w:t>easing restrictions,</w:t>
            </w:r>
            <w:r w:rsidR="00DC4385" w:rsidRPr="00974FD7">
              <w:rPr>
                <w:rFonts w:asciiTheme="majorHAnsi" w:hAnsiTheme="majorHAnsi" w:cstheme="majorHAnsi"/>
              </w:rPr>
              <w:t xml:space="preserve"> during </w:t>
            </w:r>
            <w:r w:rsidR="00E96739" w:rsidRPr="00974FD7">
              <w:rPr>
                <w:rFonts w:asciiTheme="majorHAnsi" w:hAnsiTheme="majorHAnsi" w:cstheme="majorHAnsi"/>
              </w:rPr>
              <w:t>April-November months</w:t>
            </w:r>
            <w:r w:rsidR="00DC4385" w:rsidRPr="00974FD7">
              <w:rPr>
                <w:rFonts w:asciiTheme="majorHAnsi" w:hAnsiTheme="majorHAnsi" w:cstheme="majorHAnsi"/>
              </w:rPr>
              <w:t>, the NSCP has</w:t>
            </w:r>
            <w:r w:rsidR="00E96739" w:rsidRPr="00974FD7">
              <w:rPr>
                <w:rFonts w:asciiTheme="majorHAnsi" w:hAnsiTheme="majorHAnsi" w:cstheme="majorHAnsi"/>
              </w:rPr>
              <w:t xml:space="preserve"> managed to conduct </w:t>
            </w:r>
            <w:r w:rsidR="00D87CCD" w:rsidRPr="00974FD7">
              <w:rPr>
                <w:rFonts w:asciiTheme="majorHAnsi" w:hAnsiTheme="majorHAnsi" w:cstheme="majorHAnsi"/>
              </w:rPr>
              <w:t>16</w:t>
            </w:r>
            <w:r w:rsidR="003C69F6" w:rsidRPr="00974FD7">
              <w:rPr>
                <w:rFonts w:asciiTheme="majorHAnsi" w:hAnsiTheme="majorHAnsi" w:cstheme="majorHAnsi"/>
              </w:rPr>
              <w:t xml:space="preserve"> </w:t>
            </w:r>
            <w:r w:rsidR="00DC4385" w:rsidRPr="00974FD7">
              <w:rPr>
                <w:rFonts w:asciiTheme="majorHAnsi" w:hAnsiTheme="majorHAnsi" w:cstheme="majorHAnsi"/>
              </w:rPr>
              <w:t xml:space="preserve">offline </w:t>
            </w:r>
            <w:r w:rsidR="0087224E" w:rsidRPr="00974FD7">
              <w:rPr>
                <w:rFonts w:asciiTheme="majorHAnsi" w:hAnsiTheme="majorHAnsi" w:cstheme="majorHAnsi"/>
              </w:rPr>
              <w:t>monitoring visits by targeting all regions of the country.</w:t>
            </w:r>
          </w:p>
          <w:p w14:paraId="2D4396BA" w14:textId="77777777" w:rsidR="003C69F6" w:rsidRPr="00974FD7" w:rsidRDefault="003C69F6" w:rsidP="00D87CCD">
            <w:pPr>
              <w:spacing w:after="0" w:line="240" w:lineRule="auto"/>
              <w:ind w:right="157"/>
              <w:contextualSpacing/>
              <w:jc w:val="both"/>
              <w:rPr>
                <w:rFonts w:asciiTheme="majorHAnsi" w:hAnsiTheme="majorHAnsi" w:cstheme="majorHAnsi"/>
              </w:rPr>
            </w:pPr>
          </w:p>
          <w:p w14:paraId="3D7CFCAA" w14:textId="2CDEF9DC" w:rsidR="00EC4271" w:rsidRPr="00974FD7" w:rsidRDefault="002A1586" w:rsidP="00D87CCD">
            <w:pPr>
              <w:spacing w:after="0" w:line="240" w:lineRule="auto"/>
              <w:ind w:right="157"/>
              <w:contextualSpacing/>
              <w:jc w:val="both"/>
              <w:rPr>
                <w:rFonts w:asciiTheme="majorHAnsi" w:hAnsiTheme="majorHAnsi" w:cstheme="majorHAnsi"/>
              </w:rPr>
            </w:pPr>
            <w:r w:rsidRPr="00974FD7">
              <w:rPr>
                <w:rFonts w:asciiTheme="majorHAnsi" w:hAnsiTheme="majorHAnsi" w:cstheme="majorHAnsi"/>
              </w:rPr>
              <w:t xml:space="preserve">The </w:t>
            </w:r>
            <w:r w:rsidR="005C42F1" w:rsidRPr="00974FD7">
              <w:rPr>
                <w:rFonts w:asciiTheme="majorHAnsi" w:hAnsiTheme="majorHAnsi" w:cstheme="majorHAnsi"/>
              </w:rPr>
              <w:t>s</w:t>
            </w:r>
            <w:r w:rsidR="0075738C" w:rsidRPr="00974FD7">
              <w:rPr>
                <w:rFonts w:asciiTheme="majorHAnsi" w:hAnsiTheme="majorHAnsi" w:cstheme="majorHAnsi"/>
              </w:rPr>
              <w:t>upervision and monitoring by central and regional M&amp;E teams are core</w:t>
            </w:r>
            <w:r w:rsidR="00C13856" w:rsidRPr="00974FD7">
              <w:rPr>
                <w:rFonts w:asciiTheme="majorHAnsi" w:hAnsiTheme="majorHAnsi" w:cstheme="majorHAnsi"/>
              </w:rPr>
              <w:t xml:space="preserve"> requirements of</w:t>
            </w:r>
            <w:r w:rsidR="0075738C" w:rsidRPr="00974FD7">
              <w:rPr>
                <w:rFonts w:asciiTheme="majorHAnsi" w:hAnsiTheme="majorHAnsi" w:cstheme="majorHAnsi"/>
              </w:rPr>
              <w:t xml:space="preserve"> the NTP's management and </w:t>
            </w:r>
            <w:proofErr w:type="gramStart"/>
            <w:r w:rsidR="0075738C" w:rsidRPr="00974FD7">
              <w:rPr>
                <w:rFonts w:asciiTheme="majorHAnsi" w:hAnsiTheme="majorHAnsi" w:cstheme="majorHAnsi"/>
              </w:rPr>
              <w:t>have to</w:t>
            </w:r>
            <w:proofErr w:type="gramEnd"/>
            <w:r w:rsidR="0075738C" w:rsidRPr="00974FD7">
              <w:rPr>
                <w:rFonts w:asciiTheme="majorHAnsi" w:hAnsiTheme="majorHAnsi" w:cstheme="majorHAnsi"/>
              </w:rPr>
              <w:t xml:space="preserve"> be provided with trained personnel, supported by good</w:t>
            </w:r>
            <w:r w:rsidR="008E123D">
              <w:rPr>
                <w:rFonts w:asciiTheme="majorHAnsi" w:hAnsiTheme="majorHAnsi" w:cstheme="majorHAnsi"/>
              </w:rPr>
              <w:t>/fair</w:t>
            </w:r>
            <w:r w:rsidR="0075738C" w:rsidRPr="00974FD7">
              <w:rPr>
                <w:rFonts w:asciiTheme="majorHAnsi" w:hAnsiTheme="majorHAnsi" w:cstheme="majorHAnsi"/>
              </w:rPr>
              <w:t xml:space="preserve"> funding, and equipped with technical in</w:t>
            </w:r>
            <w:r w:rsidR="00C13856" w:rsidRPr="00974FD7">
              <w:rPr>
                <w:rFonts w:asciiTheme="majorHAnsi" w:hAnsiTheme="majorHAnsi" w:cstheme="majorHAnsi"/>
              </w:rPr>
              <w:t>struments, including guidelines developed</w:t>
            </w:r>
            <w:r w:rsidR="0075738C" w:rsidRPr="00974FD7">
              <w:rPr>
                <w:rFonts w:asciiTheme="majorHAnsi" w:hAnsiTheme="majorHAnsi" w:cstheme="majorHAnsi"/>
              </w:rPr>
              <w:t xml:space="preserve"> in line with international standards and recommendations.</w:t>
            </w:r>
          </w:p>
          <w:p w14:paraId="441A6A51" w14:textId="77777777" w:rsidR="00B31D7F" w:rsidRPr="00974FD7" w:rsidRDefault="00B31D7F" w:rsidP="00D87CCD">
            <w:pPr>
              <w:spacing w:after="0" w:line="240" w:lineRule="auto"/>
              <w:ind w:right="157"/>
              <w:contextualSpacing/>
              <w:jc w:val="both"/>
              <w:rPr>
                <w:rFonts w:asciiTheme="majorHAnsi" w:hAnsiTheme="majorHAnsi" w:cstheme="majorHAnsi"/>
              </w:rPr>
            </w:pPr>
          </w:p>
          <w:p w14:paraId="6C4A29BE" w14:textId="0063FDA1" w:rsidR="001833CD" w:rsidRPr="00974FD7" w:rsidRDefault="001833CD" w:rsidP="00D87CCD">
            <w:pPr>
              <w:spacing w:after="0" w:line="240" w:lineRule="auto"/>
              <w:ind w:right="157"/>
              <w:contextualSpacing/>
              <w:jc w:val="both"/>
              <w:rPr>
                <w:rFonts w:asciiTheme="majorHAnsi" w:hAnsiTheme="majorHAnsi" w:cstheme="majorHAnsi"/>
              </w:rPr>
            </w:pPr>
            <w:r w:rsidRPr="00974FD7">
              <w:rPr>
                <w:rFonts w:asciiTheme="majorHAnsi" w:hAnsiTheme="majorHAnsi" w:cstheme="majorHAnsi"/>
              </w:rPr>
              <w:t>Conduction of operational and clinical researches will allow to (i) participate in global and regional projects for the introduction of new drugs, treatment regimens, and application of advanced diagnostic methods in LTBI control; (ii) foster the accumulation of experience on the efficacy and safety of new drugs and treatment regimens to create evidence for technical partners; (iii) promote access to new drugs, treatment regimens, and methods for TB and LTBI diagnostics; (iv) document the evidence and good practices for the NTP and MoH</w:t>
            </w:r>
            <w:r w:rsidR="009B7209" w:rsidRPr="00974FD7">
              <w:rPr>
                <w:rFonts w:asciiTheme="majorHAnsi" w:hAnsiTheme="majorHAnsi" w:cstheme="majorHAnsi"/>
              </w:rPr>
              <w:t xml:space="preserve"> </w:t>
            </w:r>
            <w:r w:rsidR="00EB6287" w:rsidRPr="00974FD7">
              <w:rPr>
                <w:rFonts w:asciiTheme="majorHAnsi" w:hAnsiTheme="majorHAnsi" w:cstheme="majorHAnsi"/>
              </w:rPr>
              <w:t xml:space="preserve">to be used </w:t>
            </w:r>
            <w:r w:rsidR="009B7209" w:rsidRPr="00974FD7">
              <w:rPr>
                <w:rFonts w:asciiTheme="majorHAnsi" w:hAnsiTheme="majorHAnsi" w:cstheme="majorHAnsi"/>
              </w:rPr>
              <w:t>in decision-making for</w:t>
            </w:r>
            <w:r w:rsidRPr="00974FD7">
              <w:rPr>
                <w:rFonts w:asciiTheme="majorHAnsi" w:hAnsiTheme="majorHAnsi" w:cstheme="majorHAnsi"/>
              </w:rPr>
              <w:t xml:space="preserve"> improving the management of TB and DR-TB cases in the country. </w:t>
            </w:r>
          </w:p>
          <w:p w14:paraId="67EF5C4F" w14:textId="77777777" w:rsidR="00994D0E" w:rsidRPr="00974FD7" w:rsidRDefault="00994D0E" w:rsidP="00D87CCD">
            <w:pPr>
              <w:spacing w:after="0" w:line="240" w:lineRule="auto"/>
              <w:ind w:right="157"/>
              <w:contextualSpacing/>
              <w:jc w:val="both"/>
              <w:rPr>
                <w:rFonts w:asciiTheme="majorHAnsi" w:hAnsiTheme="majorHAnsi" w:cstheme="majorHAnsi"/>
              </w:rPr>
            </w:pPr>
          </w:p>
          <w:p w14:paraId="61F61728" w14:textId="1D7443D2" w:rsidR="001E7BA1" w:rsidRPr="00974FD7" w:rsidRDefault="00E43B39" w:rsidP="00D87CCD">
            <w:pPr>
              <w:spacing w:after="0" w:line="240" w:lineRule="auto"/>
              <w:ind w:right="157"/>
              <w:contextualSpacing/>
              <w:jc w:val="both"/>
              <w:rPr>
                <w:rFonts w:asciiTheme="majorHAnsi" w:hAnsiTheme="majorHAnsi" w:cstheme="majorHAnsi"/>
              </w:rPr>
            </w:pPr>
            <w:r w:rsidRPr="00974FD7">
              <w:rPr>
                <w:rFonts w:asciiTheme="majorHAnsi" w:hAnsiTheme="majorHAnsi" w:cstheme="majorHAnsi"/>
              </w:rPr>
              <w:t xml:space="preserve">Over the past years, the NTP has gained substantial experience in operational research conduction. Since 2016, the country has been involved in the End TB project, and in collaboration with Partners in Health, implemented fully oral regimens containing Bedaquiline and Delamanid in the treatment of DR-TB. During 2020-2021, Kazakhstan participates in a regional </w:t>
            </w:r>
            <w:r w:rsidR="002D012D" w:rsidRPr="00974FD7">
              <w:rPr>
                <w:rFonts w:asciiTheme="majorHAnsi" w:hAnsiTheme="majorHAnsi" w:cstheme="majorHAnsi"/>
              </w:rPr>
              <w:t>project (WHO Euro), introducing mSTR</w:t>
            </w:r>
            <w:r w:rsidRPr="00974FD7">
              <w:rPr>
                <w:rFonts w:asciiTheme="majorHAnsi" w:hAnsiTheme="majorHAnsi" w:cstheme="majorHAnsi"/>
              </w:rPr>
              <w:t xml:space="preserve"> in patients with </w:t>
            </w:r>
            <w:r w:rsidR="002D012D" w:rsidRPr="00974FD7">
              <w:rPr>
                <w:rFonts w:asciiTheme="majorHAnsi" w:hAnsiTheme="majorHAnsi" w:cstheme="majorHAnsi"/>
              </w:rPr>
              <w:t>RR/MDR</w:t>
            </w:r>
            <w:r w:rsidRPr="00974FD7">
              <w:rPr>
                <w:rFonts w:asciiTheme="majorHAnsi" w:hAnsiTheme="majorHAnsi" w:cstheme="majorHAnsi"/>
              </w:rPr>
              <w:t>-TB. Also, during 2020-2021, from the funds of the Global Fund and with the technical support of international and local partners and the academy, studies were carried out on the «Effectiveness of using the Xpert MTB/RIF method in PHC network for the detection and rapid diagnosis of TB and MDR-TB in Kazakhstan; "Main obstacles and delays in the provision of services for the detection, accurate diagnosis, treatment of TB and DR-TB in Ka</w:t>
            </w:r>
            <w:r w:rsidR="00B31E45">
              <w:rPr>
                <w:rFonts w:asciiTheme="majorHAnsi" w:hAnsiTheme="majorHAnsi" w:cstheme="majorHAnsi"/>
              </w:rPr>
              <w:t xml:space="preserve">zakhstan"; "2021 KAP Survey on </w:t>
            </w:r>
            <w:r w:rsidRPr="00974FD7">
              <w:rPr>
                <w:rFonts w:asciiTheme="majorHAnsi" w:hAnsiTheme="majorHAnsi" w:cstheme="majorHAnsi"/>
              </w:rPr>
              <w:t>Tuberculosis". The studies "DRS Survey 2021" and "Implementation of new approaches for diagnosis and treatment of LTBI" are underway.</w:t>
            </w:r>
          </w:p>
          <w:p w14:paraId="64B525E7" w14:textId="77777777" w:rsidR="00994D0E" w:rsidRPr="00974FD7" w:rsidRDefault="00994D0E" w:rsidP="00D87CCD">
            <w:pPr>
              <w:spacing w:after="0" w:line="240" w:lineRule="auto"/>
              <w:ind w:right="157"/>
              <w:contextualSpacing/>
              <w:jc w:val="both"/>
              <w:rPr>
                <w:rFonts w:asciiTheme="majorHAnsi" w:hAnsiTheme="majorHAnsi" w:cstheme="majorHAnsi"/>
                <w:color w:val="00B050"/>
              </w:rPr>
            </w:pPr>
          </w:p>
          <w:p w14:paraId="53A877A9" w14:textId="4BBC6FB6" w:rsidR="009C3E86" w:rsidRPr="00974FD7" w:rsidRDefault="00E02BB8" w:rsidP="00D87CCD">
            <w:pPr>
              <w:spacing w:after="0" w:line="240" w:lineRule="auto"/>
              <w:ind w:right="157"/>
              <w:contextualSpacing/>
              <w:jc w:val="both"/>
              <w:rPr>
                <w:rFonts w:asciiTheme="majorHAnsi" w:hAnsiTheme="majorHAnsi" w:cstheme="majorHAnsi"/>
              </w:rPr>
            </w:pPr>
            <w:r w:rsidRPr="00974FD7">
              <w:rPr>
                <w:rFonts w:asciiTheme="majorHAnsi" w:hAnsiTheme="majorHAnsi" w:cstheme="majorHAnsi"/>
              </w:rPr>
              <w:t>The findings and results of these studies help NTPs to improve (i) management of TB interventions in the country, (ii) the quality of services provided to TB patients, and (iii) evidence-informed decision-making</w:t>
            </w:r>
            <w:r w:rsidR="008B6739" w:rsidRPr="00974FD7">
              <w:rPr>
                <w:rFonts w:asciiTheme="majorHAnsi" w:hAnsiTheme="majorHAnsi" w:cstheme="majorHAnsi"/>
              </w:rPr>
              <w:t xml:space="preserve"> in TB Service.</w:t>
            </w:r>
          </w:p>
        </w:tc>
      </w:tr>
      <w:tr w:rsidR="009C3E86" w:rsidRPr="00D87CCD" w14:paraId="38C8FFCC" w14:textId="77777777" w:rsidTr="009C3E86">
        <w:trPr>
          <w:trHeight w:val="431"/>
        </w:trPr>
        <w:tc>
          <w:tcPr>
            <w:tcW w:w="2448" w:type="dxa"/>
            <w:shd w:val="clear" w:color="auto" w:fill="F2F2F2"/>
            <w:vAlign w:val="center"/>
          </w:tcPr>
          <w:p w14:paraId="7B9D0DA3" w14:textId="3F060721" w:rsidR="009C3E86" w:rsidRPr="00D87CCD" w:rsidRDefault="009C3E86" w:rsidP="00D87CCD">
            <w:pPr>
              <w:spacing w:after="0" w:line="240" w:lineRule="auto"/>
              <w:rPr>
                <w:rFonts w:asciiTheme="majorHAnsi" w:hAnsiTheme="majorHAnsi" w:cstheme="majorHAnsi"/>
              </w:rPr>
            </w:pPr>
            <w:r w:rsidRPr="00D87CCD">
              <w:rPr>
                <w:rFonts w:asciiTheme="majorHAnsi" w:hAnsiTheme="majorHAnsi" w:cstheme="majorHAnsi"/>
              </w:rPr>
              <w:t>Expected Outcome</w:t>
            </w:r>
          </w:p>
        </w:tc>
        <w:tc>
          <w:tcPr>
            <w:tcW w:w="7902" w:type="dxa"/>
          </w:tcPr>
          <w:p w14:paraId="7D4762E2" w14:textId="1FEE9E53" w:rsidR="00B31D7F" w:rsidRPr="00D87CCD" w:rsidRDefault="00972711" w:rsidP="006A0E08">
            <w:pPr>
              <w:numPr>
                <w:ilvl w:val="0"/>
                <w:numId w:val="41"/>
              </w:numPr>
              <w:spacing w:after="0" w:line="240" w:lineRule="auto"/>
              <w:ind w:right="157"/>
              <w:contextualSpacing/>
              <w:jc w:val="both"/>
              <w:rPr>
                <w:rFonts w:asciiTheme="majorHAnsi" w:hAnsiTheme="majorHAnsi" w:cstheme="majorHAnsi"/>
              </w:rPr>
            </w:pPr>
            <w:r w:rsidRPr="00D87CCD">
              <w:rPr>
                <w:rFonts w:asciiTheme="majorHAnsi" w:hAnsiTheme="majorHAnsi" w:cstheme="majorHAnsi"/>
              </w:rPr>
              <w:t>Streamlined</w:t>
            </w:r>
            <w:r w:rsidR="00781873" w:rsidRPr="00D87CCD">
              <w:rPr>
                <w:rFonts w:asciiTheme="majorHAnsi" w:hAnsiTheme="majorHAnsi" w:cstheme="majorHAnsi"/>
              </w:rPr>
              <w:t xml:space="preserve"> </w:t>
            </w:r>
            <w:r w:rsidR="008762F7" w:rsidRPr="00D87CCD">
              <w:rPr>
                <w:rFonts w:asciiTheme="majorHAnsi" w:hAnsiTheme="majorHAnsi" w:cstheme="majorHAnsi"/>
              </w:rPr>
              <w:t xml:space="preserve">TB </w:t>
            </w:r>
            <w:r w:rsidRPr="00D87CCD">
              <w:rPr>
                <w:rFonts w:asciiTheme="majorHAnsi" w:hAnsiTheme="majorHAnsi" w:cstheme="majorHAnsi"/>
              </w:rPr>
              <w:t>information system that able to produce</w:t>
            </w:r>
            <w:r w:rsidR="008762F7" w:rsidRPr="00D87CCD">
              <w:rPr>
                <w:rFonts w:asciiTheme="majorHAnsi" w:hAnsiTheme="majorHAnsi" w:cstheme="majorHAnsi"/>
              </w:rPr>
              <w:t xml:space="preserve"> data for decision-making o</w:t>
            </w:r>
            <w:r w:rsidRPr="00D87CCD">
              <w:rPr>
                <w:rFonts w:asciiTheme="majorHAnsi" w:hAnsiTheme="majorHAnsi" w:cstheme="majorHAnsi"/>
              </w:rPr>
              <w:t>n</w:t>
            </w:r>
            <w:r w:rsidR="00B31D7F" w:rsidRPr="00D87CCD">
              <w:rPr>
                <w:rFonts w:asciiTheme="majorHAnsi" w:hAnsiTheme="majorHAnsi" w:cstheme="majorHAnsi"/>
              </w:rPr>
              <w:t xml:space="preserve"> response adjustment and ensure continuity of care. </w:t>
            </w:r>
          </w:p>
          <w:p w14:paraId="36A98471" w14:textId="58BAACBB" w:rsidR="00B31D7F" w:rsidRPr="00D87CCD" w:rsidRDefault="00CC285D" w:rsidP="006A0E08">
            <w:pPr>
              <w:numPr>
                <w:ilvl w:val="0"/>
                <w:numId w:val="41"/>
              </w:numPr>
              <w:spacing w:after="0" w:line="240" w:lineRule="auto"/>
              <w:ind w:right="157"/>
              <w:contextualSpacing/>
              <w:jc w:val="both"/>
              <w:rPr>
                <w:rFonts w:asciiTheme="majorHAnsi" w:hAnsiTheme="majorHAnsi" w:cstheme="majorHAnsi"/>
              </w:rPr>
            </w:pPr>
            <w:r w:rsidRPr="00D87CCD">
              <w:rPr>
                <w:rFonts w:asciiTheme="majorHAnsi" w:hAnsiTheme="majorHAnsi" w:cstheme="majorHAnsi"/>
              </w:rPr>
              <w:t>Improved</w:t>
            </w:r>
            <w:r w:rsidR="00B31D7F" w:rsidRPr="00D87CCD">
              <w:rPr>
                <w:rFonts w:asciiTheme="majorHAnsi" w:hAnsiTheme="majorHAnsi" w:cstheme="majorHAnsi"/>
              </w:rPr>
              <w:t xml:space="preserve"> the quality of </w:t>
            </w:r>
            <w:r w:rsidRPr="00D87CCD">
              <w:rPr>
                <w:rFonts w:asciiTheme="majorHAnsi" w:hAnsiTheme="majorHAnsi" w:cstheme="majorHAnsi"/>
              </w:rPr>
              <w:t xml:space="preserve">TB cases registration and reporting. </w:t>
            </w:r>
            <w:r w:rsidR="00B31D7F" w:rsidRPr="00D87CCD">
              <w:rPr>
                <w:rFonts w:asciiTheme="majorHAnsi" w:hAnsiTheme="majorHAnsi" w:cstheme="majorHAnsi"/>
              </w:rPr>
              <w:t xml:space="preserve"> </w:t>
            </w:r>
          </w:p>
          <w:p w14:paraId="147BFBA4" w14:textId="77777777" w:rsidR="009C3E86" w:rsidRPr="00D87CCD" w:rsidRDefault="008762F7" w:rsidP="006A0E08">
            <w:pPr>
              <w:numPr>
                <w:ilvl w:val="0"/>
                <w:numId w:val="41"/>
              </w:numPr>
              <w:spacing w:after="0" w:line="240" w:lineRule="auto"/>
              <w:ind w:right="157"/>
              <w:contextualSpacing/>
              <w:jc w:val="both"/>
              <w:rPr>
                <w:rFonts w:asciiTheme="majorHAnsi" w:hAnsiTheme="majorHAnsi" w:cstheme="majorHAnsi"/>
              </w:rPr>
            </w:pPr>
            <w:r w:rsidRPr="00D87CCD">
              <w:rPr>
                <w:rFonts w:asciiTheme="majorHAnsi" w:hAnsiTheme="majorHAnsi" w:cstheme="majorHAnsi"/>
              </w:rPr>
              <w:t>Improved research capacity in c</w:t>
            </w:r>
            <w:r w:rsidR="00B31D7F" w:rsidRPr="00D87CCD">
              <w:rPr>
                <w:rFonts w:asciiTheme="majorHAnsi" w:hAnsiTheme="majorHAnsi" w:cstheme="majorHAnsi"/>
              </w:rPr>
              <w:t>arrying out operational studies and surveys.</w:t>
            </w:r>
          </w:p>
          <w:p w14:paraId="53211FAD" w14:textId="2D60B91D" w:rsidR="00E43B39" w:rsidRPr="00D87CCD" w:rsidRDefault="000154C5" w:rsidP="006A0E08">
            <w:pPr>
              <w:numPr>
                <w:ilvl w:val="0"/>
                <w:numId w:val="41"/>
              </w:numPr>
              <w:spacing w:after="0" w:line="240" w:lineRule="auto"/>
              <w:ind w:right="157"/>
              <w:contextualSpacing/>
              <w:jc w:val="both"/>
              <w:rPr>
                <w:rFonts w:asciiTheme="majorHAnsi" w:hAnsiTheme="majorHAnsi" w:cstheme="majorHAnsi"/>
              </w:rPr>
            </w:pPr>
            <w:r w:rsidRPr="00D87CCD">
              <w:rPr>
                <w:rFonts w:asciiTheme="majorHAnsi" w:hAnsiTheme="majorHAnsi" w:cstheme="majorHAnsi"/>
              </w:rPr>
              <w:t>Enh</w:t>
            </w:r>
            <w:r w:rsidR="00994D0E" w:rsidRPr="00D87CCD">
              <w:rPr>
                <w:rFonts w:asciiTheme="majorHAnsi" w:hAnsiTheme="majorHAnsi" w:cstheme="majorHAnsi"/>
              </w:rPr>
              <w:t xml:space="preserve">anced </w:t>
            </w:r>
            <w:r w:rsidR="0082448F" w:rsidRPr="00D87CCD">
              <w:rPr>
                <w:rFonts w:asciiTheme="majorHAnsi" w:hAnsiTheme="majorHAnsi" w:cstheme="majorHAnsi"/>
              </w:rPr>
              <w:t xml:space="preserve">supportive </w:t>
            </w:r>
            <w:r w:rsidR="005C42F1" w:rsidRPr="00D87CCD">
              <w:rPr>
                <w:rFonts w:asciiTheme="majorHAnsi" w:hAnsiTheme="majorHAnsi" w:cstheme="majorHAnsi"/>
              </w:rPr>
              <w:t xml:space="preserve">supervision and </w:t>
            </w:r>
            <w:r w:rsidR="00994D0E" w:rsidRPr="00D87CCD">
              <w:rPr>
                <w:rFonts w:asciiTheme="majorHAnsi" w:hAnsiTheme="majorHAnsi" w:cstheme="majorHAnsi"/>
              </w:rPr>
              <w:t>M&amp;E system</w:t>
            </w:r>
            <w:r w:rsidR="009E22C9" w:rsidRPr="00D87CCD">
              <w:rPr>
                <w:rFonts w:asciiTheme="majorHAnsi" w:hAnsiTheme="majorHAnsi" w:cstheme="majorHAnsi"/>
              </w:rPr>
              <w:t>.</w:t>
            </w:r>
          </w:p>
        </w:tc>
      </w:tr>
    </w:tbl>
    <w:p w14:paraId="120A07AF" w14:textId="77777777" w:rsidR="009C3E86" w:rsidRPr="00D87CCD" w:rsidRDefault="009C3E86" w:rsidP="00D87CCD">
      <w:pPr>
        <w:spacing w:after="0" w:line="240" w:lineRule="auto"/>
        <w:rPr>
          <w:rFonts w:asciiTheme="majorHAnsi" w:hAnsiTheme="majorHAnsi" w:cstheme="majorHAnsi"/>
        </w:rPr>
      </w:pPr>
    </w:p>
    <w:p w14:paraId="2EBF73D3" w14:textId="01CB2678" w:rsidR="00007BFF" w:rsidRDefault="00007BFF">
      <w:pPr>
        <w:spacing w:after="160" w:line="0" w:lineRule="auto"/>
        <w:rPr>
          <w:rFonts w:asciiTheme="majorHAnsi" w:hAnsiTheme="majorHAnsi" w:cstheme="majorHAnsi"/>
        </w:rPr>
      </w:pPr>
    </w:p>
    <w:p w14:paraId="698F81A3" w14:textId="1B299D1C" w:rsidR="00007BFF" w:rsidRDefault="00007BFF">
      <w:pPr>
        <w:spacing w:after="160" w:line="0" w:lineRule="auto"/>
        <w:rPr>
          <w:rFonts w:asciiTheme="majorHAnsi" w:hAnsiTheme="majorHAnsi" w:cstheme="majorHAnsi"/>
        </w:rPr>
      </w:pPr>
    </w:p>
    <w:p w14:paraId="267D013B" w14:textId="77777777" w:rsidR="00007BFF" w:rsidRDefault="00007BFF">
      <w:pPr>
        <w:spacing w:after="160" w:line="0" w:lineRule="auto"/>
        <w:rPr>
          <w:rFonts w:asciiTheme="majorHAnsi" w:hAnsiTheme="majorHAnsi" w:cstheme="majorHAnsi"/>
        </w:rPr>
      </w:pPr>
    </w:p>
    <w:p w14:paraId="18095C58" w14:textId="77777777" w:rsidR="00007BFF" w:rsidRDefault="00007BFF">
      <w:pPr>
        <w:spacing w:after="160" w:line="0" w:lineRule="auto"/>
        <w:rPr>
          <w:rFonts w:asciiTheme="majorHAnsi" w:hAnsiTheme="majorHAnsi" w:cstheme="majorHAnsi"/>
        </w:rPr>
      </w:pPr>
    </w:p>
    <w:p w14:paraId="2842399A" w14:textId="77777777" w:rsidR="00007BFF" w:rsidRDefault="00007BFF">
      <w:pPr>
        <w:spacing w:after="160" w:line="0" w:lineRule="auto"/>
        <w:rPr>
          <w:rFonts w:asciiTheme="majorHAnsi" w:hAnsiTheme="majorHAnsi" w:cstheme="majorHAnsi"/>
        </w:rPr>
      </w:pPr>
    </w:p>
    <w:p w14:paraId="19D9996B" w14:textId="77777777" w:rsidR="00007BFF" w:rsidRDefault="00007BFF">
      <w:pPr>
        <w:spacing w:after="160" w:line="0" w:lineRule="auto"/>
        <w:rPr>
          <w:rFonts w:asciiTheme="majorHAnsi" w:hAnsiTheme="majorHAnsi" w:cstheme="majorHAnsi"/>
        </w:rPr>
      </w:pPr>
      <w:r>
        <w:rPr>
          <w:rFonts w:asciiTheme="majorHAnsi" w:hAnsiTheme="majorHAnsi" w:cstheme="majorHAnsi"/>
        </w:rPr>
        <w:br w:type="page"/>
      </w:r>
    </w:p>
    <w:p w14:paraId="6B219CAE" w14:textId="44E689D0" w:rsidR="00007BFF" w:rsidRPr="00112420" w:rsidRDefault="00007BFF" w:rsidP="002B4EA3">
      <w:pPr>
        <w:pStyle w:val="affff3"/>
        <w:numPr>
          <w:ilvl w:val="0"/>
          <w:numId w:val="23"/>
        </w:numPr>
        <w:spacing w:after="0" w:line="240" w:lineRule="auto"/>
        <w:ind w:left="270" w:hanging="270"/>
        <w:jc w:val="both"/>
        <w:rPr>
          <w:rFonts w:asciiTheme="majorHAnsi" w:hAnsiTheme="majorHAnsi" w:cstheme="majorHAnsi"/>
          <w:bCs/>
          <w:iCs/>
        </w:rPr>
      </w:pPr>
      <w:r w:rsidRPr="008C21CF">
        <w:rPr>
          <w:rFonts w:asciiTheme="majorHAnsi" w:hAnsiTheme="majorHAnsi" w:cstheme="majorHAnsi"/>
        </w:rPr>
        <w:t xml:space="preserve">Does any aspect of this funding request </w:t>
      </w:r>
      <w:r>
        <w:rPr>
          <w:rFonts w:asciiTheme="majorHAnsi" w:hAnsiTheme="majorHAnsi" w:cstheme="majorHAnsi"/>
        </w:rPr>
        <w:t>use</w:t>
      </w:r>
      <w:r w:rsidRPr="008C21CF">
        <w:rPr>
          <w:rFonts w:asciiTheme="majorHAnsi" w:hAnsiTheme="majorHAnsi" w:cstheme="majorHAnsi"/>
        </w:rPr>
        <w:t xml:space="preserve"> a </w:t>
      </w:r>
      <w:r w:rsidRPr="0096146C">
        <w:rPr>
          <w:rFonts w:asciiTheme="majorHAnsi" w:hAnsiTheme="majorHAnsi" w:cstheme="majorHAnsi"/>
          <w:b/>
        </w:rPr>
        <w:t>Payment for Results</w:t>
      </w:r>
      <w:r w:rsidRPr="008C21CF">
        <w:rPr>
          <w:rFonts w:asciiTheme="majorHAnsi" w:hAnsiTheme="majorHAnsi" w:cstheme="majorHAnsi"/>
        </w:rPr>
        <w:t xml:space="preserve"> </w:t>
      </w:r>
      <w:r>
        <w:rPr>
          <w:rFonts w:asciiTheme="majorHAnsi" w:hAnsiTheme="majorHAnsi" w:cstheme="majorHAnsi"/>
        </w:rPr>
        <w:t>modality</w:t>
      </w:r>
      <w:r w:rsidRPr="008C21CF">
        <w:rPr>
          <w:rFonts w:asciiTheme="majorHAnsi" w:hAnsiTheme="majorHAnsi" w:cstheme="majorHAnsi"/>
        </w:rPr>
        <w:t xml:space="preserve">? </w:t>
      </w:r>
    </w:p>
    <w:p w14:paraId="5B41D531" w14:textId="77777777" w:rsidR="00007BFF" w:rsidRPr="0098143C" w:rsidRDefault="00007BFF" w:rsidP="00112420">
      <w:pPr>
        <w:pStyle w:val="affff3"/>
        <w:spacing w:after="0" w:line="240" w:lineRule="auto"/>
        <w:ind w:left="270"/>
        <w:jc w:val="both"/>
        <w:rPr>
          <w:rFonts w:asciiTheme="majorHAnsi" w:hAnsiTheme="majorHAnsi" w:cstheme="majorHAnsi"/>
          <w:bCs/>
          <w:iCs/>
        </w:rPr>
      </w:pPr>
    </w:p>
    <w:p w14:paraId="0384A4D1" w14:textId="43CB2F3C" w:rsidR="00007BFF" w:rsidRPr="008C21CF" w:rsidRDefault="00226154" w:rsidP="0098143C">
      <w:pPr>
        <w:pStyle w:val="affff3"/>
        <w:spacing w:after="0" w:line="240" w:lineRule="auto"/>
        <w:ind w:left="90" w:firstLine="540"/>
        <w:jc w:val="both"/>
        <w:rPr>
          <w:rFonts w:asciiTheme="majorHAnsi" w:hAnsiTheme="majorHAnsi" w:cstheme="majorHAnsi"/>
          <w:bCs/>
          <w:iCs/>
        </w:rPr>
      </w:pPr>
      <w:sdt>
        <w:sdtPr>
          <w:rPr>
            <w:rFonts w:asciiTheme="majorHAnsi" w:eastAsia="MS Gothic" w:hAnsiTheme="majorHAnsi" w:cstheme="majorHAnsi"/>
            <w:bCs/>
            <w:iCs/>
          </w:rPr>
          <w:id w:val="1477947221"/>
          <w14:checkbox>
            <w14:checked w14:val="0"/>
            <w14:checkedState w14:val="2612" w14:font="MS Gothic"/>
            <w14:uncheckedState w14:val="2610" w14:font="MS Gothic"/>
          </w14:checkbox>
        </w:sdtPr>
        <w:sdtEndPr/>
        <w:sdtContent>
          <w:r w:rsidR="00007BFF">
            <w:rPr>
              <w:rFonts w:ascii="MS Gothic" w:eastAsia="MS Gothic" w:hAnsi="MS Gothic" w:cstheme="majorHAnsi" w:hint="eastAsia"/>
              <w:bCs/>
              <w:iCs/>
            </w:rPr>
            <w:t>☐</w:t>
          </w:r>
        </w:sdtContent>
      </w:sdt>
      <w:r w:rsidR="00007BFF" w:rsidRPr="008C21CF">
        <w:rPr>
          <w:rFonts w:asciiTheme="majorHAnsi" w:hAnsiTheme="majorHAnsi" w:cstheme="majorHAnsi"/>
          <w:bCs/>
          <w:iCs/>
        </w:rPr>
        <w:t xml:space="preserve"> Yes         </w:t>
      </w:r>
      <w:sdt>
        <w:sdtPr>
          <w:rPr>
            <w:rFonts w:asciiTheme="majorHAnsi" w:hAnsiTheme="majorHAnsi" w:cstheme="majorHAnsi"/>
            <w:bCs/>
            <w:iCs/>
          </w:rPr>
          <w:id w:val="-1054162004"/>
          <w14:checkbox>
            <w14:checked w14:val="0"/>
            <w14:checkedState w14:val="2612" w14:font="MS Gothic"/>
            <w14:uncheckedState w14:val="2610" w14:font="MS Gothic"/>
          </w14:checkbox>
        </w:sdtPr>
        <w:sdtEndPr/>
        <w:sdtContent>
          <w:r w:rsidR="00007BFF" w:rsidRPr="00BF4BEE">
            <w:rPr>
              <w:rFonts w:ascii="Segoe UI Symbol" w:hAnsi="Segoe UI Symbol" w:cs="Segoe UI Symbol"/>
              <w:bCs/>
              <w:iCs/>
            </w:rPr>
            <w:t>☐</w:t>
          </w:r>
        </w:sdtContent>
      </w:sdt>
      <w:r w:rsidR="00007BFF" w:rsidRPr="008C21CF">
        <w:rPr>
          <w:rFonts w:asciiTheme="majorHAnsi" w:hAnsiTheme="majorHAnsi" w:cstheme="majorHAnsi"/>
          <w:bCs/>
          <w:iCs/>
        </w:rPr>
        <w:t xml:space="preserve"> </w:t>
      </w:r>
      <w:sdt>
        <w:sdtPr>
          <w:rPr>
            <w:rFonts w:asciiTheme="majorHAnsi" w:hAnsiTheme="majorHAnsi" w:cstheme="majorHAnsi"/>
            <w:bCs/>
            <w:iCs/>
          </w:rPr>
          <w:id w:val="1414121956"/>
          <w14:checkbox>
            <w14:checked w14:val="1"/>
            <w14:checkedState w14:val="2612" w14:font="MS Gothic"/>
            <w14:uncheckedState w14:val="2610" w14:font="MS Gothic"/>
          </w14:checkbox>
        </w:sdtPr>
        <w:sdtEndPr/>
        <w:sdtContent>
          <w:r w:rsidR="005363E7">
            <w:rPr>
              <w:rFonts w:ascii="MS Gothic" w:eastAsia="MS Gothic" w:hAnsi="MS Gothic" w:cs="Segoe UI Symbol" w:hint="eastAsia"/>
              <w:bCs/>
              <w:iCs/>
            </w:rPr>
            <w:t>☒</w:t>
          </w:r>
        </w:sdtContent>
      </w:sdt>
      <w:r w:rsidR="005363E7" w:rsidRPr="008C21CF">
        <w:rPr>
          <w:rFonts w:asciiTheme="majorHAnsi" w:hAnsiTheme="majorHAnsi" w:cstheme="majorHAnsi"/>
          <w:bCs/>
          <w:iCs/>
        </w:rPr>
        <w:t xml:space="preserve"> No</w:t>
      </w:r>
    </w:p>
    <w:p w14:paraId="2D7E53B2" w14:textId="77777777" w:rsidR="00007BFF" w:rsidRDefault="00007BFF" w:rsidP="008C21CF">
      <w:pPr>
        <w:spacing w:after="0" w:line="240" w:lineRule="auto"/>
        <w:jc w:val="both"/>
        <w:rPr>
          <w:rFonts w:asciiTheme="majorHAnsi" w:hAnsiTheme="majorHAnsi" w:cstheme="majorHAnsi"/>
          <w:b/>
        </w:rPr>
      </w:pPr>
    </w:p>
    <w:p w14:paraId="12B3A518" w14:textId="5BD1D3F0" w:rsidR="00007BFF" w:rsidRPr="008C21CF" w:rsidRDefault="00007BFF" w:rsidP="005B21F7">
      <w:pPr>
        <w:spacing w:after="0" w:line="240" w:lineRule="auto"/>
        <w:ind w:left="270"/>
        <w:jc w:val="both"/>
        <w:rPr>
          <w:rFonts w:asciiTheme="majorHAnsi" w:hAnsiTheme="majorHAnsi" w:cstheme="majorHAnsi"/>
          <w:bCs/>
          <w:iCs/>
        </w:rPr>
      </w:pPr>
      <w:r w:rsidRPr="00B2724B">
        <w:rPr>
          <w:rFonts w:asciiTheme="majorHAnsi" w:hAnsiTheme="majorHAnsi" w:cstheme="majorHAnsi"/>
        </w:rPr>
        <w:t>If</w:t>
      </w:r>
      <w:r w:rsidRPr="008C21CF">
        <w:rPr>
          <w:rFonts w:asciiTheme="majorHAnsi" w:hAnsiTheme="majorHAnsi" w:cstheme="majorHAnsi"/>
          <w:b/>
        </w:rPr>
        <w:t xml:space="preserve"> yes</w:t>
      </w:r>
      <w:r w:rsidRPr="008C21CF">
        <w:rPr>
          <w:rFonts w:asciiTheme="majorHAnsi" w:hAnsiTheme="majorHAnsi" w:cstheme="majorHAnsi"/>
        </w:rPr>
        <w:t>, in the table below</w:t>
      </w:r>
      <w:r>
        <w:rPr>
          <w:rFonts w:asciiTheme="majorHAnsi" w:hAnsiTheme="majorHAnsi" w:cstheme="majorHAnsi"/>
        </w:rPr>
        <w:t>, indicate</w:t>
      </w:r>
      <w:r w:rsidRPr="008C21CF">
        <w:rPr>
          <w:rFonts w:asciiTheme="majorHAnsi" w:hAnsiTheme="majorHAnsi" w:cstheme="majorHAnsi"/>
        </w:rPr>
        <w:t xml:space="preserve"> the relevant performance indicators</w:t>
      </w:r>
      <w:r>
        <w:rPr>
          <w:rFonts w:asciiTheme="majorHAnsi" w:hAnsiTheme="majorHAnsi" w:cstheme="majorHAnsi"/>
        </w:rPr>
        <w:t xml:space="preserve"> and </w:t>
      </w:r>
      <w:r w:rsidRPr="008C21CF">
        <w:rPr>
          <w:rFonts w:asciiTheme="majorHAnsi" w:hAnsiTheme="majorHAnsi" w:cstheme="majorHAnsi"/>
        </w:rPr>
        <w:t>rationale for the choice of</w:t>
      </w:r>
      <w:r>
        <w:rPr>
          <w:rFonts w:asciiTheme="majorHAnsi" w:hAnsiTheme="majorHAnsi" w:cstheme="majorHAnsi"/>
        </w:rPr>
        <w:t xml:space="preserve"> </w:t>
      </w:r>
      <w:r w:rsidRPr="008C21CF">
        <w:rPr>
          <w:rFonts w:asciiTheme="majorHAnsi" w:hAnsiTheme="majorHAnsi" w:cstheme="majorHAnsi"/>
        </w:rPr>
        <w:t xml:space="preserve">performance indicators </w:t>
      </w:r>
      <w:r>
        <w:rPr>
          <w:rFonts w:asciiTheme="majorHAnsi" w:hAnsiTheme="majorHAnsi" w:cstheme="majorHAnsi"/>
        </w:rPr>
        <w:t>and/or milestones</w:t>
      </w:r>
      <w:r w:rsidRPr="008C21CF">
        <w:rPr>
          <w:rFonts w:asciiTheme="majorHAnsi" w:hAnsiTheme="majorHAnsi" w:cstheme="majorHAnsi"/>
        </w:rPr>
        <w:t>.</w:t>
      </w:r>
    </w:p>
    <w:p w14:paraId="10D141EB" w14:textId="77777777" w:rsidR="00007BFF" w:rsidRPr="008C21CF" w:rsidRDefault="00007BFF" w:rsidP="005A1EDA">
      <w:pPr>
        <w:pStyle w:val="affff3"/>
        <w:spacing w:after="0" w:line="240" w:lineRule="auto"/>
        <w:ind w:left="0"/>
        <w:jc w:val="both"/>
        <w:rPr>
          <w:rFonts w:asciiTheme="majorHAnsi" w:hAnsiTheme="majorHAnsi" w:cstheme="majorHAnsi"/>
          <w:bCs/>
          <w:iCs/>
        </w:rPr>
      </w:pPr>
    </w:p>
    <w:tbl>
      <w:tblPr>
        <w:tblW w:w="10379" w:type="dxa"/>
        <w:tblInd w:w="-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2615"/>
        <w:gridCol w:w="1121"/>
        <w:gridCol w:w="850"/>
        <w:gridCol w:w="803"/>
        <w:gridCol w:w="850"/>
        <w:gridCol w:w="1170"/>
        <w:gridCol w:w="2970"/>
      </w:tblGrid>
      <w:tr w:rsidR="00007BFF" w:rsidRPr="00BF4BEE" w14:paraId="1B9B62C4" w14:textId="77777777" w:rsidTr="00A757CB">
        <w:trPr>
          <w:trHeight w:val="323"/>
        </w:trPr>
        <w:tc>
          <w:tcPr>
            <w:tcW w:w="2615" w:type="dxa"/>
            <w:vMerge w:val="restart"/>
            <w:tcBorders>
              <w:top w:val="single" w:sz="4" w:space="0" w:color="808080" w:themeColor="background1" w:themeShade="80"/>
              <w:left w:val="single" w:sz="4" w:space="0" w:color="808080" w:themeColor="background1" w:themeShade="80"/>
            </w:tcBorders>
            <w:shd w:val="clear" w:color="auto" w:fill="D9D9D9" w:themeFill="background1" w:themeFillShade="D9"/>
            <w:vAlign w:val="center"/>
          </w:tcPr>
          <w:p w14:paraId="46DA90B0" w14:textId="77777777" w:rsidR="00007BFF" w:rsidRPr="008C21CF" w:rsidRDefault="00007BFF" w:rsidP="009B1BDA">
            <w:pPr>
              <w:spacing w:after="0"/>
              <w:jc w:val="center"/>
              <w:rPr>
                <w:rFonts w:asciiTheme="majorHAnsi" w:hAnsiTheme="majorHAnsi" w:cstheme="majorHAnsi"/>
                <w:b/>
              </w:rPr>
            </w:pPr>
            <w:r w:rsidRPr="008C21CF">
              <w:rPr>
                <w:rFonts w:asciiTheme="majorHAnsi" w:hAnsiTheme="majorHAnsi" w:cstheme="majorHAnsi"/>
                <w:b/>
              </w:rPr>
              <w:t>Performance indicator or milestone</w:t>
            </w:r>
          </w:p>
        </w:tc>
        <w:tc>
          <w:tcPr>
            <w:tcW w:w="3624" w:type="dxa"/>
            <w:gridSpan w:val="4"/>
            <w:tcBorders>
              <w:top w:val="single" w:sz="4" w:space="0" w:color="808080" w:themeColor="background1" w:themeShade="80"/>
            </w:tcBorders>
            <w:shd w:val="clear" w:color="auto" w:fill="D9D9D9" w:themeFill="background1" w:themeFillShade="D9"/>
            <w:vAlign w:val="center"/>
          </w:tcPr>
          <w:p w14:paraId="49ED923E" w14:textId="77777777" w:rsidR="00007BFF" w:rsidRPr="008C21CF" w:rsidRDefault="00007BFF" w:rsidP="009B1BDA">
            <w:pPr>
              <w:spacing w:after="0"/>
              <w:jc w:val="center"/>
              <w:rPr>
                <w:rFonts w:asciiTheme="majorHAnsi" w:hAnsiTheme="majorHAnsi" w:cstheme="majorHAnsi"/>
                <w:b/>
                <w:iCs/>
              </w:rPr>
            </w:pPr>
            <w:r w:rsidRPr="008C21CF">
              <w:rPr>
                <w:rFonts w:asciiTheme="majorHAnsi" w:hAnsiTheme="majorHAnsi" w:cstheme="majorHAnsi"/>
                <w:b/>
                <w:iCs/>
              </w:rPr>
              <w:t>Target</w:t>
            </w:r>
          </w:p>
        </w:tc>
        <w:tc>
          <w:tcPr>
            <w:tcW w:w="4140" w:type="dxa"/>
            <w:gridSpan w:val="2"/>
            <w:vMerge w:val="restart"/>
            <w:tcBorders>
              <w:top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A103A5A" w14:textId="77777777" w:rsidR="00007BFF" w:rsidRPr="008C21CF" w:rsidRDefault="00007BFF" w:rsidP="009B1BDA">
            <w:pPr>
              <w:spacing w:after="0"/>
              <w:jc w:val="center"/>
              <w:rPr>
                <w:rFonts w:asciiTheme="majorHAnsi" w:hAnsiTheme="majorHAnsi" w:cstheme="majorHAnsi"/>
                <w:b/>
                <w:iCs/>
              </w:rPr>
            </w:pPr>
            <w:r w:rsidRPr="008C21CF">
              <w:rPr>
                <w:rFonts w:asciiTheme="majorHAnsi" w:hAnsiTheme="majorHAnsi" w:cstheme="majorHAnsi"/>
                <w:b/>
                <w:iCs/>
              </w:rPr>
              <w:t>Rationale for the indicator/milestone selection for Global Fund funding</w:t>
            </w:r>
          </w:p>
        </w:tc>
      </w:tr>
      <w:tr w:rsidR="00007BFF" w:rsidRPr="00BF4BEE" w14:paraId="34BB0491" w14:textId="77777777" w:rsidTr="00A757CB">
        <w:trPr>
          <w:trHeight w:val="322"/>
        </w:trPr>
        <w:tc>
          <w:tcPr>
            <w:tcW w:w="2615" w:type="dxa"/>
            <w:vMerge/>
            <w:tcBorders>
              <w:left w:val="single" w:sz="4" w:space="0" w:color="808080" w:themeColor="background1" w:themeShade="80"/>
            </w:tcBorders>
            <w:shd w:val="clear" w:color="auto" w:fill="D9D9D9" w:themeFill="background1" w:themeFillShade="D9"/>
            <w:vAlign w:val="center"/>
          </w:tcPr>
          <w:p w14:paraId="3328CB67" w14:textId="77777777" w:rsidR="00007BFF" w:rsidRPr="004619FD" w:rsidRDefault="00007BFF" w:rsidP="009B1BDA">
            <w:pPr>
              <w:spacing w:after="0"/>
              <w:jc w:val="center"/>
              <w:rPr>
                <w:rFonts w:asciiTheme="majorHAnsi" w:hAnsiTheme="majorHAnsi" w:cstheme="majorHAnsi"/>
              </w:rPr>
            </w:pPr>
          </w:p>
        </w:tc>
        <w:tc>
          <w:tcPr>
            <w:tcW w:w="1121" w:type="dxa"/>
            <w:shd w:val="clear" w:color="auto" w:fill="D9D9D9" w:themeFill="background1" w:themeFillShade="D9"/>
            <w:vAlign w:val="center"/>
          </w:tcPr>
          <w:p w14:paraId="3F0FEBDC" w14:textId="77777777" w:rsidR="00007BFF" w:rsidRPr="008C21CF" w:rsidRDefault="00007BFF" w:rsidP="009B1BDA">
            <w:pPr>
              <w:spacing w:before="120" w:after="0"/>
              <w:jc w:val="center"/>
              <w:rPr>
                <w:rFonts w:asciiTheme="majorHAnsi" w:hAnsiTheme="majorHAnsi" w:cstheme="majorHAnsi"/>
                <w:b/>
                <w:iCs/>
              </w:rPr>
            </w:pPr>
            <w:r w:rsidRPr="008C21CF">
              <w:rPr>
                <w:rFonts w:asciiTheme="majorHAnsi" w:hAnsiTheme="majorHAnsi" w:cstheme="majorHAnsi"/>
                <w:b/>
                <w:iCs/>
              </w:rPr>
              <w:t>Baseline</w:t>
            </w:r>
          </w:p>
        </w:tc>
        <w:tc>
          <w:tcPr>
            <w:tcW w:w="850" w:type="dxa"/>
            <w:shd w:val="clear" w:color="auto" w:fill="D9D9D9" w:themeFill="background1" w:themeFillShade="D9"/>
            <w:vAlign w:val="center"/>
          </w:tcPr>
          <w:p w14:paraId="60D82EA9" w14:textId="77777777" w:rsidR="00007BFF" w:rsidRPr="008C21CF" w:rsidRDefault="00007BFF" w:rsidP="009B1BDA">
            <w:pPr>
              <w:spacing w:before="120" w:after="0"/>
              <w:jc w:val="center"/>
              <w:rPr>
                <w:rFonts w:asciiTheme="majorHAnsi" w:hAnsiTheme="majorHAnsi" w:cstheme="majorHAnsi"/>
                <w:b/>
                <w:iCs/>
              </w:rPr>
            </w:pPr>
            <w:r w:rsidRPr="008C21CF">
              <w:rPr>
                <w:rFonts w:asciiTheme="majorHAnsi" w:hAnsiTheme="majorHAnsi" w:cstheme="majorHAnsi"/>
                <w:b/>
                <w:iCs/>
              </w:rPr>
              <w:t>Y1</w:t>
            </w:r>
          </w:p>
        </w:tc>
        <w:tc>
          <w:tcPr>
            <w:tcW w:w="803" w:type="dxa"/>
            <w:shd w:val="clear" w:color="auto" w:fill="D9D9D9" w:themeFill="background1" w:themeFillShade="D9"/>
            <w:vAlign w:val="center"/>
          </w:tcPr>
          <w:p w14:paraId="6082FE22" w14:textId="77777777" w:rsidR="00007BFF" w:rsidRPr="008C21CF" w:rsidRDefault="00007BFF" w:rsidP="009B1BDA">
            <w:pPr>
              <w:spacing w:before="120" w:after="0"/>
              <w:jc w:val="center"/>
              <w:rPr>
                <w:rFonts w:asciiTheme="majorHAnsi" w:hAnsiTheme="majorHAnsi" w:cstheme="majorHAnsi"/>
                <w:b/>
                <w:iCs/>
              </w:rPr>
            </w:pPr>
            <w:r w:rsidRPr="008C21CF">
              <w:rPr>
                <w:rFonts w:asciiTheme="majorHAnsi" w:hAnsiTheme="majorHAnsi" w:cstheme="majorHAnsi"/>
                <w:b/>
                <w:iCs/>
              </w:rPr>
              <w:t>Y2</w:t>
            </w:r>
          </w:p>
        </w:tc>
        <w:tc>
          <w:tcPr>
            <w:tcW w:w="850" w:type="dxa"/>
            <w:shd w:val="clear" w:color="auto" w:fill="D9D9D9" w:themeFill="background1" w:themeFillShade="D9"/>
            <w:vAlign w:val="center"/>
          </w:tcPr>
          <w:p w14:paraId="1C5C380B" w14:textId="77777777" w:rsidR="00007BFF" w:rsidRPr="008C21CF" w:rsidRDefault="00007BFF" w:rsidP="009B1BDA">
            <w:pPr>
              <w:spacing w:before="120" w:after="0"/>
              <w:jc w:val="center"/>
              <w:rPr>
                <w:rFonts w:asciiTheme="majorHAnsi" w:hAnsiTheme="majorHAnsi" w:cstheme="majorHAnsi"/>
                <w:b/>
                <w:iCs/>
              </w:rPr>
            </w:pPr>
            <w:r w:rsidRPr="008C21CF">
              <w:rPr>
                <w:rFonts w:asciiTheme="majorHAnsi" w:hAnsiTheme="majorHAnsi" w:cstheme="majorHAnsi"/>
                <w:b/>
                <w:iCs/>
              </w:rPr>
              <w:t>Y3</w:t>
            </w:r>
          </w:p>
        </w:tc>
        <w:tc>
          <w:tcPr>
            <w:tcW w:w="4140" w:type="dxa"/>
            <w:gridSpan w:val="2"/>
            <w:vMerge/>
            <w:tcBorders>
              <w:right w:val="single" w:sz="4" w:space="0" w:color="808080" w:themeColor="background1" w:themeShade="80"/>
            </w:tcBorders>
            <w:shd w:val="clear" w:color="auto" w:fill="D9D9D9" w:themeFill="background1" w:themeFillShade="D9"/>
            <w:vAlign w:val="center"/>
          </w:tcPr>
          <w:p w14:paraId="18DEC1BC" w14:textId="77777777" w:rsidR="00007BFF" w:rsidRPr="004619FD" w:rsidRDefault="00007BFF" w:rsidP="009B1BDA">
            <w:pPr>
              <w:spacing w:before="120" w:after="0"/>
              <w:jc w:val="center"/>
              <w:rPr>
                <w:rFonts w:asciiTheme="majorHAnsi" w:hAnsiTheme="majorHAnsi" w:cstheme="majorHAnsi"/>
                <w:iCs/>
              </w:rPr>
            </w:pPr>
          </w:p>
        </w:tc>
      </w:tr>
      <w:tr w:rsidR="00007BFF" w:rsidRPr="00BF4BEE" w14:paraId="78A643B9" w14:textId="77777777" w:rsidTr="00A757CB">
        <w:trPr>
          <w:trHeight w:val="522"/>
        </w:trPr>
        <w:tc>
          <w:tcPr>
            <w:tcW w:w="2615" w:type="dxa"/>
            <w:tcBorders>
              <w:left w:val="single" w:sz="4" w:space="0" w:color="808080" w:themeColor="background1" w:themeShade="80"/>
            </w:tcBorders>
            <w:vAlign w:val="center"/>
          </w:tcPr>
          <w:p w14:paraId="05AAFC28" w14:textId="77777777" w:rsidR="00007BFF" w:rsidRPr="008C21CF" w:rsidRDefault="00007BFF" w:rsidP="009B1BDA">
            <w:pPr>
              <w:pStyle w:val="affff3"/>
              <w:tabs>
                <w:tab w:val="left" w:pos="63"/>
              </w:tabs>
              <w:spacing w:after="0"/>
              <w:ind w:left="63" w:right="-54"/>
              <w:rPr>
                <w:rFonts w:asciiTheme="majorHAnsi" w:hAnsiTheme="majorHAnsi" w:cstheme="majorHAnsi"/>
                <w:b/>
                <w:bCs/>
                <w:iCs/>
              </w:rPr>
            </w:pPr>
          </w:p>
        </w:tc>
        <w:tc>
          <w:tcPr>
            <w:tcW w:w="1121" w:type="dxa"/>
            <w:shd w:val="clear" w:color="auto" w:fill="FFFFFF" w:themeFill="text2" w:themeFillTint="33"/>
            <w:vAlign w:val="center"/>
          </w:tcPr>
          <w:p w14:paraId="0B9836F8"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850" w:type="dxa"/>
            <w:shd w:val="clear" w:color="auto" w:fill="FFFFFF" w:themeFill="text2" w:themeFillTint="33"/>
            <w:vAlign w:val="center"/>
          </w:tcPr>
          <w:p w14:paraId="6981708E"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803" w:type="dxa"/>
            <w:shd w:val="clear" w:color="auto" w:fill="FFFFFF" w:themeFill="text2" w:themeFillTint="33"/>
            <w:vAlign w:val="center"/>
          </w:tcPr>
          <w:p w14:paraId="25C7D4B9"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850" w:type="dxa"/>
            <w:shd w:val="clear" w:color="auto" w:fill="FFFFFF" w:themeFill="text2" w:themeFillTint="33"/>
            <w:vAlign w:val="center"/>
          </w:tcPr>
          <w:p w14:paraId="7E388E93"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4140" w:type="dxa"/>
            <w:gridSpan w:val="2"/>
            <w:tcBorders>
              <w:right w:val="single" w:sz="4" w:space="0" w:color="808080" w:themeColor="background1" w:themeShade="80"/>
            </w:tcBorders>
            <w:vAlign w:val="center"/>
          </w:tcPr>
          <w:p w14:paraId="5AC2A7A5" w14:textId="77777777" w:rsidR="00007BFF" w:rsidRPr="008C21CF" w:rsidRDefault="00007BFF" w:rsidP="009B1BDA">
            <w:pPr>
              <w:spacing w:after="0"/>
              <w:rPr>
                <w:rFonts w:asciiTheme="majorHAnsi" w:hAnsiTheme="majorHAnsi" w:cstheme="majorHAnsi"/>
                <w:b/>
                <w:bCs/>
                <w:iCs/>
              </w:rPr>
            </w:pPr>
          </w:p>
        </w:tc>
      </w:tr>
      <w:tr w:rsidR="00007BFF" w:rsidRPr="00BF4BEE" w14:paraId="59964124" w14:textId="77777777" w:rsidTr="00A757CB">
        <w:trPr>
          <w:trHeight w:val="559"/>
        </w:trPr>
        <w:tc>
          <w:tcPr>
            <w:tcW w:w="2615" w:type="dxa"/>
            <w:tcBorders>
              <w:left w:val="single" w:sz="4" w:space="0" w:color="808080" w:themeColor="background1" w:themeShade="80"/>
            </w:tcBorders>
            <w:vAlign w:val="center"/>
          </w:tcPr>
          <w:p w14:paraId="1D8107CC" w14:textId="77777777" w:rsidR="00007BFF" w:rsidRPr="008C21CF" w:rsidRDefault="00007BFF" w:rsidP="009B1BDA">
            <w:pPr>
              <w:pStyle w:val="affff3"/>
              <w:tabs>
                <w:tab w:val="left" w:pos="63"/>
              </w:tabs>
              <w:spacing w:after="0"/>
              <w:ind w:left="63"/>
              <w:rPr>
                <w:rFonts w:asciiTheme="majorHAnsi" w:hAnsiTheme="majorHAnsi" w:cstheme="majorHAnsi"/>
                <w:b/>
                <w:bCs/>
                <w:iCs/>
              </w:rPr>
            </w:pPr>
          </w:p>
        </w:tc>
        <w:tc>
          <w:tcPr>
            <w:tcW w:w="1121" w:type="dxa"/>
            <w:shd w:val="clear" w:color="auto" w:fill="FFFFFF" w:themeFill="text2" w:themeFillTint="33"/>
            <w:vAlign w:val="center"/>
          </w:tcPr>
          <w:p w14:paraId="7A14CCB0"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850" w:type="dxa"/>
            <w:shd w:val="clear" w:color="auto" w:fill="FFFFFF" w:themeFill="text2" w:themeFillTint="33"/>
            <w:vAlign w:val="center"/>
          </w:tcPr>
          <w:p w14:paraId="0AFD62E4"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803" w:type="dxa"/>
            <w:shd w:val="clear" w:color="auto" w:fill="FFFFFF" w:themeFill="text2" w:themeFillTint="33"/>
            <w:vAlign w:val="center"/>
          </w:tcPr>
          <w:p w14:paraId="35C78E7C"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850" w:type="dxa"/>
            <w:shd w:val="clear" w:color="auto" w:fill="FFFFFF" w:themeFill="text2" w:themeFillTint="33"/>
            <w:vAlign w:val="center"/>
          </w:tcPr>
          <w:p w14:paraId="43B1F3BA"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4140" w:type="dxa"/>
            <w:gridSpan w:val="2"/>
            <w:tcBorders>
              <w:right w:val="single" w:sz="4" w:space="0" w:color="808080" w:themeColor="background1" w:themeShade="80"/>
            </w:tcBorders>
            <w:vAlign w:val="center"/>
          </w:tcPr>
          <w:p w14:paraId="1CE007C1" w14:textId="77777777" w:rsidR="00007BFF" w:rsidRPr="008C21CF" w:rsidRDefault="00007BFF" w:rsidP="009B1BDA">
            <w:pPr>
              <w:spacing w:after="0"/>
              <w:ind w:right="-54"/>
              <w:rPr>
                <w:rFonts w:asciiTheme="majorHAnsi" w:hAnsiTheme="majorHAnsi" w:cstheme="majorHAnsi"/>
                <w:b/>
                <w:bCs/>
                <w:iCs/>
              </w:rPr>
            </w:pPr>
          </w:p>
        </w:tc>
      </w:tr>
      <w:tr w:rsidR="00007BFF" w:rsidRPr="00BF4BEE" w14:paraId="4528FF7A" w14:textId="77777777" w:rsidTr="00A757CB">
        <w:trPr>
          <w:trHeight w:val="553"/>
        </w:trPr>
        <w:tc>
          <w:tcPr>
            <w:tcW w:w="2615" w:type="dxa"/>
            <w:tcBorders>
              <w:left w:val="single" w:sz="4" w:space="0" w:color="808080" w:themeColor="background1" w:themeShade="80"/>
            </w:tcBorders>
            <w:vAlign w:val="center"/>
          </w:tcPr>
          <w:p w14:paraId="744DED99" w14:textId="77777777" w:rsidR="00007BFF" w:rsidRPr="008C21CF" w:rsidRDefault="00007BFF" w:rsidP="009B1BDA">
            <w:pPr>
              <w:pStyle w:val="affff3"/>
              <w:tabs>
                <w:tab w:val="left" w:pos="63"/>
              </w:tabs>
              <w:spacing w:after="0"/>
              <w:ind w:left="63"/>
              <w:rPr>
                <w:rFonts w:asciiTheme="majorHAnsi" w:hAnsiTheme="majorHAnsi" w:cstheme="majorHAnsi"/>
                <w:b/>
                <w:bCs/>
                <w:i/>
                <w:iCs/>
              </w:rPr>
            </w:pPr>
            <w:r w:rsidRPr="008C21CF">
              <w:rPr>
                <w:rFonts w:asciiTheme="majorHAnsi" w:hAnsiTheme="majorHAnsi" w:cstheme="majorHAnsi"/>
              </w:rPr>
              <w:t>Add rows if necessary</w:t>
            </w:r>
          </w:p>
        </w:tc>
        <w:tc>
          <w:tcPr>
            <w:tcW w:w="1121" w:type="dxa"/>
            <w:shd w:val="clear" w:color="auto" w:fill="FFFFFF" w:themeFill="text2" w:themeFillTint="33"/>
            <w:vAlign w:val="center"/>
          </w:tcPr>
          <w:p w14:paraId="6CA0F985"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850" w:type="dxa"/>
            <w:shd w:val="clear" w:color="auto" w:fill="FFFFFF" w:themeFill="text2" w:themeFillTint="33"/>
            <w:vAlign w:val="center"/>
          </w:tcPr>
          <w:p w14:paraId="769155BB"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803" w:type="dxa"/>
            <w:shd w:val="clear" w:color="auto" w:fill="FFFFFF" w:themeFill="text2" w:themeFillTint="33"/>
            <w:vAlign w:val="center"/>
          </w:tcPr>
          <w:p w14:paraId="4092CEDC"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850" w:type="dxa"/>
            <w:shd w:val="clear" w:color="auto" w:fill="FFFFFF" w:themeFill="text2" w:themeFillTint="33"/>
            <w:vAlign w:val="center"/>
          </w:tcPr>
          <w:p w14:paraId="5B16A55D" w14:textId="77777777" w:rsidR="00007BFF" w:rsidRPr="008C21CF" w:rsidRDefault="00007BFF" w:rsidP="009B1BDA">
            <w:pPr>
              <w:pStyle w:val="affff3"/>
              <w:tabs>
                <w:tab w:val="left" w:pos="360"/>
              </w:tabs>
              <w:spacing w:after="0"/>
              <w:ind w:left="0" w:right="-54"/>
              <w:jc w:val="center"/>
              <w:rPr>
                <w:rFonts w:asciiTheme="majorHAnsi" w:hAnsiTheme="majorHAnsi" w:cstheme="majorHAnsi"/>
                <w:b/>
                <w:bCs/>
                <w:iCs/>
              </w:rPr>
            </w:pPr>
          </w:p>
        </w:tc>
        <w:tc>
          <w:tcPr>
            <w:tcW w:w="4140" w:type="dxa"/>
            <w:gridSpan w:val="2"/>
            <w:tcBorders>
              <w:right w:val="single" w:sz="4" w:space="0" w:color="808080" w:themeColor="background1" w:themeShade="80"/>
            </w:tcBorders>
            <w:vAlign w:val="center"/>
          </w:tcPr>
          <w:p w14:paraId="0ED2B9A7" w14:textId="77777777" w:rsidR="00007BFF" w:rsidRPr="008C21CF" w:rsidRDefault="00007BFF" w:rsidP="009B1BDA">
            <w:pPr>
              <w:spacing w:after="0"/>
              <w:ind w:right="-54"/>
              <w:rPr>
                <w:rFonts w:asciiTheme="majorHAnsi" w:hAnsiTheme="majorHAnsi" w:cstheme="majorHAnsi"/>
                <w:b/>
                <w:bCs/>
                <w:iCs/>
              </w:rPr>
            </w:pPr>
          </w:p>
        </w:tc>
      </w:tr>
      <w:tr w:rsidR="00007BFF" w:rsidRPr="00BF4BEE" w14:paraId="297F4E88" w14:textId="77777777" w:rsidTr="00A757CB">
        <w:trPr>
          <w:trHeight w:val="395"/>
        </w:trPr>
        <w:tc>
          <w:tcPr>
            <w:tcW w:w="7409" w:type="dxa"/>
            <w:gridSpan w:val="6"/>
            <w:tcBorders>
              <w:left w:val="single" w:sz="4" w:space="0" w:color="808080" w:themeColor="background1" w:themeShade="80"/>
            </w:tcBorders>
            <w:shd w:val="clear" w:color="auto" w:fill="D9D9D9" w:themeFill="background1" w:themeFillShade="D9"/>
            <w:vAlign w:val="center"/>
          </w:tcPr>
          <w:p w14:paraId="640546A3" w14:textId="2C789C62" w:rsidR="00007BFF" w:rsidRPr="008C21CF" w:rsidRDefault="00007BFF" w:rsidP="009A1DC8">
            <w:pPr>
              <w:pStyle w:val="affff3"/>
              <w:spacing w:after="0" w:line="240" w:lineRule="auto"/>
              <w:ind w:left="360" w:hanging="350"/>
              <w:rPr>
                <w:rFonts w:asciiTheme="majorHAnsi" w:hAnsiTheme="majorHAnsi" w:cstheme="majorHAnsi"/>
                <w:b/>
                <w:bCs/>
                <w:iCs/>
              </w:rPr>
            </w:pPr>
            <w:r w:rsidRPr="009A1DC8">
              <w:rPr>
                <w:rFonts w:cs="Arial"/>
                <w:b/>
              </w:rPr>
              <w:t>Total amount requested from the Global Fund</w:t>
            </w:r>
          </w:p>
        </w:tc>
        <w:tc>
          <w:tcPr>
            <w:tcW w:w="2970" w:type="dxa"/>
            <w:tcBorders>
              <w:right w:val="single" w:sz="4" w:space="0" w:color="808080" w:themeColor="background1" w:themeShade="80"/>
            </w:tcBorders>
            <w:vAlign w:val="center"/>
          </w:tcPr>
          <w:p w14:paraId="3973C5FD" w14:textId="77777777" w:rsidR="00007BFF" w:rsidRPr="008C21CF" w:rsidRDefault="00007BFF" w:rsidP="009B1BDA">
            <w:pPr>
              <w:spacing w:after="0"/>
              <w:ind w:right="-54"/>
              <w:rPr>
                <w:rFonts w:asciiTheme="majorHAnsi" w:hAnsiTheme="majorHAnsi" w:cstheme="majorHAnsi"/>
                <w:b/>
                <w:bCs/>
                <w:iCs/>
              </w:rPr>
            </w:pPr>
          </w:p>
        </w:tc>
      </w:tr>
    </w:tbl>
    <w:p w14:paraId="3173D754" w14:textId="2D376A89" w:rsidR="00007BFF" w:rsidRDefault="00007BFF" w:rsidP="00CA674F">
      <w:pPr>
        <w:pStyle w:val="affff3"/>
        <w:ind w:left="360"/>
        <w:rPr>
          <w:rFonts w:cs="Arial"/>
          <w:bCs/>
        </w:rPr>
      </w:pPr>
    </w:p>
    <w:p w14:paraId="6A044E20" w14:textId="1C41342D" w:rsidR="00007BFF" w:rsidRPr="0059650E" w:rsidRDefault="00007BFF" w:rsidP="00C921BC">
      <w:pPr>
        <w:autoSpaceDE w:val="0"/>
        <w:autoSpaceDN w:val="0"/>
        <w:spacing w:after="0" w:line="240" w:lineRule="auto"/>
      </w:pPr>
      <w:r>
        <w:t xml:space="preserve">Specify how the </w:t>
      </w:r>
      <w:r w:rsidRPr="00151A3B">
        <w:t>accuracy and reliability of the reported results</w:t>
      </w:r>
      <w:r>
        <w:t xml:space="preserve"> will be ensured</w:t>
      </w:r>
      <w:r w:rsidRPr="00151A3B">
        <w:t>.</w:t>
      </w:r>
    </w:p>
    <w:p w14:paraId="42362067" w14:textId="77777777" w:rsidR="00007BFF" w:rsidRDefault="00007BFF" w:rsidP="00C921BC">
      <w:pPr>
        <w:spacing w:after="0" w:line="260" w:lineRule="atLeast"/>
        <w:rPr>
          <w:rFonts w:eastAsia="Calibri"/>
        </w:rPr>
      </w:pPr>
    </w:p>
    <w:tbl>
      <w:tblPr>
        <w:tblStyle w:val="aa"/>
        <w:tblW w:w="0" w:type="auto"/>
        <w:tblLook w:val="04A0" w:firstRow="1" w:lastRow="0" w:firstColumn="1" w:lastColumn="0" w:noHBand="0" w:noVBand="1"/>
      </w:tblPr>
      <w:tblGrid>
        <w:gridCol w:w="10682"/>
      </w:tblGrid>
      <w:tr w:rsidR="00007BFF" w:rsidRPr="005305D5" w14:paraId="7CB23CD6" w14:textId="77777777" w:rsidTr="00740264">
        <w:tc>
          <w:tcPr>
            <w:tcW w:w="10790" w:type="dxa"/>
          </w:tcPr>
          <w:p w14:paraId="3185F625" w14:textId="77777777" w:rsidR="00007BFF" w:rsidRPr="005305D5" w:rsidRDefault="00007BFF" w:rsidP="00740264">
            <w:pPr>
              <w:spacing w:after="0"/>
            </w:pPr>
            <w:r w:rsidRPr="005305D5">
              <w:t>[Applicant response]</w:t>
            </w:r>
          </w:p>
          <w:p w14:paraId="7B40C467" w14:textId="77777777" w:rsidR="00007BFF" w:rsidRPr="005305D5" w:rsidRDefault="00007BFF" w:rsidP="00740264">
            <w:pPr>
              <w:spacing w:after="0"/>
            </w:pPr>
          </w:p>
          <w:p w14:paraId="7EBB90E2" w14:textId="77777777" w:rsidR="00007BFF" w:rsidRPr="005305D5" w:rsidRDefault="00007BFF" w:rsidP="00740264">
            <w:pPr>
              <w:spacing w:after="0"/>
            </w:pPr>
          </w:p>
        </w:tc>
      </w:tr>
    </w:tbl>
    <w:p w14:paraId="67E3E790" w14:textId="6A1FA61A" w:rsidR="00007BFF" w:rsidRPr="00C921BC" w:rsidRDefault="00007BFF" w:rsidP="00C921BC">
      <w:pPr>
        <w:rPr>
          <w:rFonts w:cs="Arial"/>
          <w:bCs/>
        </w:rPr>
      </w:pPr>
    </w:p>
    <w:p w14:paraId="20EC314E" w14:textId="77777777" w:rsidR="00007BFF" w:rsidRPr="008C21CF" w:rsidRDefault="00007BFF" w:rsidP="002B4EA3">
      <w:pPr>
        <w:pStyle w:val="affff3"/>
        <w:numPr>
          <w:ilvl w:val="0"/>
          <w:numId w:val="23"/>
        </w:numPr>
        <w:ind w:left="360"/>
        <w:jc w:val="both"/>
        <w:rPr>
          <w:rFonts w:asciiTheme="majorHAnsi" w:hAnsiTheme="majorHAnsi" w:cstheme="majorHAnsi"/>
        </w:rPr>
      </w:pPr>
      <w:r w:rsidRPr="00A57DC5">
        <w:rPr>
          <w:rFonts w:cs="Arial"/>
          <w:b/>
        </w:rPr>
        <w:t xml:space="preserve">Opportunities for integration: </w:t>
      </w:r>
      <w:r>
        <w:rPr>
          <w:rFonts w:asciiTheme="majorHAnsi" w:hAnsiTheme="majorHAnsi" w:cstheme="majorHAnsi"/>
        </w:rPr>
        <w:t>E</w:t>
      </w:r>
      <w:r w:rsidRPr="008C21CF">
        <w:rPr>
          <w:rFonts w:asciiTheme="majorHAnsi" w:hAnsiTheme="majorHAnsi" w:cstheme="majorHAnsi"/>
        </w:rPr>
        <w:t xml:space="preserve">xplain how the proposed investments take into consideration: </w:t>
      </w:r>
    </w:p>
    <w:p w14:paraId="202C3D7A" w14:textId="0C29F30B" w:rsidR="00007BFF" w:rsidRPr="008C21CF" w:rsidRDefault="00007BFF" w:rsidP="002B4EA3">
      <w:pPr>
        <w:pStyle w:val="affff3"/>
        <w:numPr>
          <w:ilvl w:val="0"/>
          <w:numId w:val="24"/>
        </w:numPr>
        <w:spacing w:after="0"/>
        <w:jc w:val="both"/>
        <w:rPr>
          <w:rFonts w:asciiTheme="majorHAnsi" w:hAnsiTheme="majorHAnsi" w:cstheme="majorHAnsi"/>
        </w:rPr>
      </w:pPr>
      <w:r>
        <w:rPr>
          <w:rFonts w:asciiTheme="majorHAnsi" w:hAnsiTheme="majorHAnsi" w:cstheme="majorHAnsi"/>
        </w:rPr>
        <w:t>N</w:t>
      </w:r>
      <w:r w:rsidRPr="008C21CF">
        <w:rPr>
          <w:rFonts w:asciiTheme="majorHAnsi" w:hAnsiTheme="majorHAnsi" w:cstheme="majorHAnsi"/>
        </w:rPr>
        <w:t>eeds across</w:t>
      </w:r>
      <w:r>
        <w:rPr>
          <w:rFonts w:asciiTheme="majorHAnsi" w:hAnsiTheme="majorHAnsi" w:cstheme="majorHAnsi"/>
        </w:rPr>
        <w:t xml:space="preserve"> the three</w:t>
      </w:r>
      <w:r w:rsidRPr="008C21CF">
        <w:rPr>
          <w:rFonts w:asciiTheme="majorHAnsi" w:hAnsiTheme="majorHAnsi" w:cstheme="majorHAnsi"/>
        </w:rPr>
        <w:t xml:space="preserve"> diseases and other</w:t>
      </w:r>
      <w:r>
        <w:rPr>
          <w:rFonts w:asciiTheme="majorHAnsi" w:hAnsiTheme="majorHAnsi" w:cstheme="majorHAnsi"/>
        </w:rPr>
        <w:t xml:space="preserve"> related</w:t>
      </w:r>
      <w:r w:rsidRPr="008C21CF">
        <w:rPr>
          <w:rFonts w:asciiTheme="majorHAnsi" w:hAnsiTheme="majorHAnsi" w:cstheme="majorHAnsi"/>
        </w:rPr>
        <w:t xml:space="preserve"> health </w:t>
      </w:r>
      <w:proofErr w:type="gramStart"/>
      <w:r w:rsidRPr="008C21CF">
        <w:rPr>
          <w:rFonts w:asciiTheme="majorHAnsi" w:hAnsiTheme="majorHAnsi" w:cstheme="majorHAnsi"/>
        </w:rPr>
        <w:t>programs</w:t>
      </w:r>
      <w:r>
        <w:rPr>
          <w:rFonts w:asciiTheme="majorHAnsi" w:hAnsiTheme="majorHAnsi" w:cstheme="majorHAnsi"/>
        </w:rPr>
        <w:t>;</w:t>
      </w:r>
      <w:proofErr w:type="gramEnd"/>
      <w:r>
        <w:rPr>
          <w:rFonts w:asciiTheme="majorHAnsi" w:hAnsiTheme="majorHAnsi" w:cstheme="majorHAnsi"/>
        </w:rPr>
        <w:t xml:space="preserve"> </w:t>
      </w:r>
    </w:p>
    <w:p w14:paraId="5C3F3760" w14:textId="405DA9C3" w:rsidR="00007BFF" w:rsidRPr="008C21CF" w:rsidRDefault="00007BFF" w:rsidP="002B4EA3">
      <w:pPr>
        <w:pStyle w:val="affff9"/>
        <w:numPr>
          <w:ilvl w:val="0"/>
          <w:numId w:val="24"/>
        </w:numPr>
        <w:spacing w:after="0" w:line="240" w:lineRule="auto"/>
        <w:jc w:val="both"/>
        <w:rPr>
          <w:rFonts w:asciiTheme="majorHAnsi" w:hAnsiTheme="majorHAnsi" w:cstheme="majorHAnsi"/>
          <w:sz w:val="22"/>
          <w:szCs w:val="22"/>
        </w:rPr>
      </w:pPr>
      <w:r>
        <w:rPr>
          <w:rFonts w:asciiTheme="majorHAnsi" w:hAnsiTheme="majorHAnsi" w:cstheme="majorHAnsi"/>
          <w:sz w:val="22"/>
          <w:szCs w:val="22"/>
        </w:rPr>
        <w:t>L</w:t>
      </w:r>
      <w:r w:rsidRPr="008C21CF">
        <w:rPr>
          <w:rFonts w:asciiTheme="majorHAnsi" w:hAnsiTheme="majorHAnsi" w:cstheme="majorHAnsi"/>
          <w:sz w:val="22"/>
          <w:szCs w:val="22"/>
        </w:rPr>
        <w:t>inks with the broader health systems to impro</w:t>
      </w:r>
      <w:r>
        <w:rPr>
          <w:rFonts w:asciiTheme="majorHAnsi" w:hAnsiTheme="majorHAnsi" w:cstheme="majorHAnsi"/>
          <w:sz w:val="22"/>
          <w:szCs w:val="22"/>
        </w:rPr>
        <w:t xml:space="preserve">ve disease outcomes, </w:t>
      </w:r>
      <w:proofErr w:type="gramStart"/>
      <w:r>
        <w:rPr>
          <w:rFonts w:asciiTheme="majorHAnsi" w:hAnsiTheme="majorHAnsi" w:cstheme="majorHAnsi"/>
          <w:sz w:val="22"/>
          <w:szCs w:val="22"/>
        </w:rPr>
        <w:t>efficiency</w:t>
      </w:r>
      <w:proofErr w:type="gramEnd"/>
      <w:r w:rsidRPr="008C21CF">
        <w:rPr>
          <w:rFonts w:asciiTheme="majorHAnsi" w:hAnsiTheme="majorHAnsi" w:cstheme="majorHAnsi"/>
          <w:sz w:val="22"/>
          <w:szCs w:val="22"/>
        </w:rPr>
        <w:t xml:space="preserve"> and program sustainability.</w:t>
      </w:r>
    </w:p>
    <w:p w14:paraId="003C57B6" w14:textId="77777777" w:rsidR="00007BFF" w:rsidRPr="00B271DB" w:rsidRDefault="00007BFF" w:rsidP="000E0ACF">
      <w:pPr>
        <w:pStyle w:val="affff3"/>
        <w:spacing w:after="0" w:line="240" w:lineRule="auto"/>
        <w:ind w:left="0"/>
        <w:rPr>
          <w:rFonts w:cs="Arial"/>
          <w:szCs w:val="20"/>
        </w:rPr>
      </w:pPr>
    </w:p>
    <w:tbl>
      <w:tblPr>
        <w:tblStyle w:val="aa"/>
        <w:tblW w:w="0" w:type="auto"/>
        <w:tblLook w:val="04A0" w:firstRow="1" w:lastRow="0" w:firstColumn="1" w:lastColumn="0" w:noHBand="0" w:noVBand="1"/>
      </w:tblPr>
      <w:tblGrid>
        <w:gridCol w:w="10682"/>
      </w:tblGrid>
      <w:tr w:rsidR="00007BFF" w:rsidRPr="00B271DB" w14:paraId="63001F24" w14:textId="77777777" w:rsidTr="00F268A0">
        <w:tc>
          <w:tcPr>
            <w:tcW w:w="10790" w:type="dxa"/>
          </w:tcPr>
          <w:p w14:paraId="48498ECF" w14:textId="5565BED9" w:rsidR="006B4BA8" w:rsidRDefault="006B4BA8" w:rsidP="00E2457E">
            <w:pPr>
              <w:pStyle w:val="Default"/>
              <w:jc w:val="both"/>
              <w:rPr>
                <w:sz w:val="22"/>
                <w:szCs w:val="22"/>
              </w:rPr>
            </w:pPr>
            <w:r w:rsidRPr="002B52F7">
              <w:rPr>
                <w:sz w:val="22"/>
                <w:szCs w:val="22"/>
              </w:rPr>
              <w:t>Proposed TB interventions under both the base and above base allocation request will contribute substantially to health system strengthening through investments in laboratory infrastructure, c</w:t>
            </w:r>
            <w:r w:rsidR="00C30A9B">
              <w:rPr>
                <w:sz w:val="22"/>
                <w:szCs w:val="22"/>
              </w:rPr>
              <w:t>apacity-building of healthcare workers</w:t>
            </w:r>
            <w:r w:rsidRPr="002B52F7">
              <w:rPr>
                <w:sz w:val="22"/>
                <w:szCs w:val="22"/>
              </w:rPr>
              <w:t>, scaling up innovative service delivery strategies, including community-based integrated care, strengthening medicine procurement and supply</w:t>
            </w:r>
            <w:r w:rsidR="00C30A9B">
              <w:rPr>
                <w:sz w:val="22"/>
                <w:szCs w:val="22"/>
              </w:rPr>
              <w:t xml:space="preserve"> management</w:t>
            </w:r>
            <w:r w:rsidRPr="002B52F7">
              <w:rPr>
                <w:sz w:val="22"/>
                <w:szCs w:val="22"/>
              </w:rPr>
              <w:t xml:space="preserve"> systems, quality of routine health information system and harmonization of providers’ payment approaches. In addition, the enhanced </w:t>
            </w:r>
            <w:r w:rsidR="00C30A9B">
              <w:rPr>
                <w:sz w:val="22"/>
                <w:szCs w:val="22"/>
              </w:rPr>
              <w:t xml:space="preserve">supportive supervision and </w:t>
            </w:r>
            <w:r w:rsidRPr="002B52F7">
              <w:rPr>
                <w:sz w:val="22"/>
                <w:szCs w:val="22"/>
              </w:rPr>
              <w:t>mo</w:t>
            </w:r>
            <w:r>
              <w:rPr>
                <w:sz w:val="22"/>
                <w:szCs w:val="22"/>
              </w:rPr>
              <w:t xml:space="preserve">nitoring of </w:t>
            </w:r>
            <w:r w:rsidR="00C30A9B">
              <w:rPr>
                <w:sz w:val="22"/>
                <w:szCs w:val="22"/>
              </w:rPr>
              <w:t xml:space="preserve">the </w:t>
            </w:r>
            <w:r>
              <w:rPr>
                <w:sz w:val="22"/>
                <w:szCs w:val="22"/>
              </w:rPr>
              <w:t>NTP will</w:t>
            </w:r>
            <w:r w:rsidRPr="002B52F7">
              <w:rPr>
                <w:sz w:val="22"/>
                <w:szCs w:val="22"/>
              </w:rPr>
              <w:t xml:space="preserve"> help </w:t>
            </w:r>
            <w:proofErr w:type="gramStart"/>
            <w:r w:rsidRPr="002B52F7">
              <w:rPr>
                <w:sz w:val="22"/>
                <w:szCs w:val="22"/>
              </w:rPr>
              <w:t>policy-makers</w:t>
            </w:r>
            <w:proofErr w:type="gramEnd"/>
            <w:r>
              <w:rPr>
                <w:sz w:val="22"/>
                <w:szCs w:val="22"/>
              </w:rPr>
              <w:t>, by</w:t>
            </w:r>
            <w:r w:rsidRPr="002B52F7">
              <w:rPr>
                <w:sz w:val="22"/>
                <w:szCs w:val="22"/>
              </w:rPr>
              <w:t xml:space="preserve"> generating data</w:t>
            </w:r>
            <w:r>
              <w:rPr>
                <w:sz w:val="22"/>
                <w:szCs w:val="22"/>
              </w:rPr>
              <w:t>,</w:t>
            </w:r>
            <w:r w:rsidRPr="002B52F7">
              <w:rPr>
                <w:sz w:val="22"/>
                <w:szCs w:val="22"/>
              </w:rPr>
              <w:t xml:space="preserve"> to identify both associated system weaknesses and improvement areas related to br</w:t>
            </w:r>
            <w:r>
              <w:rPr>
                <w:sz w:val="22"/>
                <w:szCs w:val="22"/>
              </w:rPr>
              <w:t xml:space="preserve">oader structures of </w:t>
            </w:r>
            <w:r w:rsidR="008149E4">
              <w:rPr>
                <w:sz w:val="22"/>
                <w:szCs w:val="22"/>
              </w:rPr>
              <w:t xml:space="preserve">the </w:t>
            </w:r>
            <w:r w:rsidR="00520859">
              <w:rPr>
                <w:sz w:val="22"/>
                <w:szCs w:val="22"/>
              </w:rPr>
              <w:t xml:space="preserve">healthcare system and </w:t>
            </w:r>
          </w:p>
          <w:p w14:paraId="48F86A66" w14:textId="77777777" w:rsidR="006B4BA8" w:rsidRDefault="006B4BA8" w:rsidP="00E2457E">
            <w:pPr>
              <w:spacing w:after="0" w:line="240" w:lineRule="auto"/>
              <w:jc w:val="both"/>
              <w:rPr>
                <w:rFonts w:asciiTheme="majorHAnsi" w:eastAsia="Times New Roman" w:hAnsiTheme="majorHAnsi" w:cs="Times New Roman"/>
              </w:rPr>
            </w:pPr>
          </w:p>
          <w:p w14:paraId="7D16A4AA" w14:textId="0DF5C804" w:rsidR="006B4BA8" w:rsidRDefault="006B4BA8" w:rsidP="00E2457E">
            <w:pPr>
              <w:pStyle w:val="Default"/>
              <w:jc w:val="both"/>
              <w:rPr>
                <w:sz w:val="22"/>
                <w:szCs w:val="22"/>
              </w:rPr>
            </w:pPr>
            <w:r w:rsidRPr="003F0962">
              <w:rPr>
                <w:sz w:val="22"/>
                <w:szCs w:val="22"/>
              </w:rPr>
              <w:t xml:space="preserve">The TB services integration into PHC and community levels is underway, and there are </w:t>
            </w:r>
            <w:proofErr w:type="gramStart"/>
            <w:r w:rsidRPr="003F0962">
              <w:rPr>
                <w:sz w:val="22"/>
                <w:szCs w:val="22"/>
              </w:rPr>
              <w:t xml:space="preserve">a number </w:t>
            </w:r>
            <w:r w:rsidR="008149E4">
              <w:rPr>
                <w:sz w:val="22"/>
                <w:szCs w:val="22"/>
              </w:rPr>
              <w:t>of</w:t>
            </w:r>
            <w:proofErr w:type="gramEnd"/>
            <w:r w:rsidR="008149E4">
              <w:rPr>
                <w:sz w:val="22"/>
                <w:szCs w:val="22"/>
              </w:rPr>
              <w:t xml:space="preserve"> </w:t>
            </w:r>
            <w:r w:rsidRPr="003F0962">
              <w:rPr>
                <w:sz w:val="22"/>
                <w:szCs w:val="22"/>
              </w:rPr>
              <w:t xml:space="preserve">organizational and payment models currently practicing in regions with some variations. Through the established M&amp;E and feedback provisions mechanisms the NTP is doing the assessments, identifying the opportunities and barriers in </w:t>
            </w:r>
            <w:r w:rsidR="00176C28">
              <w:rPr>
                <w:sz w:val="22"/>
                <w:szCs w:val="22"/>
              </w:rPr>
              <w:t xml:space="preserve">the </w:t>
            </w:r>
            <w:r w:rsidRPr="003F0962">
              <w:rPr>
                <w:sz w:val="22"/>
                <w:szCs w:val="22"/>
              </w:rPr>
              <w:t xml:space="preserve">provision of integrated services. It also looks on providers licensing system and conformity with sanitary rules, PHC workforce </w:t>
            </w:r>
            <w:r w:rsidR="00A66B29">
              <w:rPr>
                <w:sz w:val="22"/>
                <w:szCs w:val="22"/>
              </w:rPr>
              <w:t>preparedness in managing TB, TB/</w:t>
            </w:r>
            <w:r w:rsidRPr="003F0962">
              <w:rPr>
                <w:sz w:val="22"/>
                <w:szCs w:val="22"/>
              </w:rPr>
              <w:t xml:space="preserve">HIV patients and LTBI, addresses the lack of information, availability of technical tools and equipment, </w:t>
            </w:r>
            <w:r>
              <w:rPr>
                <w:sz w:val="22"/>
                <w:szCs w:val="22"/>
              </w:rPr>
              <w:t xml:space="preserve">defines </w:t>
            </w:r>
            <w:proofErr w:type="gramStart"/>
            <w:r w:rsidRPr="003F0962">
              <w:rPr>
                <w:sz w:val="22"/>
                <w:szCs w:val="22"/>
              </w:rPr>
              <w:t>patients</w:t>
            </w:r>
            <w:proofErr w:type="gramEnd"/>
            <w:r w:rsidRPr="003F0962">
              <w:rPr>
                <w:sz w:val="22"/>
                <w:szCs w:val="22"/>
              </w:rPr>
              <w:t xml:space="preserve"> optimal pathways and preparedness, </w:t>
            </w:r>
            <w:r>
              <w:rPr>
                <w:sz w:val="22"/>
                <w:szCs w:val="22"/>
              </w:rPr>
              <w:t xml:space="preserve">strengthen the </w:t>
            </w:r>
            <w:r w:rsidRPr="003F0962">
              <w:rPr>
                <w:sz w:val="22"/>
                <w:szCs w:val="22"/>
              </w:rPr>
              <w:t xml:space="preserve">governance </w:t>
            </w:r>
            <w:r>
              <w:rPr>
                <w:sz w:val="22"/>
                <w:szCs w:val="22"/>
              </w:rPr>
              <w:t xml:space="preserve">at the PHC, </w:t>
            </w:r>
            <w:r w:rsidRPr="003F0962">
              <w:rPr>
                <w:sz w:val="22"/>
                <w:szCs w:val="22"/>
              </w:rPr>
              <w:t>adapt</w:t>
            </w:r>
            <w:r>
              <w:rPr>
                <w:sz w:val="22"/>
                <w:szCs w:val="22"/>
              </w:rPr>
              <w:t>s</w:t>
            </w:r>
            <w:r w:rsidRPr="003F0962">
              <w:rPr>
                <w:sz w:val="22"/>
                <w:szCs w:val="22"/>
              </w:rPr>
              <w:t xml:space="preserve"> integr</w:t>
            </w:r>
            <w:r>
              <w:rPr>
                <w:sz w:val="22"/>
                <w:szCs w:val="22"/>
              </w:rPr>
              <w:t xml:space="preserve">ation to regional circumstances with the end goal of improved access and </w:t>
            </w:r>
            <w:r w:rsidRPr="003F0962">
              <w:rPr>
                <w:sz w:val="22"/>
                <w:szCs w:val="22"/>
              </w:rPr>
              <w:t>treatment outcomes</w:t>
            </w:r>
            <w:r>
              <w:rPr>
                <w:sz w:val="22"/>
                <w:szCs w:val="22"/>
              </w:rPr>
              <w:t xml:space="preserve">. Moreover, the work is underway to better align the TB care organizational models at the PHC level </w:t>
            </w:r>
            <w:r w:rsidRPr="003F0962">
              <w:rPr>
                <w:sz w:val="22"/>
                <w:szCs w:val="22"/>
              </w:rPr>
              <w:t xml:space="preserve">with enabling financing, </w:t>
            </w:r>
            <w:proofErr w:type="gramStart"/>
            <w:r w:rsidRPr="003F0962">
              <w:rPr>
                <w:sz w:val="22"/>
                <w:szCs w:val="22"/>
              </w:rPr>
              <w:t>payment</w:t>
            </w:r>
            <w:proofErr w:type="gramEnd"/>
            <w:r w:rsidRPr="003F0962">
              <w:rPr>
                <w:sz w:val="22"/>
                <w:szCs w:val="22"/>
              </w:rPr>
              <w:t xml:space="preserve"> and staff reimbursement mechanisms</w:t>
            </w:r>
            <w:r>
              <w:rPr>
                <w:sz w:val="22"/>
                <w:szCs w:val="22"/>
              </w:rPr>
              <w:t>, and intensify the supports</w:t>
            </w:r>
            <w:r w:rsidRPr="003F0962">
              <w:rPr>
                <w:sz w:val="22"/>
                <w:szCs w:val="22"/>
              </w:rPr>
              <w:t xml:space="preserve"> </w:t>
            </w:r>
            <w:r>
              <w:rPr>
                <w:sz w:val="22"/>
                <w:szCs w:val="22"/>
              </w:rPr>
              <w:t>a</w:t>
            </w:r>
            <w:r w:rsidRPr="003F0962">
              <w:rPr>
                <w:sz w:val="22"/>
                <w:szCs w:val="22"/>
              </w:rPr>
              <w:t>vailable</w:t>
            </w:r>
            <w:r>
              <w:rPr>
                <w:sz w:val="22"/>
                <w:szCs w:val="22"/>
              </w:rPr>
              <w:t xml:space="preserve"> at the community level</w:t>
            </w:r>
            <w:r w:rsidRPr="003F0962">
              <w:rPr>
                <w:sz w:val="22"/>
                <w:szCs w:val="22"/>
              </w:rPr>
              <w:t xml:space="preserve"> for vulnerable </w:t>
            </w:r>
            <w:r>
              <w:rPr>
                <w:sz w:val="22"/>
                <w:szCs w:val="22"/>
              </w:rPr>
              <w:t xml:space="preserve">and hard-to-reach population </w:t>
            </w:r>
            <w:r w:rsidRPr="003F0962">
              <w:rPr>
                <w:sz w:val="22"/>
                <w:szCs w:val="22"/>
              </w:rPr>
              <w:t xml:space="preserve">groups. </w:t>
            </w:r>
            <w:r>
              <w:rPr>
                <w:sz w:val="22"/>
                <w:szCs w:val="22"/>
              </w:rPr>
              <w:t>The</w:t>
            </w:r>
            <w:r w:rsidRPr="002B52F7">
              <w:rPr>
                <w:sz w:val="22"/>
                <w:szCs w:val="22"/>
              </w:rPr>
              <w:t xml:space="preserve"> funding request </w:t>
            </w:r>
            <w:r>
              <w:rPr>
                <w:sz w:val="22"/>
                <w:szCs w:val="22"/>
              </w:rPr>
              <w:t xml:space="preserve">also </w:t>
            </w:r>
            <w:r w:rsidRPr="002B52F7">
              <w:rPr>
                <w:sz w:val="22"/>
                <w:szCs w:val="22"/>
              </w:rPr>
              <w:t xml:space="preserve">provides a good opportunity to enhance </w:t>
            </w:r>
            <w:r w:rsidR="00FF59F7" w:rsidRPr="002B52F7">
              <w:rPr>
                <w:sz w:val="22"/>
                <w:szCs w:val="22"/>
              </w:rPr>
              <w:t xml:space="preserve">further </w:t>
            </w:r>
            <w:r w:rsidRPr="002B52F7">
              <w:rPr>
                <w:sz w:val="22"/>
                <w:szCs w:val="22"/>
              </w:rPr>
              <w:t>the link and synergies in TB, HIV and COVID-19 needs</w:t>
            </w:r>
            <w:r>
              <w:rPr>
                <w:sz w:val="22"/>
                <w:szCs w:val="22"/>
              </w:rPr>
              <w:t>,</w:t>
            </w:r>
            <w:r w:rsidRPr="002B52F7">
              <w:rPr>
                <w:sz w:val="22"/>
                <w:szCs w:val="22"/>
              </w:rPr>
              <w:t xml:space="preserve"> </w:t>
            </w:r>
            <w:r>
              <w:rPr>
                <w:sz w:val="22"/>
                <w:szCs w:val="22"/>
              </w:rPr>
              <w:t xml:space="preserve">and other related health programs. </w:t>
            </w:r>
          </w:p>
          <w:p w14:paraId="68B81740" w14:textId="77777777" w:rsidR="006B4BA8" w:rsidRDefault="006B4BA8" w:rsidP="00E2457E">
            <w:pPr>
              <w:spacing w:after="0" w:line="240" w:lineRule="auto"/>
              <w:ind w:left="40"/>
              <w:jc w:val="both"/>
              <w:rPr>
                <w:rFonts w:asciiTheme="majorHAnsi" w:eastAsia="Times New Roman" w:hAnsiTheme="majorHAnsi" w:cs="Times New Roman"/>
                <w:color w:val="000000"/>
                <w:shd w:val="clear" w:color="auto" w:fill="FFFFFF"/>
              </w:rPr>
            </w:pPr>
          </w:p>
          <w:p w14:paraId="7960D813" w14:textId="337A078C" w:rsidR="006B4BA8" w:rsidRPr="00DA537A" w:rsidRDefault="006B4BA8" w:rsidP="00DA537A">
            <w:pPr>
              <w:jc w:val="both"/>
              <w:rPr>
                <w:rFonts w:ascii="Times" w:eastAsia="Times New Roman" w:hAnsi="Times" w:cs="Times New Roman"/>
              </w:rPr>
            </w:pPr>
            <w:r w:rsidRPr="0061104E">
              <w:rPr>
                <w:rFonts w:eastAsia="Times New Roman" w:cs="Arial"/>
              </w:rPr>
              <w:t>At the</w:t>
            </w:r>
            <w:r w:rsidRPr="0061104E">
              <w:rPr>
                <w:rFonts w:eastAsia="Times New Roman" w:cs="Arial"/>
                <w:b/>
              </w:rPr>
              <w:t xml:space="preserve"> leadership and governance</w:t>
            </w:r>
            <w:r w:rsidRPr="0061104E">
              <w:rPr>
                <w:rFonts w:eastAsia="Times New Roman" w:cs="Arial"/>
              </w:rPr>
              <w:t xml:space="preserve"> level, the NTP will </w:t>
            </w:r>
            <w:r w:rsidRPr="00E2457E">
              <w:rPr>
                <w:rFonts w:asciiTheme="majorHAnsi" w:eastAsia="Times New Roman" w:hAnsiTheme="majorHAnsi" w:cstheme="majorHAnsi"/>
              </w:rPr>
              <w:t>further strengthen its ties with regional government</w:t>
            </w:r>
            <w:r w:rsidR="00B63D1C">
              <w:rPr>
                <w:rFonts w:asciiTheme="majorHAnsi" w:eastAsia="Times New Roman" w:hAnsiTheme="majorHAnsi" w:cstheme="majorHAnsi"/>
              </w:rPr>
              <w:t xml:space="preserve">, </w:t>
            </w:r>
            <w:r w:rsidRPr="00E2457E">
              <w:rPr>
                <w:rFonts w:asciiTheme="majorHAnsi" w:eastAsia="Times New Roman" w:hAnsiTheme="majorHAnsi" w:cstheme="majorHAnsi"/>
              </w:rPr>
              <w:t>health departments</w:t>
            </w:r>
            <w:r w:rsidR="00B63D1C">
              <w:rPr>
                <w:rFonts w:asciiTheme="majorHAnsi" w:eastAsia="Times New Roman" w:hAnsiTheme="majorHAnsi" w:cstheme="majorHAnsi"/>
              </w:rPr>
              <w:t>,</w:t>
            </w:r>
            <w:r w:rsidRPr="00E2457E">
              <w:rPr>
                <w:rFonts w:asciiTheme="majorHAnsi" w:eastAsia="Times New Roman" w:hAnsiTheme="majorHAnsi" w:cstheme="majorHAnsi"/>
              </w:rPr>
              <w:t xml:space="preserve"> and non-governmental organizations</w:t>
            </w:r>
            <w:r w:rsidR="00AC4334">
              <w:rPr>
                <w:rFonts w:asciiTheme="majorHAnsi" w:eastAsia="Times New Roman" w:hAnsiTheme="majorHAnsi" w:cstheme="majorHAnsi"/>
              </w:rPr>
              <w:t xml:space="preserve"> and busineses</w:t>
            </w:r>
            <w:r w:rsidRPr="00E2457E">
              <w:rPr>
                <w:rFonts w:asciiTheme="majorHAnsi" w:eastAsia="Times New Roman" w:hAnsiTheme="majorHAnsi" w:cstheme="majorHAnsi"/>
              </w:rPr>
              <w:t xml:space="preserve">. The introduction of new financing approach of </w:t>
            </w:r>
            <w:r w:rsidR="00C03DE0">
              <w:rPr>
                <w:rFonts w:asciiTheme="majorHAnsi" w:eastAsia="Times New Roman" w:hAnsiTheme="majorHAnsi" w:cstheme="majorHAnsi"/>
              </w:rPr>
              <w:t>support</w:t>
            </w:r>
            <w:r w:rsidRPr="00E2457E">
              <w:rPr>
                <w:rFonts w:asciiTheme="majorHAnsi" w:eastAsia="Times New Roman" w:hAnsiTheme="majorHAnsi" w:cstheme="majorHAnsi"/>
              </w:rPr>
              <w:t xml:space="preserve"> services and providing NGOs with costing and budgeting tools will promote the advocacy efforts with the local governments in tackling TB and intensifying inter-agency cooperation at the community </w:t>
            </w:r>
            <w:proofErr w:type="gramStart"/>
            <w:r w:rsidRPr="00E2457E">
              <w:rPr>
                <w:rFonts w:asciiTheme="majorHAnsi" w:eastAsia="Times New Roman" w:hAnsiTheme="majorHAnsi" w:cstheme="majorHAnsi"/>
              </w:rPr>
              <w:t>level</w:t>
            </w:r>
            <w:r w:rsidR="00B63D1C">
              <w:rPr>
                <w:rFonts w:asciiTheme="majorHAnsi" w:eastAsia="Times New Roman" w:hAnsiTheme="majorHAnsi" w:cstheme="majorHAnsi"/>
              </w:rPr>
              <w:t>,</w:t>
            </w:r>
            <w:r w:rsidRPr="00E2457E">
              <w:rPr>
                <w:rFonts w:asciiTheme="majorHAnsi" w:eastAsia="Times New Roman" w:hAnsiTheme="majorHAnsi" w:cstheme="majorHAnsi"/>
              </w:rPr>
              <w:t xml:space="preserve"> and</w:t>
            </w:r>
            <w:proofErr w:type="gramEnd"/>
            <w:r w:rsidRPr="00E2457E">
              <w:rPr>
                <w:rFonts w:asciiTheme="majorHAnsi" w:eastAsia="Times New Roman" w:hAnsiTheme="majorHAnsi" w:cstheme="majorHAnsi"/>
              </w:rPr>
              <w:t xml:space="preserve"> deepen</w:t>
            </w:r>
            <w:r w:rsidR="00B63D1C">
              <w:rPr>
                <w:rFonts w:asciiTheme="majorHAnsi" w:eastAsia="Times New Roman" w:hAnsiTheme="majorHAnsi" w:cstheme="majorHAnsi"/>
              </w:rPr>
              <w:t>ing</w:t>
            </w:r>
            <w:r w:rsidRPr="00E2457E">
              <w:rPr>
                <w:rFonts w:asciiTheme="majorHAnsi" w:eastAsia="Times New Roman" w:hAnsiTheme="majorHAnsi" w:cstheme="majorHAnsi"/>
              </w:rPr>
              <w:t xml:space="preserve"> social mobilization. The collaboration will </w:t>
            </w:r>
            <w:r w:rsidR="00C92CD1" w:rsidRPr="00E2457E">
              <w:rPr>
                <w:rFonts w:asciiTheme="majorHAnsi" w:eastAsia="Times New Roman" w:hAnsiTheme="majorHAnsi" w:cstheme="majorHAnsi"/>
              </w:rPr>
              <w:t xml:space="preserve">also </w:t>
            </w:r>
            <w:r w:rsidRPr="00E2457E">
              <w:rPr>
                <w:rFonts w:asciiTheme="majorHAnsi" w:eastAsia="Times New Roman" w:hAnsiTheme="majorHAnsi" w:cstheme="majorHAnsi"/>
              </w:rPr>
              <w:t xml:space="preserve">be maximized at the central level, across public health programs promoting joint planning and share of programmatic strategies. At the intra-governmental level, the interventions will foster stronger cooperation between the national AIDS, TB and COVID responses, motivate national TB officials to work in a more collaborative manner in response to TB. </w:t>
            </w:r>
            <w:r w:rsidRPr="00E2457E">
              <w:rPr>
                <w:rFonts w:asciiTheme="majorHAnsi" w:hAnsiTheme="majorHAnsi" w:cstheme="majorHAnsi"/>
                <w:color w:val="000000"/>
              </w:rPr>
              <w:t xml:space="preserve">The </w:t>
            </w:r>
            <w:r w:rsidRPr="00DA537A">
              <w:rPr>
                <w:rFonts w:asciiTheme="majorHAnsi" w:hAnsiTheme="majorHAnsi" w:cstheme="majorHAnsi"/>
                <w:color w:val="000000"/>
              </w:rPr>
              <w:t xml:space="preserve">multisectoral working group, established under </w:t>
            </w:r>
            <w:r w:rsidR="00823DFD" w:rsidRPr="00DA537A">
              <w:rPr>
                <w:rFonts w:asciiTheme="majorHAnsi" w:hAnsiTheme="majorHAnsi" w:cstheme="majorHAnsi"/>
                <w:color w:val="000000"/>
              </w:rPr>
              <w:t xml:space="preserve">the </w:t>
            </w:r>
            <w:r w:rsidRPr="00DA537A">
              <w:rPr>
                <w:rFonts w:asciiTheme="majorHAnsi" w:hAnsiTheme="majorHAnsi" w:cstheme="majorHAnsi"/>
                <w:color w:val="000000"/>
              </w:rPr>
              <w:t xml:space="preserve">previous grant, will be further supported to perform high-level </w:t>
            </w:r>
            <w:proofErr w:type="gramStart"/>
            <w:r w:rsidRPr="00DA537A">
              <w:rPr>
                <w:rFonts w:asciiTheme="majorHAnsi" w:hAnsiTheme="majorHAnsi" w:cstheme="majorHAnsi"/>
                <w:color w:val="000000"/>
              </w:rPr>
              <w:t>advocacy</w:t>
            </w:r>
            <w:proofErr w:type="gramEnd"/>
            <w:r w:rsidRPr="00DA537A">
              <w:rPr>
                <w:rFonts w:asciiTheme="majorHAnsi" w:hAnsiTheme="majorHAnsi" w:cstheme="majorHAnsi"/>
                <w:color w:val="000000"/>
              </w:rPr>
              <w:t xml:space="preserve"> and enhance the political commitment for effective governance of the health system and sustainable financing of TB interventions, including strengthening and coordinating the non-governmental sector involvement and financing. </w:t>
            </w:r>
            <w:r w:rsidRPr="00DA537A">
              <w:rPr>
                <w:rFonts w:asciiTheme="majorHAnsi" w:eastAsia="Times New Roman" w:hAnsiTheme="majorHAnsi" w:cstheme="majorHAnsi"/>
              </w:rPr>
              <w:t xml:space="preserve">Also, the interventions will contribute to </w:t>
            </w:r>
            <w:r w:rsidR="00823DFD" w:rsidRPr="00DA537A">
              <w:rPr>
                <w:rFonts w:asciiTheme="majorHAnsi" w:eastAsia="Times New Roman" w:hAnsiTheme="majorHAnsi" w:cstheme="majorHAnsi"/>
              </w:rPr>
              <w:t xml:space="preserve">an </w:t>
            </w:r>
            <w:r w:rsidRPr="00DA537A">
              <w:rPr>
                <w:rFonts w:asciiTheme="majorHAnsi" w:eastAsia="Times New Roman" w:hAnsiTheme="majorHAnsi" w:cstheme="majorHAnsi"/>
              </w:rPr>
              <w:t>enhanced legal and regulatory system</w:t>
            </w:r>
            <w:r w:rsidR="00C72278" w:rsidRPr="00DA537A">
              <w:rPr>
                <w:rFonts w:asciiTheme="majorHAnsi" w:eastAsia="Times New Roman" w:hAnsiTheme="majorHAnsi" w:cstheme="majorHAnsi"/>
                <w:color w:val="000000"/>
                <w:shd w:val="clear" w:color="auto" w:fill="FFFFFF"/>
              </w:rPr>
              <w:t xml:space="preserve"> and </w:t>
            </w:r>
            <w:r w:rsidR="00DA537A" w:rsidRPr="00DA537A">
              <w:rPr>
                <w:rFonts w:asciiTheme="majorHAnsi" w:eastAsia="Times New Roman" w:hAnsiTheme="majorHAnsi" w:cstheme="majorHAnsi"/>
                <w:color w:val="000000"/>
                <w:shd w:val="clear" w:color="auto" w:fill="FFFFFF"/>
              </w:rPr>
              <w:t>decision</w:t>
            </w:r>
            <w:r w:rsidR="002348FC">
              <w:rPr>
                <w:rFonts w:asciiTheme="majorHAnsi" w:eastAsia="Times New Roman" w:hAnsiTheme="majorHAnsi" w:cstheme="majorHAnsi"/>
                <w:color w:val="000000"/>
                <w:shd w:val="clear" w:color="auto" w:fill="FFFFFF"/>
              </w:rPr>
              <w:t>-making</w:t>
            </w:r>
            <w:r w:rsidR="00DA537A" w:rsidRPr="00DA537A">
              <w:rPr>
                <w:rFonts w:asciiTheme="majorHAnsi" w:eastAsia="Times New Roman" w:hAnsiTheme="majorHAnsi" w:cstheme="majorHAnsi"/>
                <w:color w:val="000000"/>
                <w:shd w:val="clear" w:color="auto" w:fill="FFFFFF"/>
              </w:rPr>
              <w:t xml:space="preserve"> </w:t>
            </w:r>
            <w:r w:rsidR="002348FC">
              <w:rPr>
                <w:rFonts w:asciiTheme="majorHAnsi" w:eastAsia="Times New Roman" w:hAnsiTheme="majorHAnsi" w:cstheme="majorHAnsi"/>
                <w:color w:val="000000"/>
                <w:shd w:val="clear" w:color="auto" w:fill="FFFFFF"/>
              </w:rPr>
              <w:t xml:space="preserve">for </w:t>
            </w:r>
            <w:r w:rsidR="002348FC">
              <w:rPr>
                <w:rFonts w:eastAsia="Times New Roman" w:cs="Arial"/>
                <w:color w:val="202124"/>
                <w:shd w:val="clear" w:color="auto" w:fill="FFFFFF"/>
              </w:rPr>
              <w:t>safe</w:t>
            </w:r>
            <w:r w:rsidR="00DA537A" w:rsidRPr="00DA537A">
              <w:rPr>
                <w:rFonts w:eastAsia="Times New Roman" w:cs="Arial"/>
                <w:color w:val="202124"/>
                <w:shd w:val="clear" w:color="auto" w:fill="FFFFFF"/>
              </w:rPr>
              <w:t xml:space="preserve"> </w:t>
            </w:r>
            <w:r w:rsidR="00DA537A">
              <w:rPr>
                <w:rFonts w:eastAsia="Times New Roman" w:cs="Arial"/>
                <w:color w:val="202124"/>
                <w:shd w:val="clear" w:color="auto" w:fill="FFFFFF"/>
              </w:rPr>
              <w:t xml:space="preserve">and </w:t>
            </w:r>
            <w:r w:rsidR="00DA537A" w:rsidRPr="00DA537A">
              <w:rPr>
                <w:rFonts w:eastAsia="Times New Roman" w:cs="Arial"/>
                <w:color w:val="202124"/>
                <w:shd w:val="clear" w:color="auto" w:fill="FFFFFF"/>
              </w:rPr>
              <w:t xml:space="preserve">quality </w:t>
            </w:r>
            <w:r w:rsidR="002348FC">
              <w:rPr>
                <w:rFonts w:eastAsia="Times New Roman" w:cs="Arial"/>
                <w:color w:val="202124"/>
                <w:shd w:val="clear" w:color="auto" w:fill="FFFFFF"/>
              </w:rPr>
              <w:t>MDR-</w:t>
            </w:r>
            <w:r w:rsidR="00DA537A" w:rsidRPr="00DA537A">
              <w:rPr>
                <w:rFonts w:eastAsia="Times New Roman" w:cs="Arial"/>
                <w:color w:val="202124"/>
                <w:shd w:val="clear" w:color="auto" w:fill="FFFFFF"/>
              </w:rPr>
              <w:t>TB care</w:t>
            </w:r>
            <w:r w:rsidR="002348FC">
              <w:rPr>
                <w:rFonts w:eastAsia="Times New Roman" w:cs="Arial"/>
                <w:color w:val="202124"/>
                <w:shd w:val="clear" w:color="auto" w:fill="FFFFFF"/>
              </w:rPr>
              <w:t xml:space="preserve">. </w:t>
            </w:r>
            <w:r w:rsidR="00DA537A" w:rsidRPr="00DA537A">
              <w:rPr>
                <w:rFonts w:eastAsia="Times New Roman" w:cs="Arial"/>
                <w:color w:val="202124"/>
                <w:shd w:val="clear" w:color="auto" w:fill="FFFFFF"/>
              </w:rPr>
              <w:t xml:space="preserve"> </w:t>
            </w:r>
          </w:p>
          <w:p w14:paraId="134E4B57" w14:textId="77777777" w:rsidR="006B4BA8" w:rsidRPr="00E2457E" w:rsidRDefault="006B4BA8" w:rsidP="00E2457E">
            <w:pPr>
              <w:spacing w:after="0" w:line="240" w:lineRule="auto"/>
              <w:jc w:val="both"/>
              <w:rPr>
                <w:rFonts w:asciiTheme="majorHAnsi" w:eastAsia="Times New Roman" w:hAnsiTheme="majorHAnsi" w:cstheme="majorHAnsi"/>
                <w:color w:val="000000"/>
                <w:shd w:val="clear" w:color="auto" w:fill="FFFFFF"/>
              </w:rPr>
            </w:pPr>
          </w:p>
          <w:p w14:paraId="3DACF497" w14:textId="7F01B1D6" w:rsidR="006B4BA8" w:rsidRPr="00E2457E" w:rsidRDefault="006B4BA8" w:rsidP="00E2457E">
            <w:pPr>
              <w:widowControl w:val="0"/>
              <w:autoSpaceDE w:val="0"/>
              <w:autoSpaceDN w:val="0"/>
              <w:adjustRightInd w:val="0"/>
              <w:spacing w:after="0" w:line="240" w:lineRule="auto"/>
              <w:jc w:val="both"/>
              <w:rPr>
                <w:rFonts w:asciiTheme="majorHAnsi" w:eastAsiaTheme="minorEastAsia" w:hAnsiTheme="majorHAnsi" w:cstheme="majorHAnsi"/>
                <w:color w:val="000000"/>
              </w:rPr>
            </w:pPr>
            <w:r w:rsidRPr="00E2457E">
              <w:rPr>
                <w:rFonts w:asciiTheme="majorHAnsi" w:eastAsiaTheme="minorEastAsia" w:hAnsiTheme="majorHAnsi" w:cstheme="majorHAnsi"/>
                <w:b/>
                <w:bCs/>
                <w:color w:val="000000"/>
              </w:rPr>
              <w:t xml:space="preserve">Health Finance: </w:t>
            </w:r>
            <w:r w:rsidRPr="00E2457E">
              <w:rPr>
                <w:rFonts w:asciiTheme="majorHAnsi" w:eastAsiaTheme="minorEastAsia" w:hAnsiTheme="majorHAnsi" w:cstheme="majorHAnsi"/>
                <w:bCs/>
                <w:color w:val="000000"/>
              </w:rPr>
              <w:t>costing of standardized TB services at the community level for key and vulnerable population group</w:t>
            </w:r>
            <w:r w:rsidR="00823DFD">
              <w:rPr>
                <w:rFonts w:asciiTheme="majorHAnsi" w:eastAsiaTheme="minorEastAsia" w:hAnsiTheme="majorHAnsi" w:cstheme="majorHAnsi"/>
                <w:bCs/>
                <w:color w:val="000000"/>
              </w:rPr>
              <w:t>s</w:t>
            </w:r>
            <w:r w:rsidRPr="00E2457E">
              <w:rPr>
                <w:rFonts w:asciiTheme="majorHAnsi" w:eastAsiaTheme="minorEastAsia" w:hAnsiTheme="majorHAnsi" w:cstheme="majorHAnsi"/>
                <w:bCs/>
                <w:color w:val="000000"/>
              </w:rPr>
              <w:t xml:space="preserve"> and introduction of </w:t>
            </w:r>
            <w:r w:rsidR="00823DFD">
              <w:rPr>
                <w:rFonts w:asciiTheme="majorHAnsi" w:eastAsiaTheme="minorEastAsia" w:hAnsiTheme="majorHAnsi" w:cstheme="majorHAnsi"/>
                <w:bCs/>
                <w:color w:val="000000"/>
              </w:rPr>
              <w:t xml:space="preserve">a </w:t>
            </w:r>
            <w:r w:rsidRPr="00E2457E">
              <w:rPr>
                <w:rFonts w:asciiTheme="majorHAnsi" w:eastAsiaTheme="minorEastAsia" w:hAnsiTheme="majorHAnsi" w:cstheme="majorHAnsi"/>
                <w:bCs/>
                <w:color w:val="000000"/>
              </w:rPr>
              <w:t xml:space="preserve">fee for service payment system </w:t>
            </w:r>
            <w:r w:rsidR="002348FC">
              <w:rPr>
                <w:rFonts w:asciiTheme="majorHAnsi" w:eastAsiaTheme="minorEastAsia" w:hAnsiTheme="majorHAnsi" w:cstheme="majorHAnsi"/>
                <w:bCs/>
                <w:color w:val="000000"/>
              </w:rPr>
              <w:t xml:space="preserve">for NGOs </w:t>
            </w:r>
            <w:r w:rsidRPr="00E2457E">
              <w:rPr>
                <w:rFonts w:asciiTheme="majorHAnsi" w:eastAsiaTheme="minorEastAsia" w:hAnsiTheme="majorHAnsi" w:cstheme="majorHAnsi"/>
                <w:bCs/>
                <w:color w:val="000000"/>
              </w:rPr>
              <w:t xml:space="preserve">will </w:t>
            </w:r>
            <w:r w:rsidR="002348FC">
              <w:rPr>
                <w:rFonts w:asciiTheme="majorHAnsi" w:eastAsiaTheme="minorEastAsia" w:hAnsiTheme="majorHAnsi" w:cstheme="majorHAnsi"/>
                <w:bCs/>
                <w:color w:val="000000"/>
              </w:rPr>
              <w:t xml:space="preserve">contribute to </w:t>
            </w:r>
            <w:r w:rsidRPr="00E2457E">
              <w:rPr>
                <w:rFonts w:asciiTheme="majorHAnsi" w:eastAsiaTheme="minorEastAsia" w:hAnsiTheme="majorHAnsi" w:cstheme="majorHAnsi"/>
                <w:bCs/>
                <w:color w:val="000000"/>
              </w:rPr>
              <w:t>increase</w:t>
            </w:r>
            <w:r w:rsidR="002348FC">
              <w:rPr>
                <w:rFonts w:asciiTheme="majorHAnsi" w:eastAsiaTheme="minorEastAsia" w:hAnsiTheme="majorHAnsi" w:cstheme="majorHAnsi"/>
                <w:bCs/>
                <w:color w:val="000000"/>
              </w:rPr>
              <w:t>d</w:t>
            </w:r>
            <w:r w:rsidRPr="00E2457E">
              <w:rPr>
                <w:rFonts w:asciiTheme="majorHAnsi" w:eastAsiaTheme="minorEastAsia" w:hAnsiTheme="majorHAnsi" w:cstheme="majorHAnsi"/>
                <w:bCs/>
                <w:color w:val="000000"/>
              </w:rPr>
              <w:t xml:space="preserve"> efficiency of the available support, create opportunity for better integration of TB/HIV/COVID-19 and non-medical services at the provider level, and promote the concept of</w:t>
            </w:r>
            <w:r w:rsidRPr="00E2457E">
              <w:rPr>
                <w:rFonts w:asciiTheme="majorHAnsi" w:eastAsiaTheme="minorEastAsia" w:hAnsiTheme="majorHAnsi" w:cstheme="majorHAnsi"/>
                <w:color w:val="000000"/>
              </w:rPr>
              <w:t xml:space="preserve"> </w:t>
            </w:r>
            <w:r w:rsidR="00823DFD" w:rsidRPr="00823DFD">
              <w:rPr>
                <w:rFonts w:asciiTheme="majorHAnsi" w:eastAsiaTheme="minorEastAsia" w:hAnsiTheme="majorHAnsi" w:cstheme="majorHAnsi"/>
                <w:color w:val="000000"/>
              </w:rPr>
              <w:t>the continuum</w:t>
            </w:r>
            <w:r w:rsidRPr="00E2457E">
              <w:rPr>
                <w:rFonts w:asciiTheme="majorHAnsi" w:eastAsiaTheme="minorEastAsia" w:hAnsiTheme="majorHAnsi" w:cstheme="majorHAnsi"/>
                <w:color w:val="000000"/>
              </w:rPr>
              <w:t xml:space="preserve"> of care for better health outcomes. </w:t>
            </w:r>
          </w:p>
          <w:p w14:paraId="2F30103C" w14:textId="77777777" w:rsidR="006B4BA8" w:rsidRPr="00E2457E" w:rsidRDefault="006B4BA8" w:rsidP="00E2457E">
            <w:pPr>
              <w:widowControl w:val="0"/>
              <w:autoSpaceDE w:val="0"/>
              <w:autoSpaceDN w:val="0"/>
              <w:adjustRightInd w:val="0"/>
              <w:spacing w:after="0" w:line="240" w:lineRule="auto"/>
              <w:jc w:val="both"/>
              <w:rPr>
                <w:rFonts w:asciiTheme="majorHAnsi" w:eastAsiaTheme="minorEastAsia" w:hAnsiTheme="majorHAnsi" w:cstheme="majorHAnsi"/>
                <w:color w:val="000000"/>
              </w:rPr>
            </w:pPr>
          </w:p>
          <w:p w14:paraId="61EB9D4B" w14:textId="0E5B6E6D" w:rsidR="006B4BA8" w:rsidRPr="00E2457E" w:rsidRDefault="006B4BA8" w:rsidP="00E2457E">
            <w:pPr>
              <w:spacing w:after="0" w:line="240" w:lineRule="auto"/>
              <w:jc w:val="both"/>
              <w:rPr>
                <w:rFonts w:asciiTheme="majorHAnsi" w:hAnsiTheme="majorHAnsi" w:cstheme="majorHAnsi"/>
              </w:rPr>
            </w:pPr>
            <w:r w:rsidRPr="00E2457E">
              <w:rPr>
                <w:rFonts w:asciiTheme="majorHAnsi" w:eastAsia="Times New Roman" w:hAnsiTheme="majorHAnsi" w:cstheme="majorHAnsi"/>
                <w:b/>
              </w:rPr>
              <w:t xml:space="preserve">Human resources for health: </w:t>
            </w:r>
            <w:r w:rsidRPr="00E2457E">
              <w:rPr>
                <w:rFonts w:asciiTheme="majorHAnsi" w:eastAsia="Times New Roman" w:hAnsiTheme="majorHAnsi" w:cstheme="majorHAnsi"/>
              </w:rPr>
              <w:t xml:space="preserve">for the capacity building perspective, in-service distance learning education on clinical management of TB and lung diseases will be </w:t>
            </w:r>
            <w:r w:rsidR="0092301F">
              <w:rPr>
                <w:rFonts w:asciiTheme="majorHAnsi" w:eastAsia="Times New Roman" w:hAnsiTheme="majorHAnsi" w:cstheme="majorHAnsi"/>
              </w:rPr>
              <w:t xml:space="preserve">further </w:t>
            </w:r>
            <w:r w:rsidRPr="00E2457E">
              <w:rPr>
                <w:rFonts w:asciiTheme="majorHAnsi" w:eastAsia="Times New Roman" w:hAnsiTheme="majorHAnsi" w:cstheme="majorHAnsi"/>
              </w:rPr>
              <w:t>developed and integrated into continuous education system along with support activities.</w:t>
            </w:r>
            <w:r w:rsidR="0092301F">
              <w:rPr>
                <w:rFonts w:asciiTheme="majorHAnsi" w:eastAsia="Times New Roman" w:hAnsiTheme="majorHAnsi" w:cstheme="majorHAnsi"/>
              </w:rPr>
              <w:t xml:space="preserve"> The knowledge gaps in TB and LT</w:t>
            </w:r>
            <w:r w:rsidRPr="00E2457E">
              <w:rPr>
                <w:rFonts w:asciiTheme="majorHAnsi" w:eastAsia="Times New Roman" w:hAnsiTheme="majorHAnsi" w:cstheme="majorHAnsi"/>
              </w:rPr>
              <w:t xml:space="preserve">BI management among health providers will be addressed </w:t>
            </w:r>
            <w:r w:rsidRPr="00E2457E">
              <w:rPr>
                <w:rFonts w:asciiTheme="majorHAnsi" w:hAnsiTheme="majorHAnsi" w:cstheme="majorHAnsi"/>
              </w:rPr>
              <w:t xml:space="preserve">so that they will </w:t>
            </w:r>
            <w:r w:rsidR="009F4E58">
              <w:rPr>
                <w:rFonts w:asciiTheme="majorHAnsi" w:hAnsiTheme="majorHAnsi" w:cstheme="majorHAnsi"/>
              </w:rPr>
              <w:t xml:space="preserve">be </w:t>
            </w:r>
            <w:r w:rsidRPr="00E2457E">
              <w:rPr>
                <w:rFonts w:asciiTheme="majorHAnsi" w:hAnsiTheme="majorHAnsi" w:cstheme="majorHAnsi"/>
              </w:rPr>
              <w:t xml:space="preserve">able to play their full role in stewardship of TB control at the PHC. Moreover, </w:t>
            </w:r>
            <w:r w:rsidRPr="00E2457E">
              <w:rPr>
                <w:rFonts w:asciiTheme="majorHAnsi" w:hAnsiTheme="majorHAnsi" w:cstheme="majorHAnsi"/>
                <w:color w:val="000000"/>
              </w:rPr>
              <w:t xml:space="preserve">capacity </w:t>
            </w:r>
            <w:r w:rsidR="006E2854">
              <w:rPr>
                <w:rFonts w:asciiTheme="majorHAnsi" w:hAnsiTheme="majorHAnsi" w:cstheme="majorHAnsi"/>
                <w:color w:val="000000"/>
              </w:rPr>
              <w:t xml:space="preserve">building efforts </w:t>
            </w:r>
            <w:r w:rsidRPr="00E2457E">
              <w:rPr>
                <w:rFonts w:asciiTheme="majorHAnsi" w:hAnsiTheme="majorHAnsi" w:cstheme="majorHAnsi"/>
                <w:color w:val="000000"/>
              </w:rPr>
              <w:t xml:space="preserve">of the </w:t>
            </w:r>
            <w:r w:rsidR="0092301F">
              <w:rPr>
                <w:rFonts w:asciiTheme="majorHAnsi" w:hAnsiTheme="majorHAnsi" w:cstheme="majorHAnsi"/>
                <w:color w:val="000000"/>
              </w:rPr>
              <w:t xml:space="preserve">central and </w:t>
            </w:r>
            <w:r w:rsidRPr="00E2457E">
              <w:rPr>
                <w:rFonts w:asciiTheme="majorHAnsi" w:hAnsiTheme="majorHAnsi" w:cstheme="majorHAnsi"/>
                <w:color w:val="000000"/>
              </w:rPr>
              <w:t>regional teams in</w:t>
            </w:r>
            <w:r w:rsidR="006E2854">
              <w:rPr>
                <w:rFonts w:asciiTheme="majorHAnsi" w:hAnsiTheme="majorHAnsi" w:cstheme="majorHAnsi"/>
                <w:color w:val="000000"/>
              </w:rPr>
              <w:t xml:space="preserve"> drugs supply management, including </w:t>
            </w:r>
            <w:r w:rsidRPr="00E2457E">
              <w:rPr>
                <w:rFonts w:asciiTheme="majorHAnsi" w:hAnsiTheme="majorHAnsi" w:cstheme="majorHAnsi"/>
                <w:color w:val="000000"/>
              </w:rPr>
              <w:t xml:space="preserve">institutionalization of the digitalized module </w:t>
            </w:r>
            <w:r w:rsidR="006E2854">
              <w:rPr>
                <w:rFonts w:asciiTheme="majorHAnsi" w:hAnsiTheme="majorHAnsi" w:cstheme="majorHAnsi"/>
                <w:color w:val="000000"/>
              </w:rPr>
              <w:t>for</w:t>
            </w:r>
            <w:r w:rsidRPr="00E2457E">
              <w:rPr>
                <w:rFonts w:asciiTheme="majorHAnsi" w:hAnsiTheme="majorHAnsi" w:cstheme="majorHAnsi"/>
                <w:color w:val="000000"/>
              </w:rPr>
              <w:t xml:space="preserve"> forecasting and formulation of the TB annual medicine demand of the </w:t>
            </w:r>
            <w:r w:rsidR="006E2854">
              <w:rPr>
                <w:rFonts w:asciiTheme="majorHAnsi" w:hAnsiTheme="majorHAnsi" w:cstheme="majorHAnsi"/>
                <w:color w:val="000000"/>
              </w:rPr>
              <w:t>regional levels will be further promoted</w:t>
            </w:r>
            <w:r w:rsidRPr="00E2457E">
              <w:rPr>
                <w:rFonts w:asciiTheme="majorHAnsi" w:hAnsiTheme="majorHAnsi" w:cstheme="majorHAnsi"/>
                <w:color w:val="000000"/>
              </w:rPr>
              <w:t xml:space="preserve">. </w:t>
            </w:r>
          </w:p>
          <w:p w14:paraId="26FE3BBC" w14:textId="77777777" w:rsidR="006B4BA8" w:rsidRPr="00E2457E" w:rsidRDefault="006B4BA8" w:rsidP="00E2457E">
            <w:pPr>
              <w:spacing w:after="0" w:line="240" w:lineRule="auto"/>
              <w:jc w:val="both"/>
              <w:rPr>
                <w:rFonts w:asciiTheme="majorHAnsi" w:hAnsiTheme="majorHAnsi" w:cstheme="majorHAnsi"/>
              </w:rPr>
            </w:pPr>
          </w:p>
          <w:p w14:paraId="02466DF2" w14:textId="39F75C77" w:rsidR="006B4BA8" w:rsidRPr="003E58AE" w:rsidRDefault="006B4BA8" w:rsidP="00E2457E">
            <w:pPr>
              <w:spacing w:after="0" w:line="240" w:lineRule="auto"/>
              <w:jc w:val="both"/>
              <w:rPr>
                <w:rFonts w:asciiTheme="majorHAnsi" w:eastAsia="Times New Roman" w:hAnsiTheme="majorHAnsi" w:cstheme="majorHAnsi"/>
              </w:rPr>
            </w:pPr>
            <w:r w:rsidRPr="00E2457E">
              <w:rPr>
                <w:rFonts w:asciiTheme="majorHAnsi" w:eastAsia="Times New Roman" w:hAnsiTheme="majorHAnsi" w:cstheme="majorHAnsi"/>
                <w:b/>
              </w:rPr>
              <w:t xml:space="preserve">Health Management information system. </w:t>
            </w:r>
            <w:r w:rsidR="003E58AE">
              <w:rPr>
                <w:rFonts w:asciiTheme="majorHAnsi" w:eastAsia="Times New Roman" w:hAnsiTheme="majorHAnsi" w:cstheme="majorHAnsi"/>
              </w:rPr>
              <w:t>T</w:t>
            </w:r>
            <w:r w:rsidR="003E58AE" w:rsidRPr="003E58AE">
              <w:rPr>
                <w:rFonts w:asciiTheme="majorHAnsi" w:eastAsia="Times New Roman" w:hAnsiTheme="majorHAnsi" w:cstheme="majorHAnsi"/>
              </w:rPr>
              <w:t xml:space="preserve">he </w:t>
            </w:r>
            <w:r w:rsidR="003E58AE">
              <w:t>t</w:t>
            </w:r>
            <w:r w:rsidR="003E58AE" w:rsidRPr="003E58AE">
              <w:t xml:space="preserve">racking </w:t>
            </w:r>
            <w:r w:rsidR="003E58AE">
              <w:t xml:space="preserve">of </w:t>
            </w:r>
            <w:r w:rsidR="003E58AE" w:rsidRPr="003E58AE">
              <w:t xml:space="preserve">improvements in results requires </w:t>
            </w:r>
            <w:r w:rsidR="009F4E58">
              <w:t xml:space="preserve">a </w:t>
            </w:r>
            <w:r w:rsidR="003E58AE" w:rsidRPr="003E58AE">
              <w:t xml:space="preserve">robust </w:t>
            </w:r>
            <w:r w:rsidR="003E58AE">
              <w:t xml:space="preserve">measurement system. </w:t>
            </w:r>
            <w:r w:rsidRPr="00E2457E">
              <w:rPr>
                <w:rFonts w:asciiTheme="majorHAnsi" w:eastAsia="Times New Roman" w:hAnsiTheme="majorHAnsi" w:cstheme="majorHAnsi"/>
              </w:rPr>
              <w:t xml:space="preserve">The TB recording and </w:t>
            </w:r>
            <w:r w:rsidR="00382BD3">
              <w:rPr>
                <w:rFonts w:asciiTheme="majorHAnsi" w:eastAsia="Times New Roman" w:hAnsiTheme="majorHAnsi" w:cstheme="majorHAnsi"/>
              </w:rPr>
              <w:t>reporting system will be</w:t>
            </w:r>
            <w:r w:rsidRPr="00E2457E">
              <w:rPr>
                <w:rFonts w:asciiTheme="majorHAnsi" w:eastAsia="Times New Roman" w:hAnsiTheme="majorHAnsi" w:cstheme="majorHAnsi"/>
              </w:rPr>
              <w:t xml:space="preserve"> upgraded and harmonized within national health information systems for better data analysis and making full use of routine data for NTP performance improvement. </w:t>
            </w:r>
            <w:r w:rsidR="009F4E58" w:rsidRPr="009F4E58">
              <w:rPr>
                <w:rFonts w:asciiTheme="majorHAnsi" w:hAnsiTheme="majorHAnsi" w:cstheme="majorHAnsi"/>
                <w:color w:val="000000"/>
              </w:rPr>
              <w:t>Expanded eM&amp;E activities to the regional and enhanced monitoring system by sharing quality information, including performance and program management, will assist the MoH in mapping health system deficiencies and opportunities.</w:t>
            </w:r>
          </w:p>
          <w:p w14:paraId="62F49DCD" w14:textId="77777777" w:rsidR="006B4BA8" w:rsidRPr="00E2457E" w:rsidRDefault="006B4BA8" w:rsidP="00E2457E">
            <w:pPr>
              <w:spacing w:after="0" w:line="240" w:lineRule="auto"/>
              <w:rPr>
                <w:rFonts w:asciiTheme="majorHAnsi" w:eastAsia="Times New Roman" w:hAnsiTheme="majorHAnsi" w:cstheme="majorHAnsi"/>
                <w:b/>
              </w:rPr>
            </w:pPr>
          </w:p>
          <w:p w14:paraId="5D9EB655" w14:textId="4E52182A" w:rsidR="0002447B" w:rsidRDefault="006B4BA8" w:rsidP="00E2457E">
            <w:pPr>
              <w:widowControl w:val="0"/>
              <w:autoSpaceDE w:val="0"/>
              <w:autoSpaceDN w:val="0"/>
              <w:adjustRightInd w:val="0"/>
              <w:spacing w:after="0" w:line="240" w:lineRule="auto"/>
              <w:jc w:val="both"/>
              <w:rPr>
                <w:rFonts w:asciiTheme="majorHAnsi" w:hAnsiTheme="majorHAnsi" w:cstheme="majorHAnsi"/>
              </w:rPr>
            </w:pPr>
            <w:r w:rsidRPr="00E2457E">
              <w:rPr>
                <w:rFonts w:asciiTheme="majorHAnsi" w:eastAsiaTheme="minorEastAsia" w:hAnsiTheme="majorHAnsi" w:cstheme="majorHAnsi"/>
                <w:b/>
                <w:bCs/>
                <w:color w:val="000000"/>
              </w:rPr>
              <w:t xml:space="preserve">Community-based service delivery models: </w:t>
            </w:r>
            <w:r w:rsidRPr="00E2457E">
              <w:rPr>
                <w:rFonts w:asciiTheme="majorHAnsi" w:eastAsiaTheme="minorEastAsia" w:hAnsiTheme="majorHAnsi" w:cstheme="majorHAnsi"/>
                <w:color w:val="000000"/>
              </w:rPr>
              <w:t xml:space="preserve">Community system strengthening efforts will </w:t>
            </w:r>
            <w:r w:rsidR="00DD169D">
              <w:rPr>
                <w:rFonts w:asciiTheme="majorHAnsi" w:eastAsiaTheme="minorEastAsia" w:hAnsiTheme="majorHAnsi" w:cstheme="majorHAnsi"/>
                <w:color w:val="000000"/>
              </w:rPr>
              <w:t xml:space="preserve">contribute to </w:t>
            </w:r>
            <w:r w:rsidRPr="00E2457E">
              <w:rPr>
                <w:rFonts w:asciiTheme="majorHAnsi" w:eastAsiaTheme="minorEastAsia" w:hAnsiTheme="majorHAnsi" w:cstheme="majorHAnsi"/>
                <w:color w:val="000000"/>
              </w:rPr>
              <w:t>enhance</w:t>
            </w:r>
            <w:r w:rsidR="00DD169D">
              <w:rPr>
                <w:rFonts w:asciiTheme="majorHAnsi" w:eastAsiaTheme="minorEastAsia" w:hAnsiTheme="majorHAnsi" w:cstheme="majorHAnsi"/>
                <w:color w:val="000000"/>
              </w:rPr>
              <w:t xml:space="preserve">d </w:t>
            </w:r>
            <w:r w:rsidRPr="00E2457E">
              <w:rPr>
                <w:rFonts w:asciiTheme="majorHAnsi" w:eastAsiaTheme="minorEastAsia" w:hAnsiTheme="majorHAnsi" w:cstheme="majorHAnsi"/>
                <w:color w:val="000000"/>
              </w:rPr>
              <w:t xml:space="preserve">local health and social systems and service delivery and promote NGO-led services integration with state guaranteed special medical-social services for individuals and their families that are in difficult life situation, including key population groups based on needs identified. </w:t>
            </w:r>
            <w:r w:rsidRPr="00E2457E">
              <w:rPr>
                <w:rFonts w:asciiTheme="majorHAnsi" w:hAnsiTheme="majorHAnsi" w:cstheme="majorHAnsi"/>
              </w:rPr>
              <w:t>Build on the current achievements high level advocacy for social c</w:t>
            </w:r>
            <w:r w:rsidR="00C9647B">
              <w:rPr>
                <w:rFonts w:asciiTheme="majorHAnsi" w:hAnsiTheme="majorHAnsi" w:cstheme="majorHAnsi"/>
              </w:rPr>
              <w:t xml:space="preserve">ontracting will be intensified for predictable and secured financing. </w:t>
            </w:r>
            <w:r w:rsidR="00BF32BE">
              <w:rPr>
                <w:rFonts w:asciiTheme="majorHAnsi" w:hAnsiTheme="majorHAnsi" w:cstheme="majorHAnsi"/>
              </w:rPr>
              <w:t>Moreover, t</w:t>
            </w:r>
            <w:r w:rsidR="0002447B">
              <w:rPr>
                <w:rFonts w:asciiTheme="majorHAnsi" w:hAnsiTheme="majorHAnsi" w:cstheme="majorHAnsi"/>
              </w:rPr>
              <w:t>he national stop TB partnership will be developed, further strengthenin</w:t>
            </w:r>
            <w:r w:rsidR="005F06F9">
              <w:rPr>
                <w:rFonts w:asciiTheme="majorHAnsi" w:hAnsiTheme="majorHAnsi" w:cstheme="majorHAnsi"/>
              </w:rPr>
              <w:t xml:space="preserve">g the role of civil </w:t>
            </w:r>
            <w:proofErr w:type="gramStart"/>
            <w:r w:rsidR="005F06F9">
              <w:rPr>
                <w:rFonts w:asciiTheme="majorHAnsi" w:hAnsiTheme="majorHAnsi" w:cstheme="majorHAnsi"/>
              </w:rPr>
              <w:t>society</w:t>
            </w:r>
            <w:proofErr w:type="gramEnd"/>
            <w:r w:rsidR="005F06F9">
              <w:rPr>
                <w:rFonts w:asciiTheme="majorHAnsi" w:hAnsiTheme="majorHAnsi" w:cstheme="majorHAnsi"/>
              </w:rPr>
              <w:t xml:space="preserve"> and </w:t>
            </w:r>
            <w:r w:rsidR="0002447B">
              <w:rPr>
                <w:rFonts w:asciiTheme="majorHAnsi" w:hAnsiTheme="majorHAnsi" w:cstheme="majorHAnsi"/>
              </w:rPr>
              <w:t xml:space="preserve">affected population in TB response. </w:t>
            </w:r>
          </w:p>
          <w:p w14:paraId="604BE0D2" w14:textId="77777777" w:rsidR="006B4BA8" w:rsidRPr="00E2457E" w:rsidRDefault="006B4BA8" w:rsidP="00E2457E">
            <w:pPr>
              <w:widowControl w:val="0"/>
              <w:autoSpaceDE w:val="0"/>
              <w:autoSpaceDN w:val="0"/>
              <w:adjustRightInd w:val="0"/>
              <w:spacing w:after="0" w:line="240" w:lineRule="auto"/>
              <w:jc w:val="both"/>
              <w:rPr>
                <w:rFonts w:asciiTheme="majorHAnsi" w:eastAsiaTheme="minorEastAsia" w:hAnsiTheme="majorHAnsi" w:cstheme="majorHAnsi"/>
                <w:color w:val="000000"/>
              </w:rPr>
            </w:pPr>
          </w:p>
          <w:p w14:paraId="456706E0" w14:textId="510221A6" w:rsidR="005F06F9" w:rsidRPr="007E0AFB" w:rsidRDefault="006B4BA8" w:rsidP="007E0AFB">
            <w:pPr>
              <w:spacing w:after="0" w:line="240" w:lineRule="auto"/>
              <w:jc w:val="both"/>
              <w:rPr>
                <w:rFonts w:asciiTheme="majorHAnsi" w:hAnsiTheme="majorHAnsi" w:cstheme="majorHAnsi"/>
                <w:color w:val="000000"/>
              </w:rPr>
            </w:pPr>
            <w:r w:rsidRPr="00E2457E">
              <w:rPr>
                <w:rFonts w:asciiTheme="majorHAnsi" w:hAnsiTheme="majorHAnsi" w:cstheme="majorHAnsi"/>
                <w:color w:val="000000"/>
              </w:rPr>
              <w:t>The country’s</w:t>
            </w:r>
            <w:r w:rsidRPr="00E2457E">
              <w:rPr>
                <w:rFonts w:asciiTheme="majorHAnsi" w:hAnsiTheme="majorHAnsi" w:cstheme="majorHAnsi"/>
                <w:b/>
                <w:color w:val="000000"/>
              </w:rPr>
              <w:t xml:space="preserve"> health research capacity</w:t>
            </w:r>
            <w:r w:rsidRPr="00E2457E">
              <w:rPr>
                <w:rFonts w:asciiTheme="majorHAnsi" w:hAnsiTheme="majorHAnsi" w:cstheme="majorHAnsi"/>
                <w:color w:val="000000"/>
              </w:rPr>
              <w:t xml:space="preserve"> will be further enhanced through</w:t>
            </w:r>
            <w:r w:rsidR="002C471A">
              <w:rPr>
                <w:rFonts w:asciiTheme="majorHAnsi" w:hAnsiTheme="majorHAnsi" w:cstheme="majorHAnsi"/>
                <w:color w:val="000000"/>
              </w:rPr>
              <w:t xml:space="preserve"> the</w:t>
            </w:r>
            <w:r w:rsidRPr="00E2457E">
              <w:rPr>
                <w:rFonts w:asciiTheme="majorHAnsi" w:hAnsiTheme="majorHAnsi" w:cstheme="majorHAnsi"/>
                <w:color w:val="000000"/>
              </w:rPr>
              <w:t xml:space="preserve"> design and conduction of operational research studies in various areas, </w:t>
            </w:r>
            <w:r w:rsidR="005F06F9">
              <w:rPr>
                <w:rFonts w:asciiTheme="majorHAnsi" w:hAnsiTheme="majorHAnsi" w:cstheme="majorHAnsi"/>
                <w:color w:val="000000"/>
              </w:rPr>
              <w:t>informing the NTP decisions in MDR-T</w:t>
            </w:r>
            <w:r w:rsidRPr="00E2457E">
              <w:rPr>
                <w:rFonts w:asciiTheme="majorHAnsi" w:hAnsiTheme="majorHAnsi" w:cstheme="majorHAnsi"/>
                <w:color w:val="000000"/>
              </w:rPr>
              <w:t>B management</w:t>
            </w:r>
            <w:r w:rsidR="006C3675">
              <w:rPr>
                <w:rFonts w:asciiTheme="majorHAnsi" w:hAnsiTheme="majorHAnsi" w:cstheme="majorHAnsi"/>
                <w:color w:val="000000"/>
              </w:rPr>
              <w:t>,</w:t>
            </w:r>
            <w:r w:rsidRPr="00E2457E">
              <w:rPr>
                <w:rFonts w:asciiTheme="majorHAnsi" w:hAnsiTheme="majorHAnsi" w:cstheme="majorHAnsi"/>
                <w:color w:val="000000"/>
              </w:rPr>
              <w:t xml:space="preserve"> and addressing the needs of vulnerable and risk population groups in line with the new WH</w:t>
            </w:r>
            <w:r w:rsidR="005F06F9">
              <w:rPr>
                <w:rFonts w:asciiTheme="majorHAnsi" w:hAnsiTheme="majorHAnsi" w:cstheme="majorHAnsi"/>
                <w:color w:val="000000"/>
              </w:rPr>
              <w:t xml:space="preserve">O guidance and facilitate the transition from the </w:t>
            </w:r>
            <w:r w:rsidRPr="00E2457E">
              <w:rPr>
                <w:rFonts w:asciiTheme="majorHAnsi" w:hAnsiTheme="majorHAnsi" w:cstheme="majorHAnsi"/>
                <w:color w:val="000000"/>
              </w:rPr>
              <w:t>GF</w:t>
            </w:r>
            <w:r w:rsidR="005F06F9">
              <w:rPr>
                <w:rFonts w:asciiTheme="majorHAnsi" w:hAnsiTheme="majorHAnsi" w:cstheme="majorHAnsi"/>
                <w:color w:val="000000"/>
              </w:rPr>
              <w:t xml:space="preserve"> support to government funding by accumulating the evidence</w:t>
            </w:r>
            <w:r w:rsidR="007E0AFB">
              <w:rPr>
                <w:rFonts w:asciiTheme="majorHAnsi" w:hAnsiTheme="majorHAnsi" w:cstheme="majorHAnsi"/>
                <w:color w:val="000000"/>
              </w:rPr>
              <w:t xml:space="preserve"> on treatment outcomes</w:t>
            </w:r>
            <w:r w:rsidR="005F06F9">
              <w:rPr>
                <w:rFonts w:asciiTheme="majorHAnsi" w:hAnsiTheme="majorHAnsi" w:cstheme="majorHAnsi"/>
                <w:color w:val="000000"/>
              </w:rPr>
              <w:t xml:space="preserve"> </w:t>
            </w:r>
            <w:r w:rsidR="00CB1B14">
              <w:rPr>
                <w:rFonts w:asciiTheme="majorHAnsi" w:hAnsiTheme="majorHAnsi" w:cstheme="majorHAnsi"/>
                <w:color w:val="000000"/>
              </w:rPr>
              <w:t>for decision-making</w:t>
            </w:r>
            <w:r w:rsidR="007E0AFB">
              <w:rPr>
                <w:rFonts w:asciiTheme="majorHAnsi" w:hAnsiTheme="majorHAnsi" w:cstheme="majorHAnsi"/>
                <w:color w:val="000000"/>
              </w:rPr>
              <w:t xml:space="preserve"> </w:t>
            </w:r>
            <w:r w:rsidR="007E0AFB">
              <w:rPr>
                <w:rFonts w:asciiTheme="minorHAnsi" w:hAnsiTheme="minorHAnsi" w:cstheme="minorHAnsi"/>
              </w:rPr>
              <w:t>allowing the u</w:t>
            </w:r>
            <w:r w:rsidR="005F06F9" w:rsidRPr="00CE34B1">
              <w:rPr>
                <w:rFonts w:asciiTheme="minorHAnsi" w:hAnsiTheme="minorHAnsi" w:cstheme="minorHAnsi"/>
              </w:rPr>
              <w:t xml:space="preserve">se of </w:t>
            </w:r>
            <w:r w:rsidR="007E0AFB">
              <w:rPr>
                <w:rFonts w:asciiTheme="minorHAnsi" w:hAnsiTheme="minorHAnsi" w:cstheme="minorHAnsi"/>
              </w:rPr>
              <w:t xml:space="preserve">new and short term DR-TB therapies </w:t>
            </w:r>
            <w:r w:rsidR="005F06F9" w:rsidRPr="00CE34B1">
              <w:rPr>
                <w:rFonts w:asciiTheme="minorHAnsi" w:hAnsiTheme="minorHAnsi" w:cstheme="minorHAnsi"/>
              </w:rPr>
              <w:t>programmatically</w:t>
            </w:r>
            <w:r w:rsidR="007E0AFB">
              <w:rPr>
                <w:rFonts w:asciiTheme="minorHAnsi" w:hAnsiTheme="minorHAnsi" w:cstheme="minorHAnsi"/>
              </w:rPr>
              <w:t xml:space="preserve">. </w:t>
            </w:r>
          </w:p>
          <w:p w14:paraId="0502A1FE" w14:textId="2872800F" w:rsidR="006C3675" w:rsidRPr="00E2457E" w:rsidRDefault="006C3675" w:rsidP="005F06F9">
            <w:pPr>
              <w:tabs>
                <w:tab w:val="left" w:pos="8220"/>
              </w:tabs>
              <w:spacing w:after="0" w:line="240" w:lineRule="auto"/>
              <w:jc w:val="both"/>
              <w:rPr>
                <w:rFonts w:asciiTheme="majorHAnsi" w:hAnsiTheme="majorHAnsi" w:cstheme="majorHAnsi"/>
                <w:color w:val="000000"/>
              </w:rPr>
            </w:pPr>
          </w:p>
          <w:p w14:paraId="4F7DFFD2" w14:textId="4D4689FA" w:rsidR="006B4BA8" w:rsidRPr="00E2457E" w:rsidRDefault="006B4BA8" w:rsidP="00E2457E">
            <w:pPr>
              <w:widowControl w:val="0"/>
              <w:autoSpaceDE w:val="0"/>
              <w:autoSpaceDN w:val="0"/>
              <w:adjustRightInd w:val="0"/>
              <w:spacing w:after="0" w:line="240" w:lineRule="auto"/>
              <w:jc w:val="both"/>
              <w:rPr>
                <w:rFonts w:asciiTheme="majorHAnsi" w:eastAsiaTheme="minorEastAsia" w:hAnsiTheme="majorHAnsi" w:cstheme="majorHAnsi"/>
                <w:color w:val="000000"/>
              </w:rPr>
            </w:pPr>
            <w:r w:rsidRPr="00E2457E">
              <w:rPr>
                <w:rFonts w:asciiTheme="majorHAnsi" w:eastAsiaTheme="minorEastAsia" w:hAnsiTheme="majorHAnsi" w:cstheme="majorHAnsi"/>
                <w:b/>
                <w:bCs/>
                <w:color w:val="000000"/>
              </w:rPr>
              <w:t>Health products management systems</w:t>
            </w:r>
            <w:r w:rsidRPr="00E2457E">
              <w:rPr>
                <w:rFonts w:asciiTheme="majorHAnsi" w:eastAsiaTheme="minorEastAsia" w:hAnsiTheme="majorHAnsi" w:cstheme="majorHAnsi"/>
                <w:color w:val="000000"/>
              </w:rPr>
              <w:t xml:space="preserve">: Procurement of TB drugs and other medical products is made through SK Pharmacy. Further work will be carried out to improve </w:t>
            </w:r>
            <w:r w:rsidRPr="00E2457E">
              <w:rPr>
                <w:rFonts w:asciiTheme="majorHAnsi" w:eastAsia="Times New Roman" w:hAnsiTheme="majorHAnsi" w:cstheme="majorHAnsi"/>
              </w:rPr>
              <w:t xml:space="preserve">rules and procedures in drugs procurement management and supply as well as create sufficient capacities in drugs managements at </w:t>
            </w:r>
            <w:r w:rsidR="00732E9C">
              <w:rPr>
                <w:rFonts w:asciiTheme="majorHAnsi" w:eastAsia="Times New Roman" w:hAnsiTheme="majorHAnsi" w:cstheme="majorHAnsi"/>
              </w:rPr>
              <w:t xml:space="preserve">the </w:t>
            </w:r>
            <w:r w:rsidRPr="00E2457E">
              <w:rPr>
                <w:rFonts w:asciiTheme="majorHAnsi" w:eastAsia="Times New Roman" w:hAnsiTheme="majorHAnsi" w:cstheme="majorHAnsi"/>
              </w:rPr>
              <w:t xml:space="preserve">PHC facilities and TB Centers. </w:t>
            </w:r>
          </w:p>
          <w:p w14:paraId="2FCC0816" w14:textId="77777777" w:rsidR="006B4BA8" w:rsidRPr="00E2457E" w:rsidRDefault="006B4BA8" w:rsidP="00E2457E">
            <w:pPr>
              <w:widowControl w:val="0"/>
              <w:autoSpaceDE w:val="0"/>
              <w:autoSpaceDN w:val="0"/>
              <w:adjustRightInd w:val="0"/>
              <w:spacing w:after="0" w:line="240" w:lineRule="auto"/>
              <w:rPr>
                <w:rFonts w:asciiTheme="majorHAnsi" w:eastAsiaTheme="minorEastAsia" w:hAnsiTheme="majorHAnsi" w:cstheme="majorHAnsi"/>
                <w:color w:val="000000"/>
              </w:rPr>
            </w:pPr>
          </w:p>
          <w:p w14:paraId="415F03F1" w14:textId="35E1AB02" w:rsidR="006B4BA8" w:rsidRPr="00C945B8" w:rsidRDefault="006B4BA8" w:rsidP="00C945B8">
            <w:pPr>
              <w:jc w:val="both"/>
              <w:rPr>
                <w:rFonts w:ascii="Times" w:eastAsia="Times New Roman" w:hAnsi="Times" w:cs="Times New Roman"/>
                <w:sz w:val="20"/>
                <w:szCs w:val="20"/>
              </w:rPr>
            </w:pPr>
            <w:r w:rsidRPr="00E2457E">
              <w:rPr>
                <w:rFonts w:asciiTheme="majorHAnsi" w:eastAsiaTheme="minorEastAsia" w:hAnsiTheme="majorHAnsi" w:cstheme="majorHAnsi"/>
                <w:b/>
                <w:bCs/>
                <w:color w:val="000000"/>
              </w:rPr>
              <w:t xml:space="preserve">Laboratory systems: </w:t>
            </w:r>
            <w:r w:rsidR="00C945B8">
              <w:rPr>
                <w:rFonts w:asciiTheme="majorHAnsi" w:hAnsiTheme="majorHAnsi" w:cstheme="majorHAnsi"/>
              </w:rPr>
              <w:t>Scale-up of</w:t>
            </w:r>
            <w:r w:rsidR="006C3675" w:rsidRPr="00C945B8">
              <w:rPr>
                <w:rFonts w:asciiTheme="majorHAnsi" w:hAnsiTheme="majorHAnsi" w:cstheme="majorHAnsi"/>
              </w:rPr>
              <w:t xml:space="preserve"> </w:t>
            </w:r>
            <w:r w:rsidR="00C945B8" w:rsidRPr="00C945B8">
              <w:rPr>
                <w:rFonts w:eastAsia="Times New Roman" w:cs="Arial"/>
                <w:bCs/>
              </w:rPr>
              <w:t>rapid</w:t>
            </w:r>
            <w:r w:rsidR="00C945B8" w:rsidRPr="00C945B8">
              <w:rPr>
                <w:rFonts w:eastAsia="Times New Roman" w:cs="Arial"/>
                <w:shd w:val="clear" w:color="auto" w:fill="FFFFFF"/>
              </w:rPr>
              <w:t> molecular diagnostics</w:t>
            </w:r>
            <w:r w:rsidR="006C3675" w:rsidRPr="00C945B8">
              <w:rPr>
                <w:rFonts w:asciiTheme="majorHAnsi" w:hAnsiTheme="majorHAnsi" w:cstheme="majorHAnsi"/>
              </w:rPr>
              <w:t xml:space="preserve">, </w:t>
            </w:r>
            <w:r w:rsidRPr="00C945B8">
              <w:rPr>
                <w:rFonts w:asciiTheme="majorHAnsi" w:hAnsiTheme="majorHAnsi" w:cstheme="majorHAnsi"/>
              </w:rPr>
              <w:t>besides rapid detection of resistance to second-line drugs, will build up multiplexing diagnostic capacities and facilitate bidirectional screening and testing for TB and COVID-19, as well</w:t>
            </w:r>
            <w:r w:rsidRPr="00E2457E">
              <w:rPr>
                <w:rFonts w:asciiTheme="majorHAnsi" w:hAnsiTheme="majorHAnsi" w:cstheme="majorHAnsi"/>
              </w:rPr>
              <w:t xml:space="preserve"> as integration of diagnostic services for HIV, hepatitis C and other infections, thus strengthening the </w:t>
            </w:r>
            <w:r w:rsidRPr="00B93137">
              <w:rPr>
                <w:rFonts w:asciiTheme="majorHAnsi" w:hAnsiTheme="majorHAnsi" w:cstheme="majorHAnsi"/>
                <w:b/>
              </w:rPr>
              <w:t>health system’s pandemic preparedness and response capabilities.</w:t>
            </w:r>
            <w:r w:rsidR="00732E9C">
              <w:rPr>
                <w:rFonts w:asciiTheme="majorHAnsi" w:hAnsiTheme="majorHAnsi" w:cstheme="majorHAnsi"/>
              </w:rPr>
              <w:t xml:space="preserve"> </w:t>
            </w:r>
          </w:p>
          <w:p w14:paraId="0E3A05E0" w14:textId="790E64DB" w:rsidR="0016549A" w:rsidRPr="00B271DB" w:rsidRDefault="0016549A" w:rsidP="00E2457E">
            <w:pPr>
              <w:spacing w:after="0" w:line="240" w:lineRule="auto"/>
              <w:rPr>
                <w:rFonts w:cs="Arial"/>
              </w:rPr>
            </w:pPr>
          </w:p>
        </w:tc>
      </w:tr>
    </w:tbl>
    <w:p w14:paraId="3D813572" w14:textId="77777777" w:rsidR="00007BFF" w:rsidRDefault="00007BFF" w:rsidP="000E0ACF">
      <w:pPr>
        <w:pStyle w:val="affff3"/>
        <w:spacing w:after="0"/>
        <w:ind w:left="360"/>
        <w:jc w:val="both"/>
        <w:rPr>
          <w:rFonts w:cs="Arial"/>
          <w:bCs/>
          <w:iCs/>
        </w:rPr>
      </w:pPr>
    </w:p>
    <w:p w14:paraId="74D7F96A" w14:textId="3308087C" w:rsidR="00007BFF" w:rsidRPr="00C07F83" w:rsidRDefault="00007BFF" w:rsidP="002B4EA3">
      <w:pPr>
        <w:pStyle w:val="affff3"/>
        <w:numPr>
          <w:ilvl w:val="0"/>
          <w:numId w:val="23"/>
        </w:numPr>
        <w:spacing w:after="0"/>
        <w:ind w:left="360"/>
        <w:jc w:val="both"/>
        <w:rPr>
          <w:rFonts w:cs="Arial"/>
          <w:bCs/>
          <w:iCs/>
        </w:rPr>
      </w:pPr>
      <w:r>
        <w:rPr>
          <w:rFonts w:cs="Arial"/>
          <w:bCs/>
          <w:iCs/>
        </w:rPr>
        <w:t>Summariz</w:t>
      </w:r>
      <w:r w:rsidRPr="00C07F83">
        <w:rPr>
          <w:rFonts w:cs="Arial"/>
          <w:bCs/>
          <w:iCs/>
        </w:rPr>
        <w:t xml:space="preserve">e how the funding request complies with the </w:t>
      </w:r>
      <w:r>
        <w:rPr>
          <w:rFonts w:cs="Arial"/>
          <w:b/>
          <w:bCs/>
          <w:iCs/>
        </w:rPr>
        <w:t>application focus</w:t>
      </w:r>
      <w:r w:rsidRPr="0096146C">
        <w:rPr>
          <w:rFonts w:cs="Arial"/>
          <w:b/>
          <w:bCs/>
          <w:iCs/>
        </w:rPr>
        <w:t xml:space="preserve"> requirements</w:t>
      </w:r>
      <w:r w:rsidRPr="00C07F83">
        <w:rPr>
          <w:rFonts w:cs="Arial"/>
          <w:bCs/>
          <w:iCs/>
        </w:rPr>
        <w:t xml:space="preserve"> specified in the allocation letter.</w:t>
      </w:r>
    </w:p>
    <w:p w14:paraId="13E5C065" w14:textId="47583716" w:rsidR="00007BFF" w:rsidRDefault="00007BFF" w:rsidP="00BE0F0C">
      <w:pPr>
        <w:spacing w:after="0"/>
        <w:rPr>
          <w:rFonts w:cs="Arial"/>
        </w:rPr>
      </w:pPr>
    </w:p>
    <w:tbl>
      <w:tblPr>
        <w:tblStyle w:val="aa"/>
        <w:tblW w:w="0" w:type="auto"/>
        <w:tblLook w:val="04A0" w:firstRow="1" w:lastRow="0" w:firstColumn="1" w:lastColumn="0" w:noHBand="0" w:noVBand="1"/>
      </w:tblPr>
      <w:tblGrid>
        <w:gridCol w:w="10456"/>
      </w:tblGrid>
      <w:tr w:rsidR="00007BFF" w14:paraId="4DBEFCEF" w14:textId="77777777" w:rsidTr="00C07F83">
        <w:tc>
          <w:tcPr>
            <w:tcW w:w="10456" w:type="dxa"/>
          </w:tcPr>
          <w:p w14:paraId="105A9D25" w14:textId="77777777" w:rsidR="00B31E45" w:rsidRDefault="005865D3" w:rsidP="00A502CF">
            <w:pPr>
              <w:pStyle w:val="Default"/>
              <w:jc w:val="both"/>
              <w:rPr>
                <w:sz w:val="22"/>
                <w:szCs w:val="22"/>
              </w:rPr>
            </w:pPr>
            <w:r w:rsidRPr="005865D3">
              <w:rPr>
                <w:sz w:val="22"/>
                <w:szCs w:val="22"/>
              </w:rPr>
              <w:t xml:space="preserve">The funding request is aligned with the requirements specified in the allocation letter. It is focused on investing in improved TB case finding among vulnerable and hard-to-reach population groups, following the latest WHO recommendations. The measures aim to scale up the introduction of new entirely oral treatment regimens and new drugs for DR-TB and enhance people-centered care with a particular focus on key and vulnerable population groups while tackling human rights-related barriers to health and inequalities. </w:t>
            </w:r>
          </w:p>
          <w:p w14:paraId="047D8648" w14:textId="77777777" w:rsidR="00B31E45" w:rsidRDefault="00B31E45" w:rsidP="00A502CF">
            <w:pPr>
              <w:pStyle w:val="Default"/>
              <w:jc w:val="both"/>
              <w:rPr>
                <w:sz w:val="22"/>
                <w:szCs w:val="22"/>
              </w:rPr>
            </w:pPr>
          </w:p>
          <w:p w14:paraId="31292901" w14:textId="7F4B3D59" w:rsidR="00007BFF" w:rsidRDefault="005865D3" w:rsidP="00A502CF">
            <w:pPr>
              <w:pStyle w:val="Default"/>
              <w:jc w:val="both"/>
              <w:rPr>
                <w:sz w:val="22"/>
                <w:szCs w:val="22"/>
              </w:rPr>
            </w:pPr>
            <w:r w:rsidRPr="005865D3">
              <w:rPr>
                <w:sz w:val="22"/>
                <w:szCs w:val="22"/>
              </w:rPr>
              <w:t>Sustainability will be ensured through the integration of interventions in the MoH policies and community-based health and social plans. Sustainable coordination and leadership framework of interaction with the NGO will emphasize its emerging role in addressing socio-economic determinants of TB, healthcare delivery gaps and weaknesses, community-based monitoring, and work around stigma.</w:t>
            </w:r>
          </w:p>
          <w:p w14:paraId="51EEB5BD" w14:textId="09D2E347" w:rsidR="00D33FF4" w:rsidRPr="00A502CF" w:rsidRDefault="00D33FF4" w:rsidP="00A502CF">
            <w:pPr>
              <w:pStyle w:val="Default"/>
              <w:jc w:val="both"/>
              <w:rPr>
                <w:sz w:val="22"/>
                <w:szCs w:val="22"/>
              </w:rPr>
            </w:pPr>
          </w:p>
        </w:tc>
      </w:tr>
    </w:tbl>
    <w:p w14:paraId="7E6105F2" w14:textId="77777777" w:rsidR="00007BFF" w:rsidRPr="00B271DB" w:rsidRDefault="00007BFF" w:rsidP="00485066">
      <w:pPr>
        <w:pStyle w:val="affff3"/>
        <w:ind w:left="360"/>
        <w:rPr>
          <w:rFonts w:cs="Arial"/>
          <w:bCs/>
        </w:rPr>
      </w:pPr>
    </w:p>
    <w:p w14:paraId="7A1FC4BA" w14:textId="4E7FF184" w:rsidR="00007BFF" w:rsidRPr="00172EDE" w:rsidRDefault="00007BFF" w:rsidP="002B4EA3">
      <w:pPr>
        <w:pStyle w:val="affff3"/>
        <w:numPr>
          <w:ilvl w:val="0"/>
          <w:numId w:val="23"/>
        </w:numPr>
        <w:ind w:left="360"/>
        <w:jc w:val="both"/>
        <w:rPr>
          <w:rFonts w:eastAsia="Times New Roman" w:cs="Arial"/>
        </w:rPr>
      </w:pPr>
      <w:r w:rsidRPr="00172EDE">
        <w:t xml:space="preserve">Explain how this funding request reflects </w:t>
      </w:r>
      <w:r w:rsidRPr="00172EDE">
        <w:rPr>
          <w:b/>
          <w:bCs/>
        </w:rPr>
        <w:t>value for money</w:t>
      </w:r>
      <w:r w:rsidRPr="00172EDE">
        <w:t xml:space="preserve">, including examples of improvement in value for money compared to the current allocation period. To respond, refer to the Instructions for the aspects of value for money that should be considered. </w:t>
      </w:r>
    </w:p>
    <w:p w14:paraId="372F75AA" w14:textId="4A825384" w:rsidR="00007BFF" w:rsidRPr="001D57CE" w:rsidRDefault="00007BFF" w:rsidP="00BE0F0C">
      <w:pPr>
        <w:pStyle w:val="affff3"/>
        <w:spacing w:after="0" w:line="260" w:lineRule="atLeast"/>
        <w:rPr>
          <w:rFonts w:cs="Arial"/>
        </w:rPr>
      </w:pPr>
    </w:p>
    <w:tbl>
      <w:tblPr>
        <w:tblStyle w:val="aa"/>
        <w:tblW w:w="0" w:type="auto"/>
        <w:tblLook w:val="04A0" w:firstRow="1" w:lastRow="0" w:firstColumn="1" w:lastColumn="0" w:noHBand="0" w:noVBand="1"/>
      </w:tblPr>
      <w:tblGrid>
        <w:gridCol w:w="10682"/>
      </w:tblGrid>
      <w:tr w:rsidR="00007BFF" w:rsidRPr="001D57CE" w14:paraId="7F7FF100" w14:textId="77777777" w:rsidTr="005279BC">
        <w:tc>
          <w:tcPr>
            <w:tcW w:w="10790" w:type="dxa"/>
          </w:tcPr>
          <w:p w14:paraId="118DFE19" w14:textId="039D8C16" w:rsidR="00914197" w:rsidRPr="004F70E2" w:rsidRDefault="004307D5" w:rsidP="00D33FF4">
            <w:pPr>
              <w:spacing w:before="120" w:line="240" w:lineRule="auto"/>
              <w:jc w:val="both"/>
              <w:rPr>
                <w:rFonts w:ascii="Times" w:eastAsia="Times New Roman" w:hAnsi="Times" w:cs="Times New Roman"/>
                <w:sz w:val="20"/>
                <w:szCs w:val="20"/>
              </w:rPr>
            </w:pPr>
            <w:r w:rsidRPr="004307D5">
              <w:rPr>
                <w:rFonts w:asciiTheme="majorHAnsi" w:hAnsiTheme="majorHAnsi" w:cstheme="majorHAnsi"/>
                <w:shd w:val="clear" w:color="auto" w:fill="FFFFFF"/>
              </w:rPr>
              <w:t>The GF TB funding request for 2023-2025 will integrate the proposed interventions into the national health systems, maximize synergies between domestic and external investments in the national TB response, and fill resource gaps critical for achieving TB epidemic control and eventually ending TB in Kazakhstan. In the funds' allocation, the priority was given to interventions impacting health outcomes and accelerating case detection</w:t>
            </w:r>
            <w:r w:rsidR="00831C8C">
              <w:rPr>
                <w:rFonts w:asciiTheme="majorHAnsi" w:hAnsiTheme="majorHAnsi" w:cstheme="majorHAnsi"/>
                <w:shd w:val="clear" w:color="auto" w:fill="FFFFFF"/>
              </w:rPr>
              <w:t xml:space="preserve"> and </w:t>
            </w:r>
            <w:r w:rsidR="004F70E2" w:rsidRPr="004F70E2">
              <w:rPr>
                <w:rFonts w:eastAsia="Times New Roman" w:cs="Arial"/>
                <w:color w:val="000000"/>
                <w:shd w:val="clear" w:color="auto" w:fill="FFFFFF"/>
              </w:rPr>
              <w:t>prompt </w:t>
            </w:r>
            <w:r w:rsidR="00831C8C">
              <w:rPr>
                <w:rFonts w:asciiTheme="majorHAnsi" w:hAnsiTheme="majorHAnsi" w:cstheme="majorHAnsi"/>
                <w:shd w:val="clear" w:color="auto" w:fill="FFFFFF"/>
              </w:rPr>
              <w:t>treatment initiation</w:t>
            </w:r>
            <w:r w:rsidR="002432B5">
              <w:rPr>
                <w:rFonts w:asciiTheme="majorHAnsi" w:hAnsiTheme="majorHAnsi" w:cstheme="majorHAnsi"/>
                <w:shd w:val="clear" w:color="auto" w:fill="FFFFFF"/>
              </w:rPr>
              <w:t xml:space="preserve">. </w:t>
            </w:r>
            <w:r w:rsidRPr="004307D5">
              <w:rPr>
                <w:rFonts w:asciiTheme="majorHAnsi" w:hAnsiTheme="majorHAnsi" w:cstheme="majorHAnsi"/>
                <w:shd w:val="clear" w:color="auto" w:fill="FFFFFF"/>
              </w:rPr>
              <w:t>It also balances the use of the funds to advance the disease control country's efforts in meeti</w:t>
            </w:r>
            <w:r w:rsidR="002432B5">
              <w:rPr>
                <w:rFonts w:asciiTheme="majorHAnsi" w:hAnsiTheme="majorHAnsi" w:cstheme="majorHAnsi"/>
                <w:shd w:val="clear" w:color="auto" w:fill="FFFFFF"/>
              </w:rPr>
              <w:t>ng the global targets while</w:t>
            </w:r>
            <w:r w:rsidRPr="004307D5">
              <w:rPr>
                <w:rFonts w:asciiTheme="majorHAnsi" w:hAnsiTheme="majorHAnsi" w:cstheme="majorHAnsi"/>
                <w:shd w:val="clear" w:color="auto" w:fill="FFFFFF"/>
              </w:rPr>
              <w:t xml:space="preserve"> building the NTP capacity and health systems to sustain achievements gained in the future. </w:t>
            </w:r>
          </w:p>
          <w:p w14:paraId="5997A4B6" w14:textId="7F9706E0" w:rsidR="00CD643E" w:rsidRPr="00CD643E" w:rsidRDefault="00831C8C" w:rsidP="00B72AD7">
            <w:pPr>
              <w:jc w:val="both"/>
              <w:rPr>
                <w:rFonts w:asciiTheme="majorHAnsi" w:hAnsiTheme="majorHAnsi" w:cstheme="majorHAnsi"/>
                <w:shd w:val="clear" w:color="auto" w:fill="FFFFFF"/>
              </w:rPr>
            </w:pPr>
            <w:r w:rsidRPr="00831C8C">
              <w:rPr>
                <w:rFonts w:asciiTheme="majorHAnsi" w:hAnsiTheme="majorHAnsi" w:cstheme="majorHAnsi"/>
                <w:b/>
                <w:shd w:val="clear" w:color="auto" w:fill="FFFFFF"/>
              </w:rPr>
              <w:t>Economy.</w:t>
            </w:r>
            <w:r>
              <w:rPr>
                <w:rFonts w:asciiTheme="majorHAnsi" w:hAnsiTheme="majorHAnsi" w:cstheme="majorHAnsi"/>
                <w:shd w:val="clear" w:color="auto" w:fill="FFFFFF"/>
              </w:rPr>
              <w:t xml:space="preserve"> </w:t>
            </w:r>
            <w:r w:rsidRPr="003125AE">
              <w:rPr>
                <w:rFonts w:cs="Arial"/>
                <w:shd w:val="clear" w:color="auto" w:fill="FFFFFF"/>
              </w:rPr>
              <w:t xml:space="preserve">In the budgeting phase, the </w:t>
            </w:r>
            <w:r>
              <w:rPr>
                <w:rFonts w:cs="Arial"/>
                <w:shd w:val="clear" w:color="auto" w:fill="FFFFFF"/>
              </w:rPr>
              <w:t>reference</w:t>
            </w:r>
            <w:r w:rsidRPr="003125AE">
              <w:rPr>
                <w:rFonts w:cs="Arial"/>
                <w:shd w:val="clear" w:color="auto" w:fill="FFFFFF"/>
              </w:rPr>
              <w:t xml:space="preserve"> prices for quality-assured medical products and suppli</w:t>
            </w:r>
            <w:r>
              <w:rPr>
                <w:rFonts w:cs="Arial"/>
                <w:shd w:val="clear" w:color="auto" w:fill="FFFFFF"/>
              </w:rPr>
              <w:t>es were obtained from both the w</w:t>
            </w:r>
            <w:r w:rsidRPr="003125AE">
              <w:rPr>
                <w:rFonts w:cs="Arial"/>
                <w:shd w:val="clear" w:color="auto" w:fill="FFFFFF"/>
              </w:rPr>
              <w:t>ambо</w:t>
            </w:r>
            <w:r>
              <w:rPr>
                <w:rFonts w:cs="Arial"/>
                <w:shd w:val="clear" w:color="auto" w:fill="FFFFFF"/>
              </w:rPr>
              <w:t>.org</w:t>
            </w:r>
            <w:r w:rsidRPr="003125AE">
              <w:rPr>
                <w:rFonts w:cs="Arial"/>
                <w:shd w:val="clear" w:color="auto" w:fill="FFFFFF"/>
              </w:rPr>
              <w:t xml:space="preserve"> </w:t>
            </w:r>
            <w:r>
              <w:rPr>
                <w:rFonts w:cs="Arial"/>
                <w:shd w:val="clear" w:color="auto" w:fill="FFFFFF"/>
              </w:rPr>
              <w:t xml:space="preserve">and GDF </w:t>
            </w:r>
            <w:r w:rsidRPr="003125AE">
              <w:rPr>
                <w:rFonts w:cs="Arial"/>
                <w:shd w:val="clear" w:color="auto" w:fill="FFFFFF"/>
              </w:rPr>
              <w:t>platform</w:t>
            </w:r>
            <w:r>
              <w:rPr>
                <w:rFonts w:cs="Arial"/>
                <w:shd w:val="clear" w:color="auto" w:fill="FFFFFF"/>
              </w:rPr>
              <w:t>s,</w:t>
            </w:r>
            <w:r w:rsidRPr="003125AE">
              <w:rPr>
                <w:rFonts w:cs="Arial"/>
                <w:shd w:val="clear" w:color="auto" w:fill="FFFFFF"/>
              </w:rPr>
              <w:t xml:space="preserve"> and </w:t>
            </w:r>
            <w:r>
              <w:rPr>
                <w:rFonts w:cs="Arial"/>
                <w:shd w:val="clear" w:color="auto" w:fill="FFFFFF"/>
              </w:rPr>
              <w:t xml:space="preserve">the lowest </w:t>
            </w:r>
            <w:r w:rsidR="0051540D">
              <w:rPr>
                <w:rFonts w:cs="Arial"/>
                <w:shd w:val="clear" w:color="auto" w:fill="FFFFFF"/>
              </w:rPr>
              <w:t xml:space="preserve">sustainable </w:t>
            </w:r>
            <w:r w:rsidRPr="003125AE">
              <w:rPr>
                <w:rFonts w:cs="Arial"/>
                <w:shd w:val="clear" w:color="auto" w:fill="FFFFFF"/>
              </w:rPr>
              <w:t>price offers</w:t>
            </w:r>
            <w:r w:rsidR="00ED79DB">
              <w:rPr>
                <w:rStyle w:val="af"/>
                <w:rFonts w:cs="Arial"/>
                <w:shd w:val="clear" w:color="auto" w:fill="FFFFFF"/>
              </w:rPr>
              <w:footnoteReference w:id="76"/>
            </w:r>
            <w:r w:rsidRPr="003125AE">
              <w:rPr>
                <w:rFonts w:cs="Arial"/>
                <w:shd w:val="clear" w:color="auto" w:fill="FFFFFF"/>
              </w:rPr>
              <w:t xml:space="preserve"> </w:t>
            </w:r>
            <w:r>
              <w:rPr>
                <w:rFonts w:cs="Arial"/>
                <w:shd w:val="clear" w:color="auto" w:fill="FFFFFF"/>
              </w:rPr>
              <w:t xml:space="preserve">of </w:t>
            </w:r>
            <w:r w:rsidRPr="003125AE">
              <w:rPr>
                <w:rFonts w:cs="Arial"/>
                <w:shd w:val="clear" w:color="auto" w:fill="FFFFFF"/>
              </w:rPr>
              <w:t xml:space="preserve">the local suppliers depending on the procurement </w:t>
            </w:r>
            <w:r>
              <w:rPr>
                <w:rFonts w:cs="Arial"/>
                <w:shd w:val="clear" w:color="auto" w:fill="FFFFFF"/>
              </w:rPr>
              <w:t xml:space="preserve">strategy to be applied, </w:t>
            </w:r>
            <w:r w:rsidRPr="003125AE">
              <w:rPr>
                <w:rFonts w:cs="Arial"/>
                <w:shd w:val="clear" w:color="auto" w:fill="FFFFFF"/>
              </w:rPr>
              <w:t xml:space="preserve">contributing to </w:t>
            </w:r>
            <w:r>
              <w:rPr>
                <w:rFonts w:cs="Arial"/>
                <w:shd w:val="clear" w:color="auto" w:fill="FFFFFF"/>
              </w:rPr>
              <w:t xml:space="preserve">the </w:t>
            </w:r>
            <w:r w:rsidRPr="003125AE">
              <w:rPr>
                <w:rFonts w:cs="Arial"/>
                <w:shd w:val="clear" w:color="auto" w:fill="FFFFFF"/>
              </w:rPr>
              <w:t xml:space="preserve">value for money. </w:t>
            </w:r>
            <w:r w:rsidR="006B4772">
              <w:rPr>
                <w:rFonts w:cs="Arial"/>
                <w:shd w:val="clear" w:color="auto" w:fill="FFFFFF"/>
              </w:rPr>
              <w:t>As the</w:t>
            </w:r>
            <w:r w:rsidR="006B4772" w:rsidRPr="006B4772">
              <w:rPr>
                <w:rFonts w:cs="Arial"/>
                <w:shd w:val="clear" w:color="auto" w:fill="FFFFFF"/>
              </w:rPr>
              <w:t xml:space="preserve"> reference, Kazakstan's Single Drug Distributor SK Pharmatsia's prices and data from the manufacturers and suppliers in the state registry were also considered in defining budgets for specific medical supplies</w:t>
            </w:r>
            <w:r w:rsidR="006B4772">
              <w:rPr>
                <w:rFonts w:cs="Arial"/>
                <w:shd w:val="clear" w:color="auto" w:fill="FFFFFF"/>
              </w:rPr>
              <w:t xml:space="preserve">. </w:t>
            </w:r>
            <w:r w:rsidR="00B72AD7" w:rsidRPr="00B72AD7">
              <w:rPr>
                <w:rFonts w:cs="Arial"/>
                <w:shd w:val="clear" w:color="auto" w:fill="FFFFFF"/>
              </w:rPr>
              <w:t>The country has applied the WHO</w:t>
            </w:r>
            <w:r w:rsidR="00B72AD7">
              <w:rPr>
                <w:rFonts w:cs="Arial"/>
                <w:shd w:val="clear" w:color="auto" w:fill="FFFFFF"/>
              </w:rPr>
              <w:t>’s</w:t>
            </w:r>
            <w:r w:rsidR="00B72AD7" w:rsidRPr="00B72AD7">
              <w:rPr>
                <w:rFonts w:cs="Arial"/>
                <w:shd w:val="clear" w:color="auto" w:fill="FFFFFF"/>
              </w:rPr>
              <w:t xml:space="preserve"> and technical partners</w:t>
            </w:r>
            <w:r w:rsidR="00B72AD7">
              <w:rPr>
                <w:rFonts w:cs="Arial"/>
                <w:shd w:val="clear" w:color="auto" w:fill="FFFFFF"/>
              </w:rPr>
              <w:t>’</w:t>
            </w:r>
            <w:r w:rsidR="00B72AD7" w:rsidRPr="00B72AD7">
              <w:rPr>
                <w:rFonts w:cs="Arial"/>
                <w:shd w:val="clear" w:color="auto" w:fill="FFFFFF"/>
              </w:rPr>
              <w:t xml:space="preserve"> recommendations and tools in defining priority population groups for systematic screenings and key population groups to be targeted by NGO' cos</w:t>
            </w:r>
            <w:r w:rsidR="00B72AD7">
              <w:rPr>
                <w:rFonts w:cs="Arial"/>
                <w:shd w:val="clear" w:color="auto" w:fill="FFFFFF"/>
              </w:rPr>
              <w:t>t-effective preventive measures,</w:t>
            </w:r>
            <w:r w:rsidR="00B72AD7" w:rsidRPr="00B72AD7">
              <w:rPr>
                <w:rFonts w:cs="Arial"/>
                <w:shd w:val="clear" w:color="auto" w:fill="FFFFFF"/>
              </w:rPr>
              <w:t xml:space="preserve"> in developing and refining TB diagnostic and treatment algorithms linked with introduction and expansion of molecular methods f</w:t>
            </w:r>
            <w:r w:rsidR="00B72AD7">
              <w:rPr>
                <w:rFonts w:cs="Arial"/>
                <w:shd w:val="clear" w:color="auto" w:fill="FFFFFF"/>
              </w:rPr>
              <w:t>or quality rapid TB diagnostics,</w:t>
            </w:r>
            <w:r w:rsidR="00B72AD7" w:rsidRPr="00B72AD7">
              <w:rPr>
                <w:rFonts w:cs="Arial"/>
                <w:shd w:val="clear" w:color="auto" w:fill="FFFFFF"/>
              </w:rPr>
              <w:t xml:space="preserve"> the introduction of the BPaL regimen and expansion of the use of fully oral modified shorter regimens for DR-TB patient</w:t>
            </w:r>
            <w:r w:rsidR="00B72AD7">
              <w:rPr>
                <w:rFonts w:cs="Arial"/>
                <w:shd w:val="clear" w:color="auto" w:fill="FFFFFF"/>
              </w:rPr>
              <w:t>s</w:t>
            </w:r>
            <w:r w:rsidR="00B72AD7" w:rsidRPr="00B72AD7">
              <w:rPr>
                <w:rFonts w:cs="Arial"/>
                <w:shd w:val="clear" w:color="auto" w:fill="FFFFFF"/>
              </w:rPr>
              <w:t xml:space="preserve"> under the OR c</w:t>
            </w:r>
            <w:r w:rsidR="00B72AD7">
              <w:rPr>
                <w:rFonts w:cs="Arial"/>
                <w:shd w:val="clear" w:color="auto" w:fill="FFFFFF"/>
              </w:rPr>
              <w:t>onditions, and preparing the NTP</w:t>
            </w:r>
            <w:r w:rsidR="00B72AD7" w:rsidRPr="00B72AD7">
              <w:rPr>
                <w:rFonts w:cs="Arial"/>
                <w:shd w:val="clear" w:color="auto" w:fill="FFFFFF"/>
              </w:rPr>
              <w:t xml:space="preserve"> through </w:t>
            </w:r>
            <w:r w:rsidR="00B72AD7">
              <w:rPr>
                <w:rFonts w:cs="Arial"/>
                <w:shd w:val="clear" w:color="auto" w:fill="FFFFFF"/>
              </w:rPr>
              <w:t xml:space="preserve">the </w:t>
            </w:r>
            <w:r w:rsidR="00B72AD7" w:rsidRPr="00B72AD7">
              <w:rPr>
                <w:rFonts w:cs="Arial"/>
                <w:shd w:val="clear" w:color="auto" w:fill="FFFFFF"/>
              </w:rPr>
              <w:t xml:space="preserve">capacity strengthening efforts enabling the efficient implementation of these </w:t>
            </w:r>
            <w:r w:rsidR="00B72AD7" w:rsidRPr="00CD643E">
              <w:rPr>
                <w:rFonts w:asciiTheme="majorHAnsi" w:hAnsiTheme="majorHAnsi" w:cstheme="majorHAnsi"/>
                <w:shd w:val="clear" w:color="auto" w:fill="FFFFFF"/>
              </w:rPr>
              <w:t xml:space="preserve">recommendations and gradual transition to financing from domestic resources. The planned education interventions will be designed using the WHO guidelines and </w:t>
            </w:r>
            <w:r w:rsidR="009F640A" w:rsidRPr="00CD643E">
              <w:rPr>
                <w:rFonts w:asciiTheme="majorHAnsi" w:hAnsiTheme="majorHAnsi" w:cstheme="majorHAnsi"/>
                <w:shd w:val="clear" w:color="auto" w:fill="FFFFFF"/>
              </w:rPr>
              <w:t xml:space="preserve">refined domestic </w:t>
            </w:r>
            <w:r w:rsidR="00B72AD7" w:rsidRPr="00CD643E">
              <w:rPr>
                <w:rFonts w:asciiTheme="majorHAnsi" w:hAnsiTheme="majorHAnsi" w:cstheme="majorHAnsi"/>
                <w:shd w:val="clear" w:color="auto" w:fill="FFFFFF"/>
              </w:rPr>
              <w:t xml:space="preserve">documents on </w:t>
            </w:r>
            <w:r w:rsidR="009F640A" w:rsidRPr="00CD643E">
              <w:rPr>
                <w:rFonts w:asciiTheme="majorHAnsi" w:hAnsiTheme="majorHAnsi" w:cstheme="majorHAnsi"/>
                <w:shd w:val="clear" w:color="auto" w:fill="FFFFFF"/>
              </w:rPr>
              <w:t xml:space="preserve">DR-TB and LTBI </w:t>
            </w:r>
            <w:r w:rsidR="00B72AD7" w:rsidRPr="00CD643E">
              <w:rPr>
                <w:rFonts w:asciiTheme="majorHAnsi" w:hAnsiTheme="majorHAnsi" w:cstheme="majorHAnsi"/>
                <w:shd w:val="clear" w:color="auto" w:fill="FFFFFF"/>
              </w:rPr>
              <w:t>case</w:t>
            </w:r>
            <w:r w:rsidR="009F640A" w:rsidRPr="00CD643E">
              <w:rPr>
                <w:rFonts w:asciiTheme="majorHAnsi" w:hAnsiTheme="majorHAnsi" w:cstheme="majorHAnsi"/>
                <w:shd w:val="clear" w:color="auto" w:fill="FFFFFF"/>
              </w:rPr>
              <w:t>s</w:t>
            </w:r>
            <w:r w:rsidR="00B72AD7" w:rsidRPr="00CD643E">
              <w:rPr>
                <w:rFonts w:asciiTheme="majorHAnsi" w:hAnsiTheme="majorHAnsi" w:cstheme="majorHAnsi"/>
                <w:shd w:val="clear" w:color="auto" w:fill="FFFFFF"/>
              </w:rPr>
              <w:t xml:space="preserve"> management.</w:t>
            </w:r>
            <w:r w:rsidR="00AE7BA7" w:rsidRPr="00CD643E">
              <w:rPr>
                <w:rFonts w:asciiTheme="majorHAnsi" w:hAnsiTheme="majorHAnsi" w:cstheme="majorHAnsi"/>
                <w:shd w:val="clear" w:color="auto" w:fill="FFFFFF"/>
              </w:rPr>
              <w:t xml:space="preserve"> Moreove</w:t>
            </w:r>
            <w:r w:rsidR="00CD643E">
              <w:rPr>
                <w:rFonts w:asciiTheme="majorHAnsi" w:hAnsiTheme="majorHAnsi" w:cstheme="majorHAnsi"/>
                <w:shd w:val="clear" w:color="auto" w:fill="FFFFFF"/>
              </w:rPr>
              <w:t xml:space="preserve">r, the adopted internal and </w:t>
            </w:r>
            <w:r w:rsidR="00AE7BA7" w:rsidRPr="00CD643E">
              <w:rPr>
                <w:rFonts w:asciiTheme="majorHAnsi" w:hAnsiTheme="majorHAnsi" w:cstheme="majorHAnsi"/>
                <w:shd w:val="clear" w:color="auto" w:fill="FFFFFF"/>
              </w:rPr>
              <w:t xml:space="preserve">external mechanisms for supportive supervision and monitoring will contribute to minimizing </w:t>
            </w:r>
            <w:r w:rsidR="00AE7BA7" w:rsidRPr="00CD643E">
              <w:rPr>
                <w:rFonts w:asciiTheme="majorHAnsi" w:hAnsiTheme="majorHAnsi" w:cstheme="majorHAnsi"/>
              </w:rPr>
              <w:t>waste by comparing performance between care providers in TB control within a reg</w:t>
            </w:r>
            <w:r w:rsidR="00203511">
              <w:rPr>
                <w:rFonts w:asciiTheme="majorHAnsi" w:hAnsiTheme="majorHAnsi" w:cstheme="majorHAnsi"/>
              </w:rPr>
              <w:t>ion and</w:t>
            </w:r>
            <w:r w:rsidR="00AE7BA7" w:rsidRPr="00CD643E">
              <w:rPr>
                <w:rFonts w:asciiTheme="majorHAnsi" w:hAnsiTheme="majorHAnsi" w:cstheme="majorHAnsi"/>
              </w:rPr>
              <w:t xml:space="preserve"> across the same care providers within the country. </w:t>
            </w:r>
            <w:r w:rsidR="00CD643E" w:rsidRPr="00CD643E">
              <w:rPr>
                <w:rFonts w:asciiTheme="majorHAnsi" w:hAnsiTheme="majorHAnsi" w:cstheme="majorHAnsi"/>
              </w:rPr>
              <w:t xml:space="preserve">Furthermore, the grant </w:t>
            </w:r>
            <w:r w:rsidR="00203511">
              <w:rPr>
                <w:rFonts w:asciiTheme="majorHAnsi" w:hAnsiTheme="majorHAnsi" w:cstheme="majorHAnsi"/>
                <w:b/>
                <w:bCs/>
                <w:color w:val="000000"/>
              </w:rPr>
              <w:t>i</w:t>
            </w:r>
            <w:r w:rsidR="00CD643E" w:rsidRPr="00CD643E">
              <w:rPr>
                <w:rFonts w:asciiTheme="majorHAnsi" w:hAnsiTheme="majorHAnsi" w:cstheme="majorHAnsi"/>
                <w:bCs/>
                <w:color w:val="000000"/>
              </w:rPr>
              <w:t xml:space="preserve">mplementation arrangements </w:t>
            </w:r>
            <w:r w:rsidR="00CD643E" w:rsidRPr="00CD643E">
              <w:rPr>
                <w:rFonts w:asciiTheme="majorHAnsi" w:hAnsiTheme="majorHAnsi" w:cstheme="majorHAnsi"/>
                <w:color w:val="000000"/>
              </w:rPr>
              <w:t xml:space="preserve">are designed to minimize </w:t>
            </w:r>
            <w:r w:rsidR="00915EE4">
              <w:rPr>
                <w:rFonts w:asciiTheme="majorHAnsi" w:hAnsiTheme="majorHAnsi" w:cstheme="majorHAnsi"/>
                <w:color w:val="000000"/>
              </w:rPr>
              <w:t>o</w:t>
            </w:r>
            <w:r w:rsidR="00CD643E" w:rsidRPr="00CD643E">
              <w:rPr>
                <w:rFonts w:asciiTheme="majorHAnsi" w:hAnsiTheme="majorHAnsi" w:cstheme="majorHAnsi"/>
                <w:color w:val="000000"/>
              </w:rPr>
              <w:t>perational waste and respond to programmatic risks and bottlenecks.</w:t>
            </w:r>
          </w:p>
          <w:p w14:paraId="2909690D" w14:textId="3E6C10B5" w:rsidR="003B493D" w:rsidRPr="00775854" w:rsidRDefault="009F640A" w:rsidP="003B493D">
            <w:pPr>
              <w:jc w:val="both"/>
              <w:rPr>
                <w:rFonts w:asciiTheme="majorHAnsi" w:hAnsiTheme="majorHAnsi"/>
              </w:rPr>
            </w:pPr>
            <w:r w:rsidRPr="009F640A">
              <w:rPr>
                <w:rFonts w:asciiTheme="majorHAnsi" w:hAnsiTheme="majorHAnsi" w:cstheme="majorHAnsi"/>
                <w:b/>
                <w:shd w:val="clear" w:color="auto" w:fill="FFFFFF"/>
              </w:rPr>
              <w:t xml:space="preserve">Allocative efficiency. </w:t>
            </w:r>
            <w:r w:rsidR="003B493D">
              <w:rPr>
                <w:rFonts w:asciiTheme="majorHAnsi" w:hAnsiTheme="majorHAnsi" w:cstheme="majorHAnsi"/>
                <w:shd w:val="clear" w:color="auto" w:fill="FFFFFF"/>
              </w:rPr>
              <w:t>The GF gra</w:t>
            </w:r>
            <w:r w:rsidR="00BB488C" w:rsidRPr="003B493D">
              <w:rPr>
                <w:rFonts w:asciiTheme="majorHAnsi" w:hAnsiTheme="majorHAnsi" w:cstheme="majorHAnsi"/>
                <w:shd w:val="clear" w:color="auto" w:fill="FFFFFF"/>
              </w:rPr>
              <w:t>nt</w:t>
            </w:r>
            <w:r w:rsidR="003B493D">
              <w:rPr>
                <w:rFonts w:asciiTheme="majorHAnsi" w:hAnsiTheme="majorHAnsi" w:cstheme="majorHAnsi"/>
                <w:shd w:val="clear" w:color="auto" w:fill="FFFFFF"/>
              </w:rPr>
              <w:t>’</w:t>
            </w:r>
            <w:r w:rsidR="00BB488C" w:rsidRPr="003B493D">
              <w:rPr>
                <w:rFonts w:asciiTheme="majorHAnsi" w:hAnsiTheme="majorHAnsi" w:cstheme="majorHAnsi"/>
                <w:shd w:val="clear" w:color="auto" w:fill="FFFFFF"/>
              </w:rPr>
              <w:t xml:space="preserve"> </w:t>
            </w:r>
            <w:r w:rsidR="00BB488C" w:rsidRPr="003B493D">
              <w:rPr>
                <w:rFonts w:cs="Arial"/>
                <w:color w:val="000000"/>
              </w:rPr>
              <w:t>a</w:t>
            </w:r>
            <w:r w:rsidR="002127A7" w:rsidRPr="003B493D">
              <w:rPr>
                <w:rFonts w:cs="Arial"/>
                <w:color w:val="000000"/>
              </w:rPr>
              <w:t>vailable resources are strategically allocated across</w:t>
            </w:r>
            <w:r w:rsidR="00BB488C" w:rsidRPr="003B493D">
              <w:rPr>
                <w:rFonts w:cs="Arial"/>
                <w:color w:val="000000"/>
              </w:rPr>
              <w:t xml:space="preserve"> the</w:t>
            </w:r>
            <w:r w:rsidR="002127A7" w:rsidRPr="003B493D">
              <w:rPr>
                <w:rFonts w:cs="Arial"/>
                <w:color w:val="000000"/>
              </w:rPr>
              <w:t xml:space="preserve"> interventions, geographies</w:t>
            </w:r>
            <w:r w:rsidR="00203511">
              <w:rPr>
                <w:rFonts w:cs="Arial"/>
                <w:color w:val="000000"/>
              </w:rPr>
              <w:t>,</w:t>
            </w:r>
            <w:r w:rsidR="002127A7" w:rsidRPr="003B493D">
              <w:rPr>
                <w:rFonts w:cs="Arial"/>
                <w:color w:val="000000"/>
              </w:rPr>
              <w:t xml:space="preserve"> and population groups </w:t>
            </w:r>
            <w:r w:rsidR="00BB488C" w:rsidRPr="003B493D">
              <w:rPr>
                <w:rFonts w:cs="Arial"/>
                <w:color w:val="000000"/>
              </w:rPr>
              <w:t>at higher risk of transmission to maximize the project impact</w:t>
            </w:r>
            <w:r w:rsidR="002127A7" w:rsidRPr="003B493D">
              <w:rPr>
                <w:rFonts w:cs="Arial"/>
                <w:color w:val="000000"/>
              </w:rPr>
              <w:t xml:space="preserve">. </w:t>
            </w:r>
            <w:r w:rsidR="00D508CF" w:rsidRPr="003B493D">
              <w:rPr>
                <w:rFonts w:asciiTheme="majorHAnsi" w:hAnsiTheme="majorHAnsi" w:cstheme="majorHAnsi"/>
              </w:rPr>
              <w:t xml:space="preserve">The key principles laid out in the prioritization approach were that the interventions should be based on the country's needs, guided by the Comprehensive Plan, the program’ technical reviews and the recent WHO </w:t>
            </w:r>
            <w:r w:rsidR="003B493D">
              <w:rPr>
                <w:rFonts w:asciiTheme="majorHAnsi" w:hAnsiTheme="majorHAnsi" w:cstheme="majorHAnsi"/>
              </w:rPr>
              <w:t>and Stop TB recommendations in investing resources</w:t>
            </w:r>
            <w:r w:rsidR="003B493D" w:rsidRPr="003B493D">
              <w:rPr>
                <w:rFonts w:asciiTheme="majorHAnsi" w:hAnsiTheme="majorHAnsi"/>
                <w:vertAlign w:val="superscript"/>
              </w:rPr>
              <w:footnoteReference w:id="77"/>
            </w:r>
            <w:r w:rsidR="003B493D">
              <w:rPr>
                <w:rFonts w:asciiTheme="majorHAnsi" w:hAnsiTheme="majorHAnsi" w:cstheme="majorHAnsi"/>
              </w:rPr>
              <w:t xml:space="preserve"> that will </w:t>
            </w:r>
            <w:r w:rsidR="00D508CF" w:rsidRPr="003B493D">
              <w:rPr>
                <w:rFonts w:asciiTheme="majorHAnsi" w:hAnsiTheme="majorHAnsi" w:cstheme="majorHAnsi"/>
              </w:rPr>
              <w:t>maximize the current national TB response</w:t>
            </w:r>
            <w:r w:rsidR="003B493D">
              <w:rPr>
                <w:rFonts w:asciiTheme="majorHAnsi" w:hAnsiTheme="majorHAnsi" w:cstheme="majorHAnsi"/>
              </w:rPr>
              <w:t xml:space="preserve">, including (i) </w:t>
            </w:r>
            <w:r w:rsidR="003B493D">
              <w:rPr>
                <w:rFonts w:asciiTheme="majorHAnsi" w:hAnsiTheme="majorHAnsi"/>
              </w:rPr>
              <w:t>s</w:t>
            </w:r>
            <w:r w:rsidR="002127A7">
              <w:rPr>
                <w:rFonts w:asciiTheme="majorHAnsi" w:hAnsiTheme="majorHAnsi"/>
              </w:rPr>
              <w:t>caling</w:t>
            </w:r>
            <w:r w:rsidR="002127A7" w:rsidRPr="008B70F7">
              <w:rPr>
                <w:rFonts w:asciiTheme="majorHAnsi" w:hAnsiTheme="majorHAnsi"/>
              </w:rPr>
              <w:t xml:space="preserve"> </w:t>
            </w:r>
            <w:r w:rsidR="002127A7">
              <w:rPr>
                <w:rFonts w:asciiTheme="majorHAnsi" w:hAnsiTheme="majorHAnsi"/>
              </w:rPr>
              <w:t xml:space="preserve">up </w:t>
            </w:r>
            <w:r w:rsidR="002127A7" w:rsidRPr="008B70F7">
              <w:rPr>
                <w:rFonts w:asciiTheme="majorHAnsi" w:hAnsiTheme="majorHAnsi"/>
              </w:rPr>
              <w:t>screening and testing programs to increase the number of not</w:t>
            </w:r>
            <w:r w:rsidR="003B493D">
              <w:rPr>
                <w:rFonts w:asciiTheme="majorHAnsi" w:hAnsiTheme="majorHAnsi"/>
              </w:rPr>
              <w:t>ified cases and linkage to care;</w:t>
            </w:r>
            <w:r w:rsidR="002127A7" w:rsidRPr="008B70F7">
              <w:rPr>
                <w:rFonts w:asciiTheme="majorHAnsi" w:hAnsiTheme="majorHAnsi"/>
              </w:rPr>
              <w:t xml:space="preserve"> </w:t>
            </w:r>
            <w:r w:rsidR="003B493D">
              <w:rPr>
                <w:rFonts w:asciiTheme="majorHAnsi" w:hAnsiTheme="majorHAnsi"/>
              </w:rPr>
              <w:t>(ii) i</w:t>
            </w:r>
            <w:r w:rsidR="002127A7">
              <w:rPr>
                <w:rFonts w:asciiTheme="majorHAnsi" w:hAnsiTheme="majorHAnsi"/>
              </w:rPr>
              <w:t xml:space="preserve">mplementing </w:t>
            </w:r>
            <w:r w:rsidR="002127A7" w:rsidRPr="00315F6E">
              <w:rPr>
                <w:rFonts w:asciiTheme="majorHAnsi" w:hAnsiTheme="majorHAnsi"/>
              </w:rPr>
              <w:t xml:space="preserve">rapid molecular diagnostics as the initial test for DS- and DR-TB at all levels of </w:t>
            </w:r>
            <w:r w:rsidR="002127A7">
              <w:rPr>
                <w:rFonts w:asciiTheme="majorHAnsi" w:hAnsiTheme="majorHAnsi"/>
              </w:rPr>
              <w:t xml:space="preserve">TB </w:t>
            </w:r>
            <w:r w:rsidR="002127A7" w:rsidRPr="00315F6E">
              <w:rPr>
                <w:rFonts w:asciiTheme="majorHAnsi" w:hAnsiTheme="majorHAnsi"/>
              </w:rPr>
              <w:t>care</w:t>
            </w:r>
            <w:r w:rsidR="002127A7">
              <w:rPr>
                <w:rFonts w:asciiTheme="majorHAnsi" w:hAnsiTheme="majorHAnsi"/>
              </w:rPr>
              <w:t xml:space="preserve"> delivery</w:t>
            </w:r>
            <w:r w:rsidR="003B493D">
              <w:rPr>
                <w:rFonts w:asciiTheme="majorHAnsi" w:hAnsiTheme="majorHAnsi"/>
              </w:rPr>
              <w:t>; (iii) s</w:t>
            </w:r>
            <w:r w:rsidR="002127A7" w:rsidRPr="00A07634">
              <w:rPr>
                <w:rFonts w:asciiTheme="majorHAnsi" w:hAnsiTheme="majorHAnsi"/>
              </w:rPr>
              <w:t>caling up the coverage and improving the quality of contact investigation, testing for TB infection and preventive therapy, with a special focus on adult household and other close contacts</w:t>
            </w:r>
            <w:r w:rsidR="003B493D">
              <w:rPr>
                <w:rFonts w:asciiTheme="majorHAnsi" w:hAnsiTheme="majorHAnsi"/>
              </w:rPr>
              <w:t xml:space="preserve">; (iv) </w:t>
            </w:r>
            <w:r w:rsidR="003B493D">
              <w:rPr>
                <w:rFonts w:asciiTheme="majorHAnsi" w:hAnsiTheme="majorHAnsi" w:cs="Cambria"/>
              </w:rPr>
              <w:t>m</w:t>
            </w:r>
            <w:r w:rsidR="002127A7" w:rsidRPr="00A07634">
              <w:rPr>
                <w:rFonts w:asciiTheme="majorHAnsi" w:hAnsiTheme="majorHAnsi" w:cs="Cambria"/>
              </w:rPr>
              <w:t xml:space="preserve">aintaining sufficient funding for </w:t>
            </w:r>
            <w:r w:rsidR="002127A7" w:rsidRPr="00A07634">
              <w:rPr>
                <w:rFonts w:asciiTheme="majorHAnsi" w:hAnsiTheme="majorHAnsi" w:cs="Brandon Grotesque Light"/>
              </w:rPr>
              <w:t>active case fin</w:t>
            </w:r>
            <w:r w:rsidR="00203511">
              <w:rPr>
                <w:rFonts w:asciiTheme="majorHAnsi" w:hAnsiTheme="majorHAnsi" w:cs="Brandon Grotesque Light"/>
              </w:rPr>
              <w:t xml:space="preserve">ding within certain risk </w:t>
            </w:r>
            <w:r w:rsidR="002127A7">
              <w:rPr>
                <w:rFonts w:asciiTheme="majorHAnsi" w:hAnsiTheme="majorHAnsi" w:cs="Brandon Grotesque Light"/>
              </w:rPr>
              <w:t>groups</w:t>
            </w:r>
            <w:r w:rsidR="003B493D">
              <w:rPr>
                <w:rFonts w:asciiTheme="majorHAnsi" w:hAnsiTheme="majorHAnsi" w:cs="Cambria"/>
              </w:rPr>
              <w:t xml:space="preserve"> through NGO support; (v) i</w:t>
            </w:r>
            <w:r w:rsidR="002127A7" w:rsidRPr="008C3972">
              <w:rPr>
                <w:rFonts w:asciiTheme="majorHAnsi" w:hAnsiTheme="majorHAnsi"/>
              </w:rPr>
              <w:t>ncreasing the coverage and improving the quality of rapid culture and drug susceptibility testing investigations at referral laboratories</w:t>
            </w:r>
            <w:r w:rsidR="003B493D">
              <w:rPr>
                <w:rFonts w:asciiTheme="majorHAnsi" w:hAnsiTheme="majorHAnsi"/>
              </w:rPr>
              <w:t>; (vi) guaranteeing u</w:t>
            </w:r>
            <w:r w:rsidR="002127A7" w:rsidRPr="00315F6E">
              <w:rPr>
                <w:rFonts w:asciiTheme="majorHAnsi" w:hAnsiTheme="majorHAnsi"/>
              </w:rPr>
              <w:t>niversal access to quality treatment of DR-TB, with a special emphasis on children and adolescents</w:t>
            </w:r>
            <w:r w:rsidR="003B493D">
              <w:rPr>
                <w:rFonts w:asciiTheme="majorHAnsi" w:hAnsiTheme="majorHAnsi"/>
              </w:rPr>
              <w:t xml:space="preserve">; (vii) </w:t>
            </w:r>
            <w:r w:rsidR="003B493D" w:rsidRPr="003B493D">
              <w:rPr>
                <w:rFonts w:asciiTheme="majorHAnsi" w:hAnsiTheme="majorHAnsi" w:cstheme="majorHAnsi"/>
              </w:rPr>
              <w:t>s</w:t>
            </w:r>
            <w:r w:rsidR="002127A7" w:rsidRPr="003B493D">
              <w:rPr>
                <w:rFonts w:asciiTheme="majorHAnsi" w:hAnsiTheme="majorHAnsi" w:cstheme="majorHAnsi"/>
              </w:rPr>
              <w:t>trengthening the monitoring of people with TB on treatment, and the management of comorbidities, advers</w:t>
            </w:r>
            <w:r w:rsidR="003B493D" w:rsidRPr="003B493D">
              <w:rPr>
                <w:rFonts w:asciiTheme="majorHAnsi" w:hAnsiTheme="majorHAnsi" w:cstheme="majorHAnsi"/>
              </w:rPr>
              <w:t xml:space="preserve">e events and pharmacovigilance; and (viii) </w:t>
            </w:r>
            <w:r w:rsidR="002127A7" w:rsidRPr="003B493D">
              <w:rPr>
                <w:rFonts w:asciiTheme="majorHAnsi" w:hAnsiTheme="majorHAnsi" w:cstheme="majorHAnsi"/>
              </w:rPr>
              <w:t>f</w:t>
            </w:r>
            <w:r w:rsidR="003B493D" w:rsidRPr="003B493D">
              <w:rPr>
                <w:rFonts w:asciiTheme="majorHAnsi" w:hAnsiTheme="majorHAnsi" w:cstheme="majorHAnsi"/>
              </w:rPr>
              <w:t xml:space="preserve">ensuring </w:t>
            </w:r>
            <w:r w:rsidR="002127A7" w:rsidRPr="003B493D">
              <w:rPr>
                <w:rFonts w:asciiTheme="majorHAnsi" w:hAnsiTheme="majorHAnsi" w:cstheme="majorHAnsi"/>
              </w:rPr>
              <w:t xml:space="preserve">fective </w:t>
            </w:r>
            <w:r w:rsidR="003B493D" w:rsidRPr="003B493D">
              <w:rPr>
                <w:rFonts w:asciiTheme="majorHAnsi" w:hAnsiTheme="majorHAnsi" w:cstheme="majorHAnsi"/>
              </w:rPr>
              <w:t>M&amp;E</w:t>
            </w:r>
            <w:r w:rsidR="002127A7" w:rsidRPr="003B493D">
              <w:rPr>
                <w:rFonts w:asciiTheme="majorHAnsi" w:hAnsiTheme="majorHAnsi" w:cstheme="majorHAnsi"/>
              </w:rPr>
              <w:t xml:space="preserve"> at all levels of TB care delivery system</w:t>
            </w:r>
            <w:r w:rsidR="00D813D1">
              <w:rPr>
                <w:rFonts w:asciiTheme="majorHAnsi" w:hAnsiTheme="majorHAnsi" w:cstheme="majorHAnsi"/>
              </w:rPr>
              <w:t xml:space="preserve">. </w:t>
            </w:r>
            <w:r w:rsidR="00FA4590" w:rsidRPr="00FA4590">
              <w:rPr>
                <w:rFonts w:asciiTheme="majorHAnsi" w:hAnsiTheme="majorHAnsi"/>
              </w:rPr>
              <w:t>The introduction of shorter TB treatment regimens and new and repurposed anti-TB drugs will improve treatment success and reduce the time to smear conversion. Specifying and standardizing interventions for key population groups to be financed through the Social Order and normative costing of measures will effectively and efficiently complement the program on the state guarantees. Moreover, the funding request has prioritized investment in strengthening health and community systems to address current barriers and challenges in accessing TB care</w:t>
            </w:r>
            <w:r w:rsidR="004333FE">
              <w:rPr>
                <w:rFonts w:asciiTheme="majorHAnsi" w:hAnsiTheme="majorHAnsi"/>
              </w:rPr>
              <w:t xml:space="preserve">. </w:t>
            </w:r>
          </w:p>
          <w:p w14:paraId="5E2E6DA0" w14:textId="01D66ACA" w:rsidR="00A44177" w:rsidRPr="00A44177" w:rsidRDefault="00775854" w:rsidP="00914197">
            <w:pPr>
              <w:jc w:val="both"/>
              <w:rPr>
                <w:rFonts w:asciiTheme="majorHAnsi" w:hAnsiTheme="majorHAnsi"/>
              </w:rPr>
            </w:pPr>
            <w:r w:rsidRPr="00A44177">
              <w:rPr>
                <w:rFonts w:asciiTheme="majorHAnsi" w:hAnsiTheme="majorHAnsi"/>
                <w:b/>
              </w:rPr>
              <w:t>Technical efficiency</w:t>
            </w:r>
            <w:r w:rsidR="000962F9" w:rsidRPr="00A44177">
              <w:rPr>
                <w:rFonts w:asciiTheme="majorHAnsi" w:hAnsiTheme="majorHAnsi"/>
                <w:b/>
              </w:rPr>
              <w:t>.</w:t>
            </w:r>
            <w:r w:rsidR="000962F9" w:rsidRPr="00A44177">
              <w:rPr>
                <w:rFonts w:asciiTheme="majorHAnsi" w:hAnsiTheme="majorHAnsi"/>
              </w:rPr>
              <w:t xml:space="preserve"> </w:t>
            </w:r>
            <w:r w:rsidR="00A44177" w:rsidRPr="00A44177">
              <w:rPr>
                <w:rFonts w:asciiTheme="majorHAnsi" w:hAnsiTheme="majorHAnsi"/>
              </w:rPr>
              <w:t>The funding request</w:t>
            </w:r>
            <w:r w:rsidR="00A44177">
              <w:rPr>
                <w:rFonts w:asciiTheme="majorHAnsi" w:hAnsiTheme="majorHAnsi"/>
              </w:rPr>
              <w:t xml:space="preserve"> plans for service delivery</w:t>
            </w:r>
            <w:r w:rsidR="00203511">
              <w:rPr>
                <w:rFonts w:asciiTheme="majorHAnsi" w:hAnsiTheme="majorHAnsi"/>
              </w:rPr>
              <w:t>,</w:t>
            </w:r>
            <w:r w:rsidR="00A44177">
              <w:rPr>
                <w:rFonts w:asciiTheme="majorHAnsi" w:hAnsiTheme="majorHAnsi"/>
              </w:rPr>
              <w:t xml:space="preserve"> </w:t>
            </w:r>
            <w:r w:rsidR="00A44177" w:rsidRPr="00A44177">
              <w:rPr>
                <w:rFonts w:asciiTheme="majorHAnsi" w:hAnsiTheme="majorHAnsi"/>
              </w:rPr>
              <w:t xml:space="preserve">optimized by choosing the most efficient models of patient-centered TB care and removing existing barriers that limit efficiency. The synergies in COVID-19 and TB needs towards deployment of measures, the enhanced link between HIV/ART and TB treatment will maximize impact for TB, HIV, and COVID-19 responses. </w:t>
            </w:r>
          </w:p>
          <w:p w14:paraId="32AF935F" w14:textId="7C105A8C" w:rsidR="00EF2CF8" w:rsidRDefault="00706E6F" w:rsidP="00CD643E">
            <w:pPr>
              <w:pStyle w:val="Default"/>
              <w:jc w:val="both"/>
              <w:rPr>
                <w:rFonts w:asciiTheme="majorHAnsi" w:hAnsiTheme="majorHAnsi" w:cstheme="majorHAnsi"/>
                <w:bCs/>
                <w:sz w:val="22"/>
                <w:szCs w:val="22"/>
              </w:rPr>
            </w:pPr>
            <w:r w:rsidRPr="00203511">
              <w:rPr>
                <w:b/>
                <w:bCs/>
                <w:sz w:val="22"/>
                <w:szCs w:val="22"/>
              </w:rPr>
              <w:t>Equity.</w:t>
            </w:r>
            <w:r w:rsidR="00076212" w:rsidRPr="00076212">
              <w:rPr>
                <w:b/>
                <w:bCs/>
                <w:sz w:val="20"/>
                <w:szCs w:val="20"/>
              </w:rPr>
              <w:t xml:space="preserve"> </w:t>
            </w:r>
            <w:r w:rsidR="00EF2CF8" w:rsidRPr="00EF2CF8">
              <w:rPr>
                <w:rFonts w:asciiTheme="majorHAnsi" w:hAnsiTheme="majorHAnsi" w:cstheme="majorHAnsi"/>
                <w:bCs/>
                <w:sz w:val="22"/>
                <w:szCs w:val="22"/>
              </w:rPr>
              <w:t>The GF funds will focus on activities and services for key and vulnerable groups of the population delivered by NGO</w:t>
            </w:r>
            <w:r w:rsidR="00203511">
              <w:rPr>
                <w:rFonts w:asciiTheme="majorHAnsi" w:hAnsiTheme="majorHAnsi" w:cstheme="majorHAnsi"/>
                <w:bCs/>
                <w:sz w:val="22"/>
                <w:szCs w:val="22"/>
              </w:rPr>
              <w:t>s and the public health system</w:t>
            </w:r>
            <w:r w:rsidR="00EF2CF8" w:rsidRPr="00EF2CF8">
              <w:rPr>
                <w:rFonts w:asciiTheme="majorHAnsi" w:hAnsiTheme="majorHAnsi" w:cstheme="majorHAnsi"/>
                <w:bCs/>
                <w:sz w:val="22"/>
                <w:szCs w:val="22"/>
              </w:rPr>
              <w:t xml:space="preserve"> and in programs addressing the human rights and gender-related barriers and vulnerabilities underlined in th</w:t>
            </w:r>
            <w:r w:rsidR="00EF2CF8">
              <w:rPr>
                <w:rFonts w:asciiTheme="majorHAnsi" w:hAnsiTheme="majorHAnsi" w:cstheme="majorHAnsi"/>
                <w:bCs/>
                <w:sz w:val="22"/>
                <w:szCs w:val="22"/>
              </w:rPr>
              <w:t xml:space="preserve">e section country context. </w:t>
            </w:r>
            <w:r w:rsidR="00EF2CF8" w:rsidRPr="00EF2CF8">
              <w:rPr>
                <w:rFonts w:asciiTheme="majorHAnsi" w:hAnsiTheme="majorHAnsi" w:cstheme="majorHAnsi"/>
                <w:bCs/>
                <w:sz w:val="22"/>
                <w:szCs w:val="22"/>
              </w:rPr>
              <w:t xml:space="preserve">The differentiated approach to key populations will continue tailoring program activities to their needs and to ensure quality and impact. The NGOs' current key population coverage' approach will be revisited, and the NGO staffing will be adjusted to the local epidemiological context, including which key populations </w:t>
            </w:r>
            <w:proofErr w:type="gramStart"/>
            <w:r w:rsidR="00EF2CF8" w:rsidRPr="00EF2CF8">
              <w:rPr>
                <w:rFonts w:asciiTheme="majorHAnsi" w:hAnsiTheme="majorHAnsi" w:cstheme="majorHAnsi"/>
                <w:bCs/>
                <w:sz w:val="22"/>
                <w:szCs w:val="22"/>
              </w:rPr>
              <w:t>have to</w:t>
            </w:r>
            <w:proofErr w:type="gramEnd"/>
            <w:r w:rsidR="00EF2CF8" w:rsidRPr="00EF2CF8">
              <w:rPr>
                <w:rFonts w:asciiTheme="majorHAnsi" w:hAnsiTheme="majorHAnsi" w:cstheme="majorHAnsi"/>
                <w:bCs/>
                <w:sz w:val="22"/>
                <w:szCs w:val="22"/>
              </w:rPr>
              <w:t xml:space="preserve"> be targeted and the</w:t>
            </w:r>
            <w:r w:rsidR="009156A0">
              <w:rPr>
                <w:rFonts w:asciiTheme="majorHAnsi" w:hAnsiTheme="majorHAnsi" w:cstheme="majorHAnsi"/>
                <w:bCs/>
                <w:sz w:val="22"/>
                <w:szCs w:val="22"/>
              </w:rPr>
              <w:t>se groups’</w:t>
            </w:r>
            <w:r w:rsidR="00EF2CF8" w:rsidRPr="00EF2CF8">
              <w:rPr>
                <w:rFonts w:asciiTheme="majorHAnsi" w:hAnsiTheme="majorHAnsi" w:cstheme="majorHAnsi"/>
                <w:bCs/>
                <w:sz w:val="22"/>
                <w:szCs w:val="22"/>
              </w:rPr>
              <w:t xml:space="preserve"> size estimation data. Key populations' outreach and treatment support strategies will be </w:t>
            </w:r>
            <w:r w:rsidR="009156A0">
              <w:rPr>
                <w:rFonts w:asciiTheme="majorHAnsi" w:hAnsiTheme="majorHAnsi" w:cstheme="majorHAnsi"/>
                <w:bCs/>
                <w:sz w:val="22"/>
                <w:szCs w:val="22"/>
              </w:rPr>
              <w:t>refined</w:t>
            </w:r>
            <w:r w:rsidR="00EF2CF8" w:rsidRPr="00EF2CF8">
              <w:rPr>
                <w:rFonts w:asciiTheme="majorHAnsi" w:hAnsiTheme="majorHAnsi" w:cstheme="majorHAnsi"/>
                <w:bCs/>
                <w:sz w:val="22"/>
                <w:szCs w:val="22"/>
              </w:rPr>
              <w:t xml:space="preserve"> </w:t>
            </w:r>
            <w:r w:rsidR="009156A0">
              <w:rPr>
                <w:rFonts w:asciiTheme="majorHAnsi" w:hAnsiTheme="majorHAnsi" w:cstheme="majorHAnsi"/>
                <w:bCs/>
                <w:sz w:val="22"/>
                <w:szCs w:val="22"/>
              </w:rPr>
              <w:t>as</w:t>
            </w:r>
            <w:r w:rsidR="00EF2CF8" w:rsidRPr="00EF2CF8">
              <w:rPr>
                <w:rFonts w:asciiTheme="majorHAnsi" w:hAnsiTheme="majorHAnsi" w:cstheme="majorHAnsi"/>
                <w:bCs/>
                <w:sz w:val="22"/>
                <w:szCs w:val="22"/>
              </w:rPr>
              <w:t xml:space="preserve"> different key populations are in different life circumstances and have </w:t>
            </w:r>
            <w:r w:rsidR="009156A0">
              <w:rPr>
                <w:rFonts w:asciiTheme="majorHAnsi" w:hAnsiTheme="majorHAnsi" w:cstheme="majorHAnsi"/>
                <w:bCs/>
                <w:sz w:val="22"/>
                <w:szCs w:val="22"/>
              </w:rPr>
              <w:t xml:space="preserve">specific </w:t>
            </w:r>
            <w:r w:rsidR="00EF2CF8" w:rsidRPr="00EF2CF8">
              <w:rPr>
                <w:rFonts w:asciiTheme="majorHAnsi" w:hAnsiTheme="majorHAnsi" w:cstheme="majorHAnsi"/>
                <w:bCs/>
                <w:sz w:val="22"/>
                <w:szCs w:val="22"/>
              </w:rPr>
              <w:t>vulnerabilities limiting their access to TB services. The services will be standardized, costed, and contracted based on the fee-for-service approach. The hiring of outreach workers from the target key populations will be maximized, and the</w:t>
            </w:r>
            <w:r w:rsidR="0093503E">
              <w:rPr>
                <w:rFonts w:asciiTheme="majorHAnsi" w:hAnsiTheme="majorHAnsi" w:cstheme="majorHAnsi"/>
                <w:bCs/>
                <w:sz w:val="22"/>
                <w:szCs w:val="22"/>
              </w:rPr>
              <w:t>ir</w:t>
            </w:r>
            <w:r w:rsidR="00EF2CF8" w:rsidRPr="00EF2CF8">
              <w:rPr>
                <w:rFonts w:asciiTheme="majorHAnsi" w:hAnsiTheme="majorHAnsi" w:cstheme="majorHAnsi"/>
                <w:bCs/>
                <w:sz w:val="22"/>
                <w:szCs w:val="22"/>
              </w:rPr>
              <w:t xml:space="preserve"> compensation scheme revisited.  </w:t>
            </w:r>
          </w:p>
          <w:p w14:paraId="0EE36679" w14:textId="77777777" w:rsidR="00EF2CF8" w:rsidRPr="00755E5F" w:rsidRDefault="00EF2CF8" w:rsidP="00CD643E">
            <w:pPr>
              <w:pStyle w:val="Default"/>
              <w:jc w:val="both"/>
              <w:rPr>
                <w:rFonts w:asciiTheme="majorHAnsi" w:hAnsiTheme="majorHAnsi" w:cstheme="majorHAnsi"/>
                <w:bCs/>
                <w:sz w:val="22"/>
                <w:szCs w:val="22"/>
              </w:rPr>
            </w:pPr>
          </w:p>
          <w:p w14:paraId="01CCF755" w14:textId="2FCFC472" w:rsidR="001364B9" w:rsidRPr="001D57CE" w:rsidRDefault="002127A7" w:rsidP="00BF7701">
            <w:pPr>
              <w:spacing w:after="0" w:line="240" w:lineRule="auto"/>
              <w:jc w:val="both"/>
              <w:rPr>
                <w:rFonts w:cs="Arial"/>
              </w:rPr>
            </w:pPr>
            <w:r w:rsidRPr="00755E5F">
              <w:rPr>
                <w:rFonts w:asciiTheme="majorHAnsi" w:hAnsiTheme="majorHAnsi" w:cstheme="majorHAnsi"/>
                <w:color w:val="292829"/>
              </w:rPr>
              <w:t>There ar</w:t>
            </w:r>
            <w:r w:rsidR="00203511" w:rsidRPr="00755E5F">
              <w:rPr>
                <w:rFonts w:asciiTheme="majorHAnsi" w:hAnsiTheme="majorHAnsi" w:cstheme="majorHAnsi"/>
                <w:color w:val="292829"/>
              </w:rPr>
              <w:t>e enabling factors for enha</w:t>
            </w:r>
            <w:r w:rsidR="007F7216" w:rsidRPr="00755E5F">
              <w:rPr>
                <w:rFonts w:asciiTheme="majorHAnsi" w:hAnsiTheme="majorHAnsi" w:cstheme="majorHAnsi"/>
                <w:color w:val="292829"/>
              </w:rPr>
              <w:t>nced</w:t>
            </w:r>
            <w:r w:rsidRPr="00755E5F">
              <w:rPr>
                <w:rFonts w:asciiTheme="majorHAnsi" w:hAnsiTheme="majorHAnsi" w:cstheme="majorHAnsi"/>
                <w:color w:val="292829"/>
              </w:rPr>
              <w:t xml:space="preserve"> efficiency.</w:t>
            </w:r>
            <w:r w:rsidR="00BF7701">
              <w:rPr>
                <w:rFonts w:asciiTheme="majorHAnsi" w:hAnsiTheme="majorHAnsi" w:cstheme="majorHAnsi"/>
                <w:color w:val="292829"/>
              </w:rPr>
              <w:t xml:space="preserve"> </w:t>
            </w:r>
            <w:r w:rsidR="00076212" w:rsidRPr="00755E5F">
              <w:rPr>
                <w:rFonts w:asciiTheme="majorHAnsi" w:hAnsiTheme="majorHAnsi" w:cstheme="majorHAnsi"/>
              </w:rPr>
              <w:t>The improved</w:t>
            </w:r>
            <w:r w:rsidRPr="00755E5F">
              <w:rPr>
                <w:rFonts w:asciiTheme="majorHAnsi" w:hAnsiTheme="majorHAnsi" w:cstheme="majorHAnsi"/>
              </w:rPr>
              <w:t xml:space="preserve"> payment mechanism, coupled with incentives for </w:t>
            </w:r>
            <w:r w:rsidR="00076212" w:rsidRPr="00755E5F">
              <w:rPr>
                <w:rFonts w:asciiTheme="majorHAnsi" w:hAnsiTheme="majorHAnsi" w:cstheme="majorHAnsi"/>
              </w:rPr>
              <w:t xml:space="preserve">healthcare </w:t>
            </w:r>
            <w:r w:rsidRPr="00755E5F">
              <w:rPr>
                <w:rFonts w:asciiTheme="majorHAnsi" w:hAnsiTheme="majorHAnsi" w:cstheme="majorHAnsi"/>
              </w:rPr>
              <w:t>workers</w:t>
            </w:r>
            <w:r w:rsidR="00203511" w:rsidRPr="00755E5F">
              <w:rPr>
                <w:rFonts w:asciiTheme="majorHAnsi" w:hAnsiTheme="majorHAnsi" w:cstheme="majorHAnsi"/>
              </w:rPr>
              <w:t xml:space="preserve"> i</w:t>
            </w:r>
            <w:r w:rsidR="00076212" w:rsidRPr="00755E5F">
              <w:rPr>
                <w:rFonts w:asciiTheme="majorHAnsi" w:hAnsiTheme="majorHAnsi" w:cstheme="majorHAnsi"/>
              </w:rPr>
              <w:t>nvolved in TB control</w:t>
            </w:r>
            <w:r w:rsidRPr="00755E5F">
              <w:rPr>
                <w:rFonts w:asciiTheme="majorHAnsi" w:hAnsiTheme="majorHAnsi" w:cstheme="majorHAnsi"/>
              </w:rPr>
              <w:t>, will enable providers to maximize the efficiency of resource allocation and expenditure for improved quality of services.</w:t>
            </w:r>
            <w:r w:rsidR="00CD643E" w:rsidRPr="00755E5F">
              <w:rPr>
                <w:rFonts w:asciiTheme="majorHAnsi" w:hAnsiTheme="majorHAnsi" w:cstheme="majorHAnsi"/>
              </w:rPr>
              <w:t xml:space="preserve"> </w:t>
            </w:r>
            <w:r w:rsidR="00203511" w:rsidRPr="00755E5F">
              <w:rPr>
                <w:rFonts w:asciiTheme="majorHAnsi" w:hAnsiTheme="majorHAnsi" w:cstheme="majorHAnsi"/>
              </w:rPr>
              <w:t>The e</w:t>
            </w:r>
            <w:r w:rsidR="00CD643E" w:rsidRPr="00755E5F">
              <w:rPr>
                <w:rFonts w:asciiTheme="majorHAnsi" w:hAnsiTheme="majorHAnsi" w:cstheme="majorHAnsi"/>
              </w:rPr>
              <w:t xml:space="preserve">ffective </w:t>
            </w:r>
            <w:r w:rsidRPr="00755E5F">
              <w:rPr>
                <w:rFonts w:asciiTheme="majorHAnsi" w:hAnsiTheme="majorHAnsi" w:cstheme="majorHAnsi"/>
              </w:rPr>
              <w:t>contracting mechanism</w:t>
            </w:r>
            <w:r w:rsidR="00203511" w:rsidRPr="00755E5F">
              <w:rPr>
                <w:rFonts w:asciiTheme="majorHAnsi" w:hAnsiTheme="majorHAnsi" w:cstheme="majorHAnsi"/>
              </w:rPr>
              <w:t>s</w:t>
            </w:r>
            <w:r w:rsidRPr="00755E5F">
              <w:rPr>
                <w:rFonts w:asciiTheme="majorHAnsi" w:hAnsiTheme="majorHAnsi" w:cstheme="majorHAnsi"/>
              </w:rPr>
              <w:t xml:space="preserve"> for provision of TB services by </w:t>
            </w:r>
            <w:r w:rsidR="00CD643E" w:rsidRPr="00755E5F">
              <w:rPr>
                <w:rFonts w:asciiTheme="majorHAnsi" w:hAnsiTheme="majorHAnsi" w:cstheme="majorHAnsi"/>
              </w:rPr>
              <w:t>NGOs</w:t>
            </w:r>
            <w:r w:rsidRPr="00755E5F">
              <w:rPr>
                <w:rFonts w:asciiTheme="majorHAnsi" w:hAnsiTheme="majorHAnsi" w:cstheme="majorHAnsi"/>
              </w:rPr>
              <w:t xml:space="preserve"> might evolve into performance contracts with specific performance targets. Well-developed</w:t>
            </w:r>
            <w:r w:rsidR="00CD643E" w:rsidRPr="00755E5F">
              <w:rPr>
                <w:rFonts w:asciiTheme="majorHAnsi" w:hAnsiTheme="majorHAnsi" w:cstheme="majorHAnsi"/>
              </w:rPr>
              <w:t>/refined</w:t>
            </w:r>
            <w:r w:rsidRPr="00755E5F">
              <w:rPr>
                <w:rFonts w:asciiTheme="majorHAnsi" w:hAnsiTheme="majorHAnsi" w:cstheme="majorHAnsi"/>
              </w:rPr>
              <w:t xml:space="preserve"> clinical guidelines, clear description of the business process at different levels of TB care delivery, good performance reporting, and streamlined TB information system will contribute to improved allocative efficiency.</w:t>
            </w:r>
            <w:r w:rsidR="00755E5F">
              <w:rPr>
                <w:rFonts w:asciiTheme="majorHAnsi" w:hAnsiTheme="majorHAnsi" w:cstheme="majorHAnsi"/>
              </w:rPr>
              <w:t xml:space="preserve"> </w:t>
            </w:r>
            <w:r w:rsidR="00755E5F" w:rsidRPr="00755E5F">
              <w:rPr>
                <w:rFonts w:asciiTheme="majorHAnsi" w:hAnsiTheme="majorHAnsi" w:cstheme="majorHAnsi"/>
                <w:color w:val="000000"/>
              </w:rPr>
              <w:t xml:space="preserve">Strengthened drug planning and budgeting and supply management, M&amp;E capacities at the regional TB Centers level, and effective central coordination mechanisms are vital for efficient resource utilization. The PR’ e-distance based learning activities will be </w:t>
            </w:r>
            <w:r w:rsidR="00BF7701">
              <w:rPr>
                <w:rFonts w:asciiTheme="majorHAnsi" w:hAnsiTheme="majorHAnsi" w:cstheme="majorHAnsi"/>
                <w:color w:val="000000"/>
              </w:rPr>
              <w:t>enhanced, minimizing</w:t>
            </w:r>
            <w:r w:rsidR="00755E5F" w:rsidRPr="00755E5F">
              <w:rPr>
                <w:rFonts w:asciiTheme="majorHAnsi" w:hAnsiTheme="majorHAnsi" w:cstheme="majorHAnsi"/>
                <w:color w:val="000000"/>
              </w:rPr>
              <w:t xml:space="preserve"> logistical barriers</w:t>
            </w:r>
            <w:r w:rsidR="00BF7701">
              <w:rPr>
                <w:rFonts w:asciiTheme="majorHAnsi" w:hAnsiTheme="majorHAnsi" w:cstheme="majorHAnsi"/>
                <w:color w:val="000000"/>
              </w:rPr>
              <w:t xml:space="preserve"> and costs to education.</w:t>
            </w:r>
          </w:p>
        </w:tc>
      </w:tr>
    </w:tbl>
    <w:p w14:paraId="319B2DEF" w14:textId="77777777" w:rsidR="00007BFF" w:rsidRDefault="00007BFF" w:rsidP="00485066">
      <w:pPr>
        <w:pStyle w:val="affff3"/>
        <w:rPr>
          <w:rFonts w:cs="Arial"/>
          <w:bCs/>
        </w:rPr>
      </w:pPr>
      <w:r>
        <w:rPr>
          <w:rFonts w:cs="Arial"/>
          <w:bCs/>
        </w:rPr>
        <w:t xml:space="preserve">  </w:t>
      </w:r>
    </w:p>
    <w:p w14:paraId="6A4D81D0" w14:textId="667D35A2" w:rsidR="00007BFF" w:rsidRPr="00971DBD" w:rsidRDefault="00007BFF" w:rsidP="00971DBD">
      <w:pPr>
        <w:spacing w:after="160" w:line="0" w:lineRule="auto"/>
        <w:rPr>
          <w:rFonts w:cs="Arial"/>
          <w:bCs/>
        </w:rPr>
      </w:pPr>
      <w:r>
        <w:rPr>
          <w:rFonts w:cs="Arial"/>
          <w:bCs/>
        </w:rPr>
        <w:br w:type="page"/>
      </w:r>
      <w:r w:rsidRPr="00971DBD">
        <w:rPr>
          <w:rFonts w:cs="Arial"/>
          <w:bCs/>
        </w:rPr>
        <w:t xml:space="preserve">   </w:t>
      </w:r>
    </w:p>
    <w:p w14:paraId="283B565F" w14:textId="35B1B1E5" w:rsidR="00007BFF" w:rsidRPr="009A63DB" w:rsidRDefault="00007BFF" w:rsidP="009A63DB">
      <w:pPr>
        <w:pStyle w:val="21"/>
        <w:keepLines w:val="0"/>
        <w:numPr>
          <w:ilvl w:val="1"/>
          <w:numId w:val="18"/>
        </w:numPr>
        <w:shd w:val="clear" w:color="auto" w:fill="D9D9D9"/>
        <w:spacing w:before="0" w:line="257" w:lineRule="auto"/>
        <w:jc w:val="both"/>
      </w:pPr>
      <w:r w:rsidRPr="009A63DB">
        <w:rPr>
          <w:rFonts w:eastAsia="Times New Roman"/>
          <w:bCs w:val="0"/>
          <w:lang w:val="en-GB"/>
        </w:rPr>
        <w:t xml:space="preserve">Matching Funds </w:t>
      </w:r>
      <w:r>
        <w:rPr>
          <w:rFonts w:eastAsia="Times New Roman"/>
          <w:bCs w:val="0"/>
          <w:lang w:val="en-GB"/>
        </w:rPr>
        <w:t>(if applicable)</w:t>
      </w:r>
    </w:p>
    <w:p w14:paraId="2F558209" w14:textId="3ADB073D" w:rsidR="00007BFF" w:rsidRDefault="00007BFF" w:rsidP="00882DC3">
      <w:pPr>
        <w:spacing w:after="0" w:line="257" w:lineRule="auto"/>
        <w:jc w:val="both"/>
        <w:rPr>
          <w:lang w:val="en-GB" w:eastAsia="en-GB"/>
        </w:rPr>
      </w:pPr>
      <w:r>
        <w:rPr>
          <w:lang w:val="en-GB" w:eastAsia="en-GB"/>
        </w:rPr>
        <w:t xml:space="preserve">This question should only be answered by applicants with designated matching funds, as indicated in the allocation letter. </w:t>
      </w:r>
    </w:p>
    <w:p w14:paraId="50CC60AB" w14:textId="77777777" w:rsidR="00007BFF" w:rsidRDefault="00007BFF" w:rsidP="00882DC3">
      <w:pPr>
        <w:spacing w:after="0" w:line="257" w:lineRule="auto"/>
        <w:jc w:val="both"/>
        <w:rPr>
          <w:lang w:val="en-GB" w:eastAsia="en-GB"/>
        </w:rPr>
      </w:pPr>
    </w:p>
    <w:p w14:paraId="107978CE" w14:textId="318D5F6E" w:rsidR="00007BFF" w:rsidRDefault="00007BFF" w:rsidP="00882DC3">
      <w:pPr>
        <w:spacing w:after="0" w:line="257" w:lineRule="auto"/>
        <w:jc w:val="both"/>
        <w:rPr>
          <w:rFonts w:cs="Arial"/>
          <w:bCs/>
        </w:rPr>
      </w:pPr>
      <w:r>
        <w:rPr>
          <w:lang w:val="en-GB" w:eastAsia="en-GB"/>
        </w:rPr>
        <w:t xml:space="preserve">Describe how the </w:t>
      </w:r>
      <w:r w:rsidRPr="0096146C">
        <w:rPr>
          <w:b/>
          <w:lang w:val="en-GB" w:eastAsia="en-GB"/>
        </w:rPr>
        <w:t>programmatic and financial conditions</w:t>
      </w:r>
      <w:r>
        <w:rPr>
          <w:lang w:val="en-GB" w:eastAsia="en-GB"/>
        </w:rPr>
        <w:t>, as outlined in the allocation letter</w:t>
      </w:r>
      <w:r>
        <w:rPr>
          <w:lang w:val="en-GB"/>
        </w:rPr>
        <w:t xml:space="preserve">, </w:t>
      </w:r>
      <w:r>
        <w:rPr>
          <w:lang w:val="en-GB" w:eastAsia="en-GB"/>
        </w:rPr>
        <w:t xml:space="preserve">have been met. </w:t>
      </w:r>
    </w:p>
    <w:p w14:paraId="31C1A032" w14:textId="0AFDB40F" w:rsidR="00007BFF" w:rsidRPr="00125D85" w:rsidRDefault="00007BFF" w:rsidP="00882DC3">
      <w:pPr>
        <w:spacing w:after="0" w:line="257" w:lineRule="auto"/>
        <w:jc w:val="both"/>
        <w:rPr>
          <w:rFonts w:cs="Arial"/>
          <w:bCs/>
        </w:rPr>
      </w:pPr>
    </w:p>
    <w:tbl>
      <w:tblPr>
        <w:tblStyle w:val="aa"/>
        <w:tblW w:w="0" w:type="auto"/>
        <w:tblLook w:val="04A0" w:firstRow="1" w:lastRow="0" w:firstColumn="1" w:lastColumn="0" w:noHBand="0" w:noVBand="1"/>
      </w:tblPr>
      <w:tblGrid>
        <w:gridCol w:w="10682"/>
      </w:tblGrid>
      <w:tr w:rsidR="00007BFF" w14:paraId="7F8F06C0" w14:textId="77777777" w:rsidTr="005279BC">
        <w:tc>
          <w:tcPr>
            <w:tcW w:w="10790" w:type="dxa"/>
          </w:tcPr>
          <w:p w14:paraId="6C2B5E9A" w14:textId="7EC30F2A" w:rsidR="00007BFF" w:rsidRDefault="005363E7" w:rsidP="005279BC">
            <w:pPr>
              <w:rPr>
                <w:rFonts w:cs="Arial"/>
              </w:rPr>
            </w:pPr>
            <w:r>
              <w:rPr>
                <w:rFonts w:cs="Arial"/>
              </w:rPr>
              <w:t>Not applicable</w:t>
            </w:r>
          </w:p>
          <w:p w14:paraId="1F1C3A80" w14:textId="331BAB86" w:rsidR="00007BFF" w:rsidRDefault="00007BFF" w:rsidP="005279BC">
            <w:pPr>
              <w:rPr>
                <w:rFonts w:cs="Arial"/>
              </w:rPr>
            </w:pPr>
          </w:p>
        </w:tc>
      </w:tr>
    </w:tbl>
    <w:p w14:paraId="38A3CF94" w14:textId="7FBBD9D5" w:rsidR="00007BFF" w:rsidRDefault="00007BFF" w:rsidP="001F7F10">
      <w:pPr>
        <w:spacing w:after="160" w:line="0" w:lineRule="auto"/>
        <w:rPr>
          <w:rFonts w:cs="Arial"/>
          <w:szCs w:val="20"/>
        </w:rPr>
      </w:pPr>
    </w:p>
    <w:p w14:paraId="029FFBE8" w14:textId="7BC4C48C" w:rsidR="00007BFF" w:rsidRDefault="00007BFF" w:rsidP="00397B91">
      <w:pPr>
        <w:tabs>
          <w:tab w:val="left" w:pos="921"/>
        </w:tabs>
        <w:spacing w:after="160" w:line="0" w:lineRule="auto"/>
        <w:rPr>
          <w:rFonts w:cs="Arial"/>
          <w:szCs w:val="20"/>
        </w:rPr>
      </w:pPr>
      <w:r>
        <w:rPr>
          <w:rFonts w:cs="Arial"/>
          <w:szCs w:val="20"/>
        </w:rPr>
        <w:tab/>
      </w:r>
    </w:p>
    <w:p w14:paraId="412779C7" w14:textId="14CC97B9" w:rsidR="00007BFF" w:rsidRPr="009A63DB" w:rsidRDefault="00007BFF" w:rsidP="00971DBD">
      <w:pPr>
        <w:pStyle w:val="1"/>
        <w:numPr>
          <w:ilvl w:val="0"/>
          <w:numId w:val="0"/>
        </w:numPr>
        <w:pBdr>
          <w:top w:val="single" w:sz="6" w:space="1" w:color="D9D9D9" w:themeColor="background1" w:themeShade="D9"/>
          <w:left w:val="single" w:sz="6" w:space="4" w:color="D9D9D9" w:themeColor="background1" w:themeShade="D9"/>
          <w:bottom w:val="single" w:sz="6" w:space="1" w:color="D9D9D9" w:themeColor="background1" w:themeShade="D9"/>
          <w:right w:val="single" w:sz="6" w:space="4" w:color="D9D9D9" w:themeColor="background1" w:themeShade="D9"/>
        </w:pBdr>
        <w:shd w:val="clear" w:color="auto" w:fill="D9D9D9" w:themeFill="background1" w:themeFillShade="D9"/>
        <w:spacing w:before="0" w:after="0"/>
        <w:jc w:val="both"/>
        <w:rPr>
          <w:b/>
          <w:sz w:val="30"/>
        </w:rPr>
      </w:pPr>
      <w:bookmarkStart w:id="2" w:name="_Toc7075896"/>
      <w:bookmarkStart w:id="3" w:name="_Toc7080092"/>
      <w:bookmarkStart w:id="4" w:name="_Toc7080213"/>
      <w:bookmarkStart w:id="5" w:name="_Toc7080228"/>
      <w:bookmarkStart w:id="6" w:name="_Toc7082335"/>
      <w:bookmarkStart w:id="7" w:name="_Toc1122238"/>
      <w:bookmarkStart w:id="8" w:name="_Toc1127667"/>
      <w:bookmarkStart w:id="9" w:name="_Toc5011519"/>
      <w:bookmarkStart w:id="10" w:name="_Toc5195533"/>
      <w:bookmarkStart w:id="11" w:name="_Toc6994679"/>
      <w:bookmarkStart w:id="12" w:name="_Toc7000520"/>
      <w:bookmarkStart w:id="13" w:name="_Toc7000630"/>
      <w:bookmarkStart w:id="14" w:name="_Toc7074796"/>
      <w:r>
        <w:rPr>
          <w:b/>
          <w:sz w:val="30"/>
        </w:rPr>
        <w:t xml:space="preserve">Section 2: </w:t>
      </w:r>
      <w:r w:rsidRPr="009A63DB">
        <w:rPr>
          <w:b/>
          <w:sz w:val="30"/>
        </w:rPr>
        <w:t xml:space="preserve">Operationalization and Implementation Arrangements </w:t>
      </w:r>
    </w:p>
    <w:bookmarkEnd w:id="2"/>
    <w:bookmarkEnd w:id="3"/>
    <w:bookmarkEnd w:id="4"/>
    <w:bookmarkEnd w:id="5"/>
    <w:bookmarkEnd w:id="6"/>
    <w:bookmarkEnd w:id="7"/>
    <w:bookmarkEnd w:id="8"/>
    <w:bookmarkEnd w:id="9"/>
    <w:bookmarkEnd w:id="10"/>
    <w:bookmarkEnd w:id="11"/>
    <w:bookmarkEnd w:id="12"/>
    <w:bookmarkEnd w:id="13"/>
    <w:bookmarkEnd w:id="14"/>
    <w:p w14:paraId="45778DA3" w14:textId="77777777" w:rsidR="00007BFF" w:rsidRDefault="00007BFF" w:rsidP="00485066">
      <w:pPr>
        <w:spacing w:after="0"/>
        <w:contextualSpacing/>
        <w:rPr>
          <w:rFonts w:cs="Arial"/>
          <w:bCs/>
          <w:iCs/>
        </w:rPr>
      </w:pPr>
    </w:p>
    <w:p w14:paraId="2277A076" w14:textId="73847CB4" w:rsidR="00007BFF" w:rsidRDefault="00007BFF" w:rsidP="004619FD">
      <w:pPr>
        <w:spacing w:after="0"/>
        <w:contextualSpacing/>
        <w:jc w:val="both"/>
        <w:rPr>
          <w:rFonts w:cs="Arial"/>
          <w:bCs/>
          <w:iCs/>
        </w:rPr>
      </w:pPr>
      <w:r w:rsidRPr="001D57CE">
        <w:rPr>
          <w:rFonts w:cs="Arial"/>
          <w:bCs/>
          <w:iCs/>
        </w:rPr>
        <w:t>To respond</w:t>
      </w:r>
      <w:r>
        <w:rPr>
          <w:rFonts w:cs="Arial"/>
          <w:bCs/>
          <w:iCs/>
        </w:rPr>
        <w:t xml:space="preserve"> to the questions below</w:t>
      </w:r>
      <w:r w:rsidRPr="001D57CE">
        <w:rPr>
          <w:rFonts w:cs="Arial"/>
          <w:bCs/>
          <w:iCs/>
        </w:rPr>
        <w:t xml:space="preserve">, refer to the </w:t>
      </w:r>
      <w:r w:rsidRPr="00F62A97">
        <w:rPr>
          <w:rFonts w:cs="Arial"/>
          <w:i/>
        </w:rPr>
        <w:t>Instructions</w:t>
      </w:r>
      <w:r>
        <w:rPr>
          <w:rFonts w:cs="Arial"/>
          <w:bCs/>
          <w:iCs/>
        </w:rPr>
        <w:t xml:space="preserve"> and an updated </w:t>
      </w:r>
      <w:r>
        <w:rPr>
          <w:rFonts w:cs="Arial"/>
          <w:b/>
          <w:bCs/>
          <w:iCs/>
        </w:rPr>
        <w:t>I</w:t>
      </w:r>
      <w:r w:rsidRPr="00475BE9">
        <w:rPr>
          <w:rFonts w:cs="Arial"/>
          <w:b/>
          <w:bCs/>
          <w:iCs/>
        </w:rPr>
        <w:t xml:space="preserve">mplementation </w:t>
      </w:r>
      <w:r>
        <w:rPr>
          <w:rFonts w:cs="Arial"/>
          <w:b/>
          <w:bCs/>
          <w:iCs/>
        </w:rPr>
        <w:t>A</w:t>
      </w:r>
      <w:r w:rsidRPr="00475BE9">
        <w:rPr>
          <w:rFonts w:cs="Arial"/>
          <w:b/>
          <w:bCs/>
          <w:iCs/>
        </w:rPr>
        <w:t xml:space="preserve">rrangement </w:t>
      </w:r>
      <w:r>
        <w:rPr>
          <w:rFonts w:cs="Arial"/>
          <w:b/>
          <w:bCs/>
          <w:iCs/>
        </w:rPr>
        <w:t>M</w:t>
      </w:r>
      <w:r w:rsidRPr="00475BE9">
        <w:rPr>
          <w:rFonts w:cs="Arial"/>
          <w:b/>
          <w:bCs/>
          <w:iCs/>
        </w:rPr>
        <w:t>ap</w:t>
      </w:r>
      <w:r>
        <w:rPr>
          <w:rStyle w:val="af"/>
          <w:rFonts w:cs="Arial"/>
          <w:bCs/>
          <w:iCs/>
        </w:rPr>
        <w:footnoteReference w:id="78"/>
      </w:r>
      <w:r w:rsidRPr="001D57CE">
        <w:rPr>
          <w:rFonts w:cs="Arial"/>
          <w:bCs/>
          <w:iCs/>
        </w:rPr>
        <w:t>.</w:t>
      </w:r>
    </w:p>
    <w:p w14:paraId="4B7380D8" w14:textId="2922C353" w:rsidR="00007BFF" w:rsidRDefault="00007BFF" w:rsidP="004619FD">
      <w:pPr>
        <w:spacing w:after="0"/>
        <w:contextualSpacing/>
        <w:jc w:val="both"/>
        <w:rPr>
          <w:rFonts w:cs="Arial"/>
          <w:bCs/>
          <w:iCs/>
        </w:rPr>
      </w:pPr>
    </w:p>
    <w:p w14:paraId="399C718E" w14:textId="41F15FFE" w:rsidR="00007BFF" w:rsidRPr="001D57CE" w:rsidRDefault="00007BFF" w:rsidP="002B4EA3">
      <w:pPr>
        <w:pStyle w:val="affff3"/>
        <w:numPr>
          <w:ilvl w:val="0"/>
          <w:numId w:val="20"/>
        </w:numPr>
        <w:spacing w:after="0" w:line="260" w:lineRule="atLeast"/>
        <w:rPr>
          <w:rFonts w:cs="Arial"/>
        </w:rPr>
      </w:pPr>
      <w:r w:rsidRPr="001D57CE">
        <w:rPr>
          <w:rFonts w:cs="Arial"/>
        </w:rPr>
        <w:t xml:space="preserve">Describe how the proposed </w:t>
      </w:r>
      <w:r w:rsidRPr="00F401B6">
        <w:rPr>
          <w:rFonts w:cs="Arial"/>
          <w:b/>
        </w:rPr>
        <w:t>implementation arrangements</w:t>
      </w:r>
      <w:r w:rsidRPr="001D57CE">
        <w:rPr>
          <w:rFonts w:cs="Arial"/>
        </w:rPr>
        <w:t xml:space="preserve"> will ensure </w:t>
      </w:r>
      <w:r w:rsidRPr="00F401B6">
        <w:rPr>
          <w:rFonts w:cs="Arial"/>
        </w:rPr>
        <w:t>efficient program delivery</w:t>
      </w:r>
      <w:r w:rsidRPr="001D57CE">
        <w:rPr>
          <w:rFonts w:cs="Arial"/>
        </w:rPr>
        <w:t>.</w:t>
      </w:r>
      <w:r w:rsidRPr="001D57CE">
        <w:br/>
      </w:r>
    </w:p>
    <w:tbl>
      <w:tblPr>
        <w:tblStyle w:val="aa"/>
        <w:tblW w:w="0" w:type="auto"/>
        <w:tblLook w:val="04A0" w:firstRow="1" w:lastRow="0" w:firstColumn="1" w:lastColumn="0" w:noHBand="0" w:noVBand="1"/>
      </w:tblPr>
      <w:tblGrid>
        <w:gridCol w:w="10682"/>
      </w:tblGrid>
      <w:tr w:rsidR="00007BFF" w:rsidRPr="001D57CE" w14:paraId="375CA32D" w14:textId="77777777" w:rsidTr="005279BC">
        <w:tc>
          <w:tcPr>
            <w:tcW w:w="10790" w:type="dxa"/>
          </w:tcPr>
          <w:p w14:paraId="7F97702F" w14:textId="1C7E2310" w:rsidR="0095283D" w:rsidRPr="0095283D" w:rsidRDefault="0095283D" w:rsidP="0095283D">
            <w:pPr>
              <w:spacing w:after="0" w:line="240" w:lineRule="auto"/>
              <w:jc w:val="both"/>
              <w:rPr>
                <w:rFonts w:asciiTheme="majorHAnsi" w:hAnsiTheme="majorHAnsi" w:cstheme="majorHAnsi"/>
                <w:color w:val="1D2228"/>
              </w:rPr>
            </w:pPr>
            <w:r w:rsidRPr="0095283D">
              <w:rPr>
                <w:rFonts w:asciiTheme="majorHAnsi" w:hAnsiTheme="majorHAnsi" w:cstheme="majorHAnsi"/>
                <w:color w:val="1D2228"/>
              </w:rPr>
              <w:t>The g</w:t>
            </w:r>
            <w:r w:rsidR="00CF7FA4">
              <w:rPr>
                <w:rFonts w:asciiTheme="majorHAnsi" w:hAnsiTheme="majorHAnsi" w:cstheme="majorHAnsi"/>
                <w:color w:val="1D2228"/>
              </w:rPr>
              <w:t xml:space="preserve">rant's principal recipient </w:t>
            </w:r>
            <w:r w:rsidRPr="0095283D">
              <w:rPr>
                <w:rFonts w:asciiTheme="majorHAnsi" w:hAnsiTheme="majorHAnsi" w:cstheme="majorHAnsi"/>
                <w:color w:val="1D2228"/>
              </w:rPr>
              <w:t xml:space="preserve">is the National Scientific Center of Phthisiopulmonology, which will be responsible for overall project implementation, procurement of necessary equipment, and services. It will develop work plans to implement the grant and submit progress and financial performance reports to the CCM for review and approval, following the GF procedures. Also, the PR has clear roles and responsibilities in data collection and analysis and regular reporting to the MoH respective units through established channels of communication and information systems. </w:t>
            </w:r>
          </w:p>
          <w:p w14:paraId="6FB7B1E8" w14:textId="77777777" w:rsidR="0095283D" w:rsidRPr="0095283D" w:rsidRDefault="0095283D" w:rsidP="0095283D">
            <w:pPr>
              <w:spacing w:after="0" w:line="240" w:lineRule="auto"/>
              <w:jc w:val="both"/>
              <w:rPr>
                <w:rFonts w:asciiTheme="majorHAnsi" w:hAnsiTheme="majorHAnsi" w:cstheme="majorHAnsi"/>
                <w:color w:val="1D2228"/>
              </w:rPr>
            </w:pPr>
          </w:p>
          <w:p w14:paraId="7EE4E65D" w14:textId="610BDD3F" w:rsidR="0095283D" w:rsidRPr="0095283D" w:rsidRDefault="0095283D" w:rsidP="0095283D">
            <w:pPr>
              <w:spacing w:after="0" w:line="240" w:lineRule="auto"/>
              <w:jc w:val="both"/>
              <w:rPr>
                <w:rFonts w:asciiTheme="majorHAnsi" w:hAnsiTheme="majorHAnsi" w:cstheme="majorHAnsi"/>
                <w:color w:val="1D2228"/>
              </w:rPr>
            </w:pPr>
            <w:r w:rsidRPr="0095283D">
              <w:rPr>
                <w:rFonts w:asciiTheme="majorHAnsi" w:hAnsiTheme="majorHAnsi" w:cstheme="majorHAnsi"/>
                <w:color w:val="1D2228"/>
              </w:rPr>
              <w:t xml:space="preserve">Two mechanisms are expected to apply for the procurement of health products: (i) open tendering that will be initiated following policies and procedures defined in the adopted Guide on procurement within the frame of the implementation of grants from the GF in the Republic of Kazakhstan; and (ii) and pooled procurement mechanism through wambo.org and partner GDF </w:t>
            </w:r>
            <w:r w:rsidRPr="008A60FA">
              <w:rPr>
                <w:rFonts w:asciiTheme="majorHAnsi" w:hAnsiTheme="majorHAnsi" w:cstheme="majorHAnsi"/>
                <w:color w:val="1D2228"/>
              </w:rPr>
              <w:t xml:space="preserve">platform. Procurement of drugs for preventive treatment, IGRA supplies, pure substance for DST to SLD, </w:t>
            </w:r>
            <w:r w:rsidR="00F22A12" w:rsidRPr="008A60FA">
              <w:rPr>
                <w:rFonts w:asciiTheme="majorHAnsi" w:hAnsiTheme="majorHAnsi" w:cstheme="majorHAnsi"/>
                <w:color w:val="1D2228"/>
              </w:rPr>
              <w:t xml:space="preserve">Xpert MTB/XDR cartridges </w:t>
            </w:r>
            <w:r w:rsidRPr="008A60FA">
              <w:rPr>
                <w:rFonts w:asciiTheme="majorHAnsi" w:hAnsiTheme="majorHAnsi" w:cstheme="majorHAnsi"/>
                <w:color w:val="1D2228"/>
              </w:rPr>
              <w:t>GeneXper</w:t>
            </w:r>
            <w:r w:rsidR="00F22A12" w:rsidRPr="008A60FA">
              <w:rPr>
                <w:rFonts w:asciiTheme="majorHAnsi" w:hAnsiTheme="majorHAnsi" w:cstheme="majorHAnsi"/>
                <w:color w:val="1D2228"/>
              </w:rPr>
              <w:t>t</w:t>
            </w:r>
            <w:r w:rsidRPr="008A60FA">
              <w:rPr>
                <w:rFonts w:asciiTheme="majorHAnsi" w:hAnsiTheme="majorHAnsi" w:cstheme="majorHAnsi"/>
                <w:color w:val="1D2228"/>
              </w:rPr>
              <w:t xml:space="preserve"> consumables, warranty service will be purchased through the</w:t>
            </w:r>
            <w:r w:rsidRPr="0095283D">
              <w:rPr>
                <w:rFonts w:asciiTheme="majorHAnsi" w:hAnsiTheme="majorHAnsi" w:cstheme="majorHAnsi"/>
                <w:color w:val="1D2228"/>
              </w:rPr>
              <w:t xml:space="preserve"> </w:t>
            </w:r>
            <w:r w:rsidR="00F22A12">
              <w:rPr>
                <w:rFonts w:asciiTheme="majorHAnsi" w:hAnsiTheme="majorHAnsi" w:cstheme="majorHAnsi"/>
                <w:color w:val="1D2228"/>
              </w:rPr>
              <w:t xml:space="preserve">pooled procurement mechanism. </w:t>
            </w:r>
            <w:r w:rsidRPr="0095283D">
              <w:rPr>
                <w:rFonts w:asciiTheme="majorHAnsi" w:hAnsiTheme="majorHAnsi" w:cstheme="majorHAnsi"/>
                <w:color w:val="1D2228"/>
              </w:rPr>
              <w:t>The remaining medical devices and services will be purch</w:t>
            </w:r>
            <w:r w:rsidR="00F22A12">
              <w:rPr>
                <w:rFonts w:asciiTheme="majorHAnsi" w:hAnsiTheme="majorHAnsi" w:cstheme="majorHAnsi"/>
                <w:color w:val="1D2228"/>
              </w:rPr>
              <w:t xml:space="preserve">ased through the open tendering, </w:t>
            </w:r>
            <w:r w:rsidRPr="0095283D">
              <w:rPr>
                <w:rFonts w:asciiTheme="majorHAnsi" w:hAnsiTheme="majorHAnsi" w:cstheme="majorHAnsi"/>
                <w:color w:val="1D2228"/>
              </w:rPr>
              <w:t xml:space="preserve">supported by the data collected at the pre-assessment phase, including the product price and logistic cost, lead time, technical characteristics, and conformity with the quality assurance requirements. Moreover, in selecting the procurement channels, lessons </w:t>
            </w:r>
            <w:r w:rsidR="00452C10" w:rsidRPr="0095283D">
              <w:rPr>
                <w:rFonts w:asciiTheme="majorHAnsi" w:hAnsiTheme="majorHAnsi" w:cstheme="majorHAnsi"/>
                <w:color w:val="1D2228"/>
              </w:rPr>
              <w:t>learned,</w:t>
            </w:r>
            <w:r w:rsidRPr="0095283D">
              <w:rPr>
                <w:rFonts w:asciiTheme="majorHAnsi" w:hAnsiTheme="majorHAnsi" w:cstheme="majorHAnsi"/>
                <w:color w:val="1D2228"/>
              </w:rPr>
              <w:t xml:space="preserve"> and challenges faced in the supply of health products under the previous awards were considered.</w:t>
            </w:r>
            <w:r w:rsidR="008A60FA">
              <w:rPr>
                <w:rFonts w:asciiTheme="majorHAnsi" w:hAnsiTheme="majorHAnsi" w:cstheme="majorHAnsi"/>
                <w:color w:val="1D2228"/>
              </w:rPr>
              <w:t xml:space="preserve"> T</w:t>
            </w:r>
            <w:r w:rsidRPr="0095283D">
              <w:rPr>
                <w:rFonts w:asciiTheme="majorHAnsi" w:hAnsiTheme="majorHAnsi" w:cstheme="majorHAnsi"/>
                <w:color w:val="1D2228"/>
              </w:rPr>
              <w:t xml:space="preserve">he country regulation has been reinforced at the coronavirus pandemic recovery phase regarding the importation of registered and non-registered products. However, the GF's approval will be obtained prior to the procurement. To invite local companies to participate, the tendering documentation for the health products procurement and the composition of the Tender Committee will be defined by the NSCP Director' Orders. The anticipated custom clearance and in-country logistic spending are foreseen in the application budget. </w:t>
            </w:r>
          </w:p>
          <w:p w14:paraId="2E6685C8" w14:textId="77777777" w:rsidR="0095283D" w:rsidRPr="0095283D" w:rsidRDefault="0095283D" w:rsidP="0095283D">
            <w:pPr>
              <w:spacing w:after="0" w:line="240" w:lineRule="auto"/>
              <w:jc w:val="both"/>
              <w:rPr>
                <w:rFonts w:asciiTheme="majorHAnsi" w:hAnsiTheme="majorHAnsi" w:cstheme="majorHAnsi"/>
                <w:color w:val="1D2228"/>
              </w:rPr>
            </w:pPr>
            <w:r w:rsidRPr="0095283D">
              <w:rPr>
                <w:rFonts w:asciiTheme="majorHAnsi" w:hAnsiTheme="majorHAnsi" w:cstheme="majorHAnsi"/>
                <w:color w:val="1D2228"/>
              </w:rPr>
              <w:t xml:space="preserve"> </w:t>
            </w:r>
          </w:p>
          <w:p w14:paraId="5FA8F24D" w14:textId="49D76692" w:rsidR="003D0566" w:rsidRDefault="0095283D" w:rsidP="0095283D">
            <w:pPr>
              <w:spacing w:after="0" w:line="240" w:lineRule="auto"/>
              <w:jc w:val="both"/>
              <w:rPr>
                <w:rFonts w:asciiTheme="majorHAnsi" w:hAnsiTheme="majorHAnsi" w:cstheme="majorHAnsi"/>
                <w:color w:val="1D2228"/>
              </w:rPr>
            </w:pPr>
            <w:r w:rsidRPr="0095283D">
              <w:rPr>
                <w:rFonts w:asciiTheme="majorHAnsi" w:hAnsiTheme="majorHAnsi" w:cstheme="majorHAnsi"/>
                <w:color w:val="1D2228"/>
              </w:rPr>
              <w:t xml:space="preserve">The GF-funded Project Implementation Unit at the NSCP will do procurement per GF's approved procedures and </w:t>
            </w:r>
            <w:r w:rsidR="00F22A12">
              <w:rPr>
                <w:rFonts w:asciiTheme="majorHAnsi" w:hAnsiTheme="majorHAnsi" w:cstheme="majorHAnsi"/>
                <w:color w:val="1D2228"/>
              </w:rPr>
              <w:t>the PIU operation manual</w:t>
            </w:r>
            <w:r w:rsidRPr="0095283D">
              <w:rPr>
                <w:rFonts w:asciiTheme="majorHAnsi" w:hAnsiTheme="majorHAnsi" w:cstheme="majorHAnsi"/>
                <w:color w:val="1D2228"/>
              </w:rPr>
              <w:t xml:space="preserve">. The product distribution will be made based on the NSCP Director's Order and in accordance with the requests received from the beneficiary institutions. The NTP's health products can be stored at the NSCP warehouse for distribution to the sites as per the distribution plan. The accounting department at the PIU/GF will prepare all the necessary documents, and the logistics company hired under the current grants will deliver products procured at the specified addresses. The NCSP, as the PR, will conduct the monitoring of supply availability and delivery of health products to service delivery sites. Additionally, the regional health departments will do an inspection on the medical equipment exploitation through their regular monitoring mechanism. </w:t>
            </w:r>
          </w:p>
          <w:p w14:paraId="757AAF56" w14:textId="77777777" w:rsidR="008A60FA" w:rsidRPr="0095283D" w:rsidRDefault="008A60FA" w:rsidP="0095283D">
            <w:pPr>
              <w:spacing w:after="0" w:line="240" w:lineRule="auto"/>
              <w:jc w:val="both"/>
              <w:rPr>
                <w:rFonts w:cs="Arial"/>
              </w:rPr>
            </w:pPr>
          </w:p>
          <w:p w14:paraId="6801A8B5" w14:textId="4991F3E6" w:rsidR="00557751" w:rsidRDefault="003D0566" w:rsidP="0095283D">
            <w:pPr>
              <w:spacing w:after="0" w:line="240" w:lineRule="auto"/>
              <w:jc w:val="both"/>
              <w:rPr>
                <w:rFonts w:cs="Arial"/>
              </w:rPr>
            </w:pPr>
            <w:r w:rsidRPr="0095283D">
              <w:rPr>
                <w:rFonts w:cs="Arial"/>
              </w:rPr>
              <w:t>There might be some custom clearance delay in releasing the goods imported from abroad due to complicated procedures. According to the Rules</w:t>
            </w:r>
            <w:r w:rsidRPr="00936FD9">
              <w:rPr>
                <w:vertAlign w:val="superscript"/>
              </w:rPr>
              <w:footnoteReference w:id="79"/>
            </w:r>
            <w:r w:rsidRPr="0095283D">
              <w:rPr>
                <w:rFonts w:cs="Arial"/>
              </w:rPr>
              <w:t xml:space="preserve"> for the import of medicines and medical devices into the territory of the Republic of Kazakhstan, it is necessary to obtain an import permit. This procedure takes from 30 to 40 working days. However, the supplier can provide documents for the goods (certificate of origin, certificate of analysis, information on weight, etc.) after the goods have been produced and ready for shipment. In addition, after receiving permission to import into the country, the PIU/GF </w:t>
            </w:r>
            <w:proofErr w:type="gramStart"/>
            <w:r w:rsidRPr="0095283D">
              <w:rPr>
                <w:rFonts w:cs="Arial"/>
              </w:rPr>
              <w:t>has to</w:t>
            </w:r>
            <w:proofErr w:type="gramEnd"/>
            <w:r w:rsidRPr="0095283D">
              <w:rPr>
                <w:rFonts w:cs="Arial"/>
              </w:rPr>
              <w:t xml:space="preserve"> prepare letters to the MoH and the Ministry of Finance of the </w:t>
            </w:r>
            <w:r w:rsidR="00CF7FA4">
              <w:rPr>
                <w:rFonts w:cs="Arial"/>
              </w:rPr>
              <w:t>RK</w:t>
            </w:r>
            <w:r w:rsidRPr="0095283D">
              <w:rPr>
                <w:rFonts w:cs="Arial"/>
              </w:rPr>
              <w:t xml:space="preserve"> to exempt the goods from taxes and customs duties. Accordingly, upon the arrival of the goods in Kazakhstan, it may take from one to four months to complete customs</w:t>
            </w:r>
            <w:r w:rsidR="0095283D">
              <w:rPr>
                <w:rFonts w:cs="Arial"/>
              </w:rPr>
              <w:t xml:space="preserve"> clearance</w:t>
            </w:r>
            <w:r w:rsidRPr="0095283D">
              <w:rPr>
                <w:rFonts w:cs="Arial"/>
              </w:rPr>
              <w:t xml:space="preserve"> if the supplier does not provide documents for the goods on time. Meanwhile, the goods can be placed in the temporary storage of the customs control. </w:t>
            </w:r>
            <w:r w:rsidR="0095283D" w:rsidRPr="0095283D">
              <w:rPr>
                <w:rFonts w:cs="Arial"/>
              </w:rPr>
              <w:t>Also, the importation of health products not registered in the country requires undergoing the process of reconciliation with the Committee on Medical Goods and Services and Pharmaceuti</w:t>
            </w:r>
            <w:r w:rsidR="00AF1C8E">
              <w:rPr>
                <w:rFonts w:cs="Arial"/>
              </w:rPr>
              <w:t xml:space="preserve">cal Control at the MoH </w:t>
            </w:r>
            <w:r w:rsidR="0095283D" w:rsidRPr="0095283D">
              <w:rPr>
                <w:rFonts w:cs="Arial"/>
              </w:rPr>
              <w:t xml:space="preserve">for importing goods. </w:t>
            </w:r>
          </w:p>
          <w:p w14:paraId="78F846DA" w14:textId="77777777" w:rsidR="0095283D" w:rsidRPr="0095283D" w:rsidRDefault="0095283D" w:rsidP="0095283D">
            <w:pPr>
              <w:spacing w:after="0" w:line="240" w:lineRule="auto"/>
              <w:jc w:val="both"/>
              <w:rPr>
                <w:rFonts w:cs="Arial"/>
              </w:rPr>
            </w:pPr>
          </w:p>
          <w:p w14:paraId="7EA56FEC" w14:textId="49C9EF5D" w:rsidR="008A60FA" w:rsidRDefault="00F22A12" w:rsidP="00F22A12">
            <w:pPr>
              <w:spacing w:line="240" w:lineRule="auto"/>
              <w:jc w:val="both"/>
              <w:rPr>
                <w:rFonts w:cs="Arial"/>
                <w:color w:val="1D2228"/>
              </w:rPr>
            </w:pPr>
            <w:r>
              <w:rPr>
                <w:rFonts w:cs="Arial"/>
                <w:color w:val="1D2228"/>
              </w:rPr>
              <w:t>The GF TB fu</w:t>
            </w:r>
            <w:r w:rsidR="00FF1A64" w:rsidRPr="00FF1A64">
              <w:rPr>
                <w:rFonts w:cs="Arial"/>
                <w:color w:val="1D2228"/>
              </w:rPr>
              <w:t>nds will be transferred to a separate dollar account of the Principal Recipient. As required, the PR converts and transfers money in national currency (tenge) to their current accounts and pays implementing partners for service delivery.</w:t>
            </w:r>
            <w:r w:rsidR="00FF1A64">
              <w:rPr>
                <w:rFonts w:cs="Arial"/>
                <w:color w:val="1D2228"/>
              </w:rPr>
              <w:t xml:space="preserve"> </w:t>
            </w:r>
            <w:r w:rsidR="00457163" w:rsidRPr="00457163">
              <w:rPr>
                <w:rFonts w:cs="Arial"/>
                <w:color w:val="1D2228"/>
              </w:rPr>
              <w:t>The new funding approach will be piloted in contracting with selected NGOs, and the funds will be disbursed to NGOs by signing new agreements. According to the PRs’ rule that applies to working with sub-recipients (SRs), the NGOs submit quarterly financial and programmatic reports, including achievements on indicators. The subsequent installment is paid only upon approval of the reports. For the operational research studies, the funds wil</w:t>
            </w:r>
            <w:r>
              <w:rPr>
                <w:rFonts w:cs="Arial"/>
                <w:color w:val="1D2228"/>
              </w:rPr>
              <w:t>l be contracted out with KNCV</w:t>
            </w:r>
            <w:r w:rsidR="00457163" w:rsidRPr="00457163">
              <w:rPr>
                <w:rFonts w:cs="Arial"/>
                <w:color w:val="1D2228"/>
              </w:rPr>
              <w:t xml:space="preserve"> and PIH. The competitive contracts will be awarded to local and international consults for services and tasks. The project will continue supporting the Center for Clinical Mentoring</w:t>
            </w:r>
            <w:r w:rsidR="00AF1C8E">
              <w:rPr>
                <w:rFonts w:cs="Arial"/>
                <w:color w:val="1D2228"/>
              </w:rPr>
              <w:t>, and Advanced Training</w:t>
            </w:r>
            <w:r w:rsidR="00457163" w:rsidRPr="00457163">
              <w:rPr>
                <w:rFonts w:cs="Arial"/>
                <w:color w:val="1D2228"/>
              </w:rPr>
              <w:t xml:space="preserve"> at the NSCP initiated during the current grant. Services </w:t>
            </w:r>
            <w:r>
              <w:rPr>
                <w:rFonts w:cs="Arial"/>
                <w:color w:val="1D2228"/>
              </w:rPr>
              <w:t>are</w:t>
            </w:r>
            <w:r w:rsidR="00457163" w:rsidRPr="00457163">
              <w:rPr>
                <w:rFonts w:cs="Arial"/>
                <w:color w:val="1D2228"/>
              </w:rPr>
              <w:t xml:space="preserve"> outsourced for the maintenance of IT equipment and software. </w:t>
            </w:r>
          </w:p>
          <w:p w14:paraId="18FCF4CD" w14:textId="2BC3B057" w:rsidR="00DF5CC7" w:rsidRPr="00457163" w:rsidRDefault="00457163" w:rsidP="00F22A12">
            <w:pPr>
              <w:spacing w:line="240" w:lineRule="auto"/>
              <w:jc w:val="both"/>
              <w:rPr>
                <w:rFonts w:cs="Arial"/>
                <w:color w:val="1D2228"/>
              </w:rPr>
            </w:pPr>
            <w:r w:rsidRPr="00F22A12">
              <w:rPr>
                <w:rFonts w:cs="Arial"/>
                <w:i/>
                <w:color w:val="1D2228"/>
              </w:rPr>
              <w:t>For more details, please visit Annex “Implementation Arrangements Map.”</w:t>
            </w:r>
            <w:r w:rsidRPr="00457163">
              <w:rPr>
                <w:rFonts w:cs="Arial"/>
                <w:color w:val="1D2228"/>
              </w:rPr>
              <w:t xml:space="preserve"> </w:t>
            </w:r>
          </w:p>
        </w:tc>
      </w:tr>
    </w:tbl>
    <w:p w14:paraId="77ECCEE2" w14:textId="67513B2D" w:rsidR="00007BFF" w:rsidRPr="001D57CE" w:rsidRDefault="00007BFF" w:rsidP="00485066">
      <w:pPr>
        <w:spacing w:after="0"/>
        <w:contextualSpacing/>
        <w:rPr>
          <w:rFonts w:cs="Arial"/>
          <w:bCs/>
          <w:iCs/>
        </w:rPr>
      </w:pPr>
    </w:p>
    <w:p w14:paraId="6B7B6961" w14:textId="191C1782" w:rsidR="00007BFF" w:rsidRPr="001D57CE" w:rsidRDefault="00007BFF" w:rsidP="002B4EA3">
      <w:pPr>
        <w:pStyle w:val="affff3"/>
        <w:numPr>
          <w:ilvl w:val="0"/>
          <w:numId w:val="21"/>
        </w:numPr>
        <w:spacing w:after="0" w:line="260" w:lineRule="atLeast"/>
        <w:jc w:val="both"/>
        <w:rPr>
          <w:rFonts w:cs="Arial"/>
        </w:rPr>
      </w:pPr>
      <w:r>
        <w:t>De</w:t>
      </w:r>
      <w:r w:rsidRPr="001D57CE">
        <w:t xml:space="preserve">scribe the role that </w:t>
      </w:r>
      <w:r w:rsidRPr="0096146C">
        <w:rPr>
          <w:b/>
        </w:rPr>
        <w:t>community-based organizations</w:t>
      </w:r>
      <w:r w:rsidRPr="001D57CE">
        <w:t xml:space="preserve"> will play under the implementation arrangements.</w:t>
      </w:r>
    </w:p>
    <w:p w14:paraId="7886AAC4" w14:textId="77777777" w:rsidR="00007BFF" w:rsidRPr="008C21CF" w:rsidRDefault="00007BFF" w:rsidP="00E442A2">
      <w:pPr>
        <w:pStyle w:val="affff3"/>
        <w:spacing w:after="0"/>
        <w:ind w:left="360"/>
        <w:rPr>
          <w:bCs/>
          <w:iCs/>
        </w:rPr>
      </w:pPr>
    </w:p>
    <w:tbl>
      <w:tblPr>
        <w:tblStyle w:val="aa"/>
        <w:tblW w:w="0" w:type="auto"/>
        <w:tblLook w:val="04A0" w:firstRow="1" w:lastRow="0" w:firstColumn="1" w:lastColumn="0" w:noHBand="0" w:noVBand="1"/>
      </w:tblPr>
      <w:tblGrid>
        <w:gridCol w:w="10682"/>
      </w:tblGrid>
      <w:tr w:rsidR="00007BFF" w:rsidRPr="001D57CE" w14:paraId="052E012C" w14:textId="77777777" w:rsidTr="00F32F43">
        <w:tc>
          <w:tcPr>
            <w:tcW w:w="10682" w:type="dxa"/>
          </w:tcPr>
          <w:p w14:paraId="17D33F91" w14:textId="77777777" w:rsidR="008A135D" w:rsidRDefault="00D8441E" w:rsidP="00D8441E">
            <w:pPr>
              <w:jc w:val="both"/>
              <w:rPr>
                <w:rFonts w:cs="Arial"/>
              </w:rPr>
            </w:pPr>
            <w:r w:rsidRPr="006444E3">
              <w:rPr>
                <w:rFonts w:asciiTheme="majorHAnsi" w:hAnsiTheme="majorHAnsi" w:cstheme="majorHAnsi"/>
                <w:color w:val="1D2228"/>
              </w:rPr>
              <w:t xml:space="preserve">The role of civil society organizations is essential for effective national </w:t>
            </w:r>
            <w:r w:rsidR="00D90C63">
              <w:rPr>
                <w:rFonts w:asciiTheme="majorHAnsi" w:hAnsiTheme="majorHAnsi" w:cstheme="majorHAnsi"/>
                <w:color w:val="1D2228"/>
              </w:rPr>
              <w:t>TB response</w:t>
            </w:r>
            <w:r w:rsidR="00D90C63" w:rsidRPr="006444E3">
              <w:rPr>
                <w:rFonts w:asciiTheme="majorHAnsi" w:hAnsiTheme="majorHAnsi" w:cstheme="majorHAnsi"/>
                <w:color w:val="1D2228"/>
              </w:rPr>
              <w:t>, which</w:t>
            </w:r>
            <w:r w:rsidR="00E93A0F">
              <w:rPr>
                <w:rFonts w:asciiTheme="majorHAnsi" w:hAnsiTheme="majorHAnsi" w:cstheme="majorHAnsi"/>
                <w:color w:val="1D2228"/>
              </w:rPr>
              <w:t xml:space="preserve"> the government</w:t>
            </w:r>
            <w:r w:rsidRPr="006444E3">
              <w:rPr>
                <w:rFonts w:asciiTheme="majorHAnsi" w:hAnsiTheme="majorHAnsi" w:cstheme="majorHAnsi"/>
                <w:color w:val="1D2228"/>
              </w:rPr>
              <w:t xml:space="preserve"> </w:t>
            </w:r>
            <w:r>
              <w:rPr>
                <w:rFonts w:asciiTheme="majorHAnsi" w:hAnsiTheme="majorHAnsi" w:cstheme="majorHAnsi"/>
                <w:color w:val="1D2228"/>
              </w:rPr>
              <w:t xml:space="preserve">greatly </w:t>
            </w:r>
            <w:r w:rsidRPr="006444E3">
              <w:rPr>
                <w:rFonts w:asciiTheme="majorHAnsi" w:hAnsiTheme="majorHAnsi" w:cstheme="majorHAnsi"/>
                <w:color w:val="1D2228"/>
              </w:rPr>
              <w:t xml:space="preserve">acknowledges. </w:t>
            </w:r>
            <w:r w:rsidR="009C027B">
              <w:rPr>
                <w:rFonts w:asciiTheme="majorHAnsi" w:hAnsiTheme="majorHAnsi" w:cstheme="majorHAnsi"/>
                <w:color w:val="000000"/>
              </w:rPr>
              <w:t>Ninteen</w:t>
            </w:r>
            <w:r w:rsidRPr="00B00967">
              <w:rPr>
                <w:rFonts w:asciiTheme="majorHAnsi" w:hAnsiTheme="majorHAnsi" w:cstheme="majorHAnsi"/>
                <w:color w:val="000000"/>
              </w:rPr>
              <w:t xml:space="preserve"> NGOs are currently supporting the </w:t>
            </w:r>
            <w:r w:rsidR="00884A2D">
              <w:rPr>
                <w:rFonts w:asciiTheme="majorHAnsi" w:hAnsiTheme="majorHAnsi" w:cstheme="majorHAnsi"/>
                <w:color w:val="000000"/>
              </w:rPr>
              <w:t xml:space="preserve">NTPs through </w:t>
            </w:r>
            <w:r w:rsidR="009C027B">
              <w:rPr>
                <w:rFonts w:asciiTheme="majorHAnsi" w:hAnsiTheme="majorHAnsi" w:cstheme="majorHAnsi"/>
                <w:color w:val="000000"/>
              </w:rPr>
              <w:t xml:space="preserve">the </w:t>
            </w:r>
            <w:r w:rsidR="00884A2D">
              <w:rPr>
                <w:rFonts w:asciiTheme="majorHAnsi" w:hAnsiTheme="majorHAnsi" w:cstheme="majorHAnsi"/>
                <w:color w:val="000000"/>
              </w:rPr>
              <w:t>GF projects.</w:t>
            </w:r>
            <w:r w:rsidR="00CA4016">
              <w:rPr>
                <w:rFonts w:asciiTheme="majorHAnsi" w:hAnsiTheme="majorHAnsi" w:cstheme="majorHAnsi"/>
                <w:color w:val="000000"/>
              </w:rPr>
              <w:t xml:space="preserve"> </w:t>
            </w:r>
            <w:r w:rsidR="008F079A">
              <w:rPr>
                <w:rFonts w:asciiTheme="majorHAnsi" w:hAnsiTheme="majorHAnsi" w:cstheme="majorHAnsi"/>
                <w:color w:val="1D2228"/>
              </w:rPr>
              <w:t>Building on positive experiences, the proposed interventions</w:t>
            </w:r>
            <w:r w:rsidR="008F079A" w:rsidRPr="001D07EF">
              <w:rPr>
                <w:rFonts w:asciiTheme="majorHAnsi" w:hAnsiTheme="majorHAnsi" w:cstheme="majorHAnsi"/>
                <w:color w:val="1D2228"/>
              </w:rPr>
              <w:t xml:space="preserve"> will </w:t>
            </w:r>
            <w:r w:rsidR="00CA4019">
              <w:t>continue tailoring program activities to the needs of the clients, and to ensure quality and impact.</w:t>
            </w:r>
            <w:r w:rsidR="003C4F64">
              <w:rPr>
                <w:rFonts w:cs="Arial"/>
              </w:rPr>
              <w:t xml:space="preserve"> </w:t>
            </w:r>
          </w:p>
          <w:p w14:paraId="44F3DB68" w14:textId="28A01E62" w:rsidR="00D8441E" w:rsidRPr="008A135D" w:rsidRDefault="00CA4019" w:rsidP="008A135D">
            <w:pPr>
              <w:rPr>
                <w:rFonts w:cs="Arial"/>
                <w:b/>
              </w:rPr>
            </w:pPr>
            <w:r>
              <w:rPr>
                <w:rFonts w:cs="Arial"/>
              </w:rPr>
              <w:t>T</w:t>
            </w:r>
            <w:r w:rsidR="003C4F64">
              <w:rPr>
                <w:rFonts w:cs="Arial"/>
              </w:rPr>
              <w:t xml:space="preserve">he role of </w:t>
            </w:r>
            <w:r w:rsidR="00D8441E">
              <w:rPr>
                <w:rFonts w:asciiTheme="majorHAnsi" w:hAnsiTheme="majorHAnsi" w:cstheme="majorHAnsi"/>
                <w:color w:val="1D2228"/>
              </w:rPr>
              <w:t xml:space="preserve">CBOs </w:t>
            </w:r>
            <w:r w:rsidR="00D83824">
              <w:rPr>
                <w:rFonts w:asciiTheme="majorHAnsi" w:hAnsiTheme="majorHAnsi" w:cstheme="majorHAnsi"/>
                <w:color w:val="1D2228"/>
              </w:rPr>
              <w:t>under the new grant</w:t>
            </w:r>
            <w:r w:rsidR="003C4F64">
              <w:rPr>
                <w:rFonts w:asciiTheme="majorHAnsi" w:hAnsiTheme="majorHAnsi" w:cstheme="majorHAnsi"/>
                <w:color w:val="1D2228"/>
              </w:rPr>
              <w:t xml:space="preserve"> </w:t>
            </w:r>
            <w:r w:rsidR="00984753">
              <w:rPr>
                <w:rFonts w:asciiTheme="majorHAnsi" w:hAnsiTheme="majorHAnsi" w:cstheme="majorHAnsi"/>
                <w:color w:val="1D2228"/>
              </w:rPr>
              <w:t>is summarized below</w:t>
            </w:r>
            <w:r w:rsidR="00207758">
              <w:rPr>
                <w:rFonts w:asciiTheme="majorHAnsi" w:hAnsiTheme="majorHAnsi" w:cstheme="majorHAnsi"/>
                <w:color w:val="1D2228"/>
              </w:rPr>
              <w:t>,</w:t>
            </w:r>
            <w:r w:rsidR="008A135D">
              <w:rPr>
                <w:rFonts w:asciiTheme="majorHAnsi" w:hAnsiTheme="majorHAnsi" w:cstheme="majorHAnsi"/>
                <w:color w:val="1D2228"/>
              </w:rPr>
              <w:t xml:space="preserve"> and details on interventions and activities are presented in </w:t>
            </w:r>
            <w:r w:rsidR="008A135D" w:rsidRPr="008A135D">
              <w:rPr>
                <w:rFonts w:cs="Arial"/>
                <w:i/>
              </w:rPr>
              <w:t>Module: TB care and prevention</w:t>
            </w:r>
            <w:r w:rsidR="008A135D">
              <w:rPr>
                <w:rFonts w:cs="Arial"/>
                <w:i/>
              </w:rPr>
              <w:t>:</w:t>
            </w:r>
          </w:p>
          <w:p w14:paraId="1928DDC0" w14:textId="77777777" w:rsidR="003B382A" w:rsidRDefault="006367E2" w:rsidP="006A0E08">
            <w:pPr>
              <w:pStyle w:val="affff3"/>
              <w:numPr>
                <w:ilvl w:val="0"/>
                <w:numId w:val="45"/>
              </w:numPr>
              <w:jc w:val="both"/>
              <w:rPr>
                <w:rFonts w:asciiTheme="majorHAnsi" w:hAnsiTheme="majorHAnsi" w:cstheme="majorHAnsi"/>
              </w:rPr>
            </w:pPr>
            <w:r>
              <w:rPr>
                <w:rFonts w:asciiTheme="majorHAnsi" w:hAnsiTheme="majorHAnsi" w:cstheme="majorHAnsi"/>
                <w:color w:val="1D2228"/>
              </w:rPr>
              <w:t>S</w:t>
            </w:r>
            <w:r w:rsidRPr="006367E2">
              <w:rPr>
                <w:rFonts w:asciiTheme="majorHAnsi" w:hAnsiTheme="majorHAnsi" w:cstheme="majorHAnsi"/>
                <w:color w:val="1D2228"/>
              </w:rPr>
              <w:t>upplementing and complementing the central and local governments</w:t>
            </w:r>
            <w:r>
              <w:rPr>
                <w:rFonts w:asciiTheme="majorHAnsi" w:hAnsiTheme="majorHAnsi" w:cstheme="majorHAnsi"/>
                <w:color w:val="1D2228"/>
              </w:rPr>
              <w:t xml:space="preserve"> </w:t>
            </w:r>
            <w:r w:rsidRPr="006367E2">
              <w:rPr>
                <w:rFonts w:asciiTheme="majorHAnsi" w:hAnsiTheme="majorHAnsi" w:cstheme="majorHAnsi"/>
                <w:color w:val="1D2228"/>
              </w:rPr>
              <w:t xml:space="preserve">in health prevention and promotion by </w:t>
            </w:r>
            <w:r w:rsidRPr="006367E2">
              <w:rPr>
                <w:rFonts w:asciiTheme="majorHAnsi" w:hAnsiTheme="majorHAnsi" w:cstheme="majorHAnsi"/>
              </w:rPr>
              <w:t>targeting vulnerable and hard-to-reach population groups and as</w:t>
            </w:r>
            <w:r>
              <w:rPr>
                <w:rFonts w:asciiTheme="majorHAnsi" w:hAnsiTheme="majorHAnsi" w:cstheme="majorHAnsi"/>
              </w:rPr>
              <w:t xml:space="preserve">serting their rights to health. </w:t>
            </w:r>
          </w:p>
          <w:p w14:paraId="502335BD" w14:textId="4FCFC72C" w:rsidR="00611B1E" w:rsidRPr="003B382A" w:rsidRDefault="006367E2" w:rsidP="006A0E08">
            <w:pPr>
              <w:pStyle w:val="affff3"/>
              <w:numPr>
                <w:ilvl w:val="0"/>
                <w:numId w:val="45"/>
              </w:numPr>
              <w:jc w:val="both"/>
              <w:rPr>
                <w:rFonts w:asciiTheme="majorHAnsi" w:hAnsiTheme="majorHAnsi" w:cstheme="majorHAnsi"/>
              </w:rPr>
            </w:pPr>
            <w:r w:rsidRPr="003B382A">
              <w:rPr>
                <w:rFonts w:asciiTheme="majorHAnsi" w:hAnsiTheme="majorHAnsi" w:cstheme="majorHAnsi"/>
              </w:rPr>
              <w:t>Contributing to early TB</w:t>
            </w:r>
            <w:r w:rsidR="00611B1E" w:rsidRPr="003B382A">
              <w:rPr>
                <w:rFonts w:asciiTheme="majorHAnsi" w:hAnsiTheme="majorHAnsi" w:cstheme="majorHAnsi"/>
              </w:rPr>
              <w:t xml:space="preserve"> and TB/HIV</w:t>
            </w:r>
            <w:r w:rsidRPr="003B382A">
              <w:rPr>
                <w:rFonts w:asciiTheme="majorHAnsi" w:hAnsiTheme="majorHAnsi" w:cstheme="majorHAnsi"/>
              </w:rPr>
              <w:t xml:space="preserve"> </w:t>
            </w:r>
            <w:r w:rsidR="00611B1E" w:rsidRPr="003B382A">
              <w:rPr>
                <w:rFonts w:asciiTheme="majorHAnsi" w:hAnsiTheme="majorHAnsi" w:cstheme="majorHAnsi"/>
              </w:rPr>
              <w:t xml:space="preserve">coinfection </w:t>
            </w:r>
            <w:r w:rsidRPr="003B382A">
              <w:rPr>
                <w:rFonts w:asciiTheme="majorHAnsi" w:hAnsiTheme="majorHAnsi" w:cstheme="majorHAnsi"/>
              </w:rPr>
              <w:t xml:space="preserve">case detection. </w:t>
            </w:r>
          </w:p>
          <w:p w14:paraId="5ACC300E" w14:textId="71D16CC9" w:rsidR="006367E2" w:rsidRPr="006367E2" w:rsidRDefault="006367E2" w:rsidP="006A0E08">
            <w:pPr>
              <w:pStyle w:val="affff3"/>
              <w:numPr>
                <w:ilvl w:val="0"/>
                <w:numId w:val="45"/>
              </w:numPr>
              <w:jc w:val="both"/>
              <w:rPr>
                <w:rFonts w:asciiTheme="majorHAnsi" w:hAnsiTheme="majorHAnsi" w:cstheme="majorHAnsi"/>
              </w:rPr>
            </w:pPr>
            <w:r w:rsidRPr="006367E2">
              <w:rPr>
                <w:rFonts w:asciiTheme="majorHAnsi" w:hAnsiTheme="majorHAnsi" w:cstheme="majorHAnsi"/>
              </w:rPr>
              <w:t>Providing psychosocial assistance to TB-affected key-population, improving adherence to treatment.</w:t>
            </w:r>
            <w:r>
              <w:rPr>
                <w:rFonts w:asciiTheme="majorHAnsi" w:hAnsiTheme="majorHAnsi" w:cstheme="majorHAnsi"/>
              </w:rPr>
              <w:t xml:space="preserve"> </w:t>
            </w:r>
          </w:p>
          <w:p w14:paraId="1E364A5D" w14:textId="77777777" w:rsidR="006367E2" w:rsidRPr="00C557BE" w:rsidRDefault="006367E2" w:rsidP="006A0E08">
            <w:pPr>
              <w:pStyle w:val="affff3"/>
              <w:numPr>
                <w:ilvl w:val="0"/>
                <w:numId w:val="26"/>
              </w:numPr>
              <w:jc w:val="both"/>
              <w:rPr>
                <w:rFonts w:asciiTheme="majorHAnsi" w:hAnsiTheme="majorHAnsi" w:cstheme="majorHAnsi"/>
              </w:rPr>
            </w:pPr>
            <w:r w:rsidRPr="00056F69">
              <w:rPr>
                <w:rFonts w:asciiTheme="majorHAnsi" w:hAnsiTheme="majorHAnsi" w:cstheme="majorHAnsi"/>
                <w:color w:val="1D2228"/>
              </w:rPr>
              <w:t>Partner</w:t>
            </w:r>
            <w:r>
              <w:rPr>
                <w:rFonts w:asciiTheme="majorHAnsi" w:hAnsiTheme="majorHAnsi" w:cstheme="majorHAnsi"/>
                <w:color w:val="1D2228"/>
              </w:rPr>
              <w:t xml:space="preserve">ship formation with the MoH and social sector, </w:t>
            </w:r>
            <w:r w:rsidRPr="00056F69">
              <w:rPr>
                <w:rFonts w:asciiTheme="majorHAnsi" w:hAnsiTheme="majorHAnsi" w:cstheme="majorHAnsi"/>
                <w:color w:val="1D2228"/>
              </w:rPr>
              <w:t>programs on TB, HIV, COVID-1</w:t>
            </w:r>
            <w:r>
              <w:rPr>
                <w:rFonts w:asciiTheme="majorHAnsi" w:hAnsiTheme="majorHAnsi" w:cstheme="majorHAnsi"/>
                <w:color w:val="1D2228"/>
              </w:rPr>
              <w:t>9, migration as well as local governments on the</w:t>
            </w:r>
            <w:r w:rsidRPr="00056F69">
              <w:rPr>
                <w:rFonts w:asciiTheme="majorHAnsi" w:hAnsiTheme="majorHAnsi" w:cstheme="majorHAnsi"/>
                <w:color w:val="1D2228"/>
              </w:rPr>
              <w:t xml:space="preserve"> special social support efforts to achieve common aims and objectives and increase the possibility for </w:t>
            </w:r>
            <w:r>
              <w:rPr>
                <w:rFonts w:asciiTheme="majorHAnsi" w:hAnsiTheme="majorHAnsi" w:cstheme="majorHAnsi"/>
                <w:color w:val="1D2228"/>
              </w:rPr>
              <w:t xml:space="preserve">delivery </w:t>
            </w:r>
            <w:r w:rsidRPr="00056F69">
              <w:rPr>
                <w:rFonts w:asciiTheme="majorHAnsi" w:hAnsiTheme="majorHAnsi" w:cstheme="majorHAnsi"/>
                <w:color w:val="1D2228"/>
              </w:rPr>
              <w:t xml:space="preserve">a broader range of activities under the social order the country defines for the NGOs. </w:t>
            </w:r>
          </w:p>
          <w:p w14:paraId="28019E5D" w14:textId="77777777" w:rsidR="006367E2" w:rsidRDefault="006367E2" w:rsidP="006A0E08">
            <w:pPr>
              <w:pStyle w:val="affff3"/>
              <w:numPr>
                <w:ilvl w:val="0"/>
                <w:numId w:val="26"/>
              </w:numPr>
              <w:jc w:val="both"/>
              <w:rPr>
                <w:rFonts w:asciiTheme="majorHAnsi" w:hAnsiTheme="majorHAnsi" w:cstheme="majorHAnsi"/>
              </w:rPr>
            </w:pPr>
            <w:r w:rsidRPr="00056F69">
              <w:rPr>
                <w:rFonts w:asciiTheme="majorHAnsi" w:hAnsiTheme="majorHAnsi" w:cstheme="majorHAnsi"/>
              </w:rPr>
              <w:t>Supporting local governments with the provision of specific social services to people and families in difficult life situations, including migrants and stateless by assisting them with legal documents preparation and referring (e</w:t>
            </w:r>
            <w:r>
              <w:rPr>
                <w:rFonts w:asciiTheme="majorHAnsi" w:hAnsiTheme="majorHAnsi" w:cstheme="majorHAnsi"/>
              </w:rPr>
              <w:t>scorting clients) to healthcare.</w:t>
            </w:r>
          </w:p>
          <w:p w14:paraId="0211B4EE" w14:textId="7C56C647" w:rsidR="006367E2" w:rsidRPr="00056F69" w:rsidRDefault="006367E2" w:rsidP="006A0E08">
            <w:pPr>
              <w:pStyle w:val="affff3"/>
              <w:numPr>
                <w:ilvl w:val="0"/>
                <w:numId w:val="26"/>
              </w:numPr>
              <w:jc w:val="both"/>
              <w:rPr>
                <w:rFonts w:asciiTheme="majorHAnsi" w:hAnsiTheme="majorHAnsi" w:cstheme="majorHAnsi"/>
              </w:rPr>
            </w:pPr>
            <w:r w:rsidRPr="00056F69">
              <w:rPr>
                <w:rFonts w:asciiTheme="majorHAnsi" w:hAnsiTheme="majorHAnsi" w:cstheme="majorHAnsi"/>
              </w:rPr>
              <w:t>Contributing to legislative and policy-making processes through existing mechanisms.</w:t>
            </w:r>
          </w:p>
          <w:p w14:paraId="1121FC2F" w14:textId="75282952" w:rsidR="006367E2" w:rsidRDefault="006367E2" w:rsidP="006A0E08">
            <w:pPr>
              <w:pStyle w:val="affff3"/>
              <w:numPr>
                <w:ilvl w:val="0"/>
                <w:numId w:val="26"/>
              </w:numPr>
              <w:jc w:val="both"/>
              <w:rPr>
                <w:rFonts w:asciiTheme="majorHAnsi" w:hAnsiTheme="majorHAnsi" w:cstheme="majorHAnsi"/>
              </w:rPr>
            </w:pPr>
            <w:r>
              <w:rPr>
                <w:rFonts w:asciiTheme="majorHAnsi" w:hAnsiTheme="majorHAnsi" w:cstheme="majorHAnsi"/>
              </w:rPr>
              <w:t xml:space="preserve">Building community linkages </w:t>
            </w:r>
            <w:r w:rsidR="00C557BE" w:rsidRPr="00EF1450">
              <w:rPr>
                <w:rFonts w:asciiTheme="majorHAnsi" w:hAnsiTheme="majorHAnsi" w:cstheme="majorHAnsi"/>
              </w:rPr>
              <w:t>and exchange of experience with other NGOs.</w:t>
            </w:r>
          </w:p>
          <w:p w14:paraId="2C47C292" w14:textId="19BA44F2" w:rsidR="00D8441E" w:rsidRPr="006539C7" w:rsidRDefault="00D8441E" w:rsidP="006A0E08">
            <w:pPr>
              <w:pStyle w:val="affff3"/>
              <w:numPr>
                <w:ilvl w:val="0"/>
                <w:numId w:val="26"/>
              </w:numPr>
              <w:jc w:val="both"/>
              <w:rPr>
                <w:rFonts w:asciiTheme="majorHAnsi" w:hAnsiTheme="majorHAnsi" w:cstheme="majorHAnsi"/>
              </w:rPr>
            </w:pPr>
            <w:r w:rsidRPr="006539C7">
              <w:rPr>
                <w:rFonts w:asciiTheme="majorHAnsi" w:hAnsiTheme="majorHAnsi" w:cstheme="majorHAnsi"/>
              </w:rPr>
              <w:t>Co</w:t>
            </w:r>
            <w:r w:rsidR="00F84CE3">
              <w:rPr>
                <w:rFonts w:asciiTheme="majorHAnsi" w:hAnsiTheme="majorHAnsi" w:cstheme="majorHAnsi"/>
              </w:rPr>
              <w:t>ntributing to public monitoring.</w:t>
            </w:r>
          </w:p>
          <w:p w14:paraId="5800170E" w14:textId="67DA108A" w:rsidR="00D8441E" w:rsidRPr="006539C7" w:rsidRDefault="00D8441E" w:rsidP="006A0E08">
            <w:pPr>
              <w:pStyle w:val="affff3"/>
              <w:numPr>
                <w:ilvl w:val="0"/>
                <w:numId w:val="26"/>
              </w:numPr>
              <w:jc w:val="both"/>
              <w:rPr>
                <w:rFonts w:asciiTheme="majorHAnsi" w:hAnsiTheme="majorHAnsi" w:cstheme="majorHAnsi"/>
              </w:rPr>
            </w:pPr>
            <w:r w:rsidRPr="006539C7">
              <w:rPr>
                <w:rFonts w:asciiTheme="majorHAnsi" w:hAnsiTheme="majorHAnsi" w:cstheme="majorHAnsi"/>
              </w:rPr>
              <w:t>Supplying with reliable information to draw on when designing/rede</w:t>
            </w:r>
            <w:r w:rsidR="00C557BE">
              <w:rPr>
                <w:rFonts w:asciiTheme="majorHAnsi" w:hAnsiTheme="majorHAnsi" w:cstheme="majorHAnsi"/>
              </w:rPr>
              <w:t>signing strategies and programs through feedback provision mechanisms established.</w:t>
            </w:r>
          </w:p>
          <w:p w14:paraId="71D9CFE5" w14:textId="77777777" w:rsidR="00C557BE" w:rsidRDefault="00D8441E" w:rsidP="006A0E08">
            <w:pPr>
              <w:pStyle w:val="affff3"/>
              <w:numPr>
                <w:ilvl w:val="0"/>
                <w:numId w:val="26"/>
              </w:numPr>
              <w:spacing w:after="0" w:line="240" w:lineRule="auto"/>
              <w:ind w:left="714" w:hanging="357"/>
              <w:jc w:val="both"/>
              <w:rPr>
                <w:rFonts w:asciiTheme="majorHAnsi" w:hAnsiTheme="majorHAnsi" w:cstheme="majorHAnsi"/>
              </w:rPr>
            </w:pPr>
            <w:r w:rsidRPr="006539C7">
              <w:rPr>
                <w:rFonts w:asciiTheme="majorHAnsi" w:hAnsiTheme="majorHAnsi" w:cstheme="majorHAnsi"/>
              </w:rPr>
              <w:t xml:space="preserve">Dialogue with the KPs and vulnerable </w:t>
            </w:r>
            <w:proofErr w:type="gramStart"/>
            <w:r w:rsidRPr="006539C7">
              <w:rPr>
                <w:rFonts w:asciiTheme="majorHAnsi" w:hAnsiTheme="majorHAnsi" w:cstheme="majorHAnsi"/>
              </w:rPr>
              <w:t>groups,</w:t>
            </w:r>
            <w:r w:rsidR="00F84CE3">
              <w:rPr>
                <w:rFonts w:asciiTheme="majorHAnsi" w:hAnsiTheme="majorHAnsi" w:cstheme="majorHAnsi"/>
              </w:rPr>
              <w:t xml:space="preserve"> and</w:t>
            </w:r>
            <w:proofErr w:type="gramEnd"/>
            <w:r w:rsidR="00F84CE3">
              <w:rPr>
                <w:rFonts w:asciiTheme="majorHAnsi" w:hAnsiTheme="majorHAnsi" w:cstheme="majorHAnsi"/>
              </w:rPr>
              <w:t xml:space="preserve"> reflecting their interests.</w:t>
            </w:r>
          </w:p>
          <w:p w14:paraId="0D555CF4" w14:textId="77777777" w:rsidR="00A73BCA" w:rsidRPr="00A73BCA" w:rsidRDefault="00A73BCA" w:rsidP="00A73BCA">
            <w:pPr>
              <w:spacing w:after="0" w:line="240" w:lineRule="auto"/>
              <w:ind w:left="357"/>
              <w:jc w:val="both"/>
              <w:rPr>
                <w:rFonts w:asciiTheme="majorHAnsi" w:hAnsiTheme="majorHAnsi" w:cstheme="majorHAnsi"/>
              </w:rPr>
            </w:pPr>
          </w:p>
          <w:p w14:paraId="372E4586" w14:textId="4FDD1F57" w:rsidR="00401529" w:rsidRPr="00611B1E" w:rsidRDefault="006367E2" w:rsidP="00A73BCA">
            <w:pPr>
              <w:spacing w:after="0" w:line="240" w:lineRule="auto"/>
              <w:jc w:val="both"/>
              <w:rPr>
                <w:rFonts w:asciiTheme="majorHAnsi" w:hAnsiTheme="majorHAnsi" w:cstheme="majorHAnsi"/>
              </w:rPr>
            </w:pPr>
            <w:r>
              <w:t xml:space="preserve">Based on the epidemiological situation in key population groups, and key </w:t>
            </w:r>
            <w:r w:rsidR="00F22A12">
              <w:t xml:space="preserve">populations size estimates, the </w:t>
            </w:r>
            <w:r>
              <w:t>scope and volume of services</w:t>
            </w:r>
            <w:r w:rsidR="00611B1E">
              <w:t>, including outreach and treatment support strategies,</w:t>
            </w:r>
            <w:r>
              <w:t xml:space="preserve"> will be adjusted to key po</w:t>
            </w:r>
            <w:r w:rsidR="00611B1E">
              <w:t>pulation needs</w:t>
            </w:r>
            <w:r w:rsidR="00F22A12">
              <w:t xml:space="preserve">, </w:t>
            </w:r>
            <w:proofErr w:type="gramStart"/>
            <w:r w:rsidR="00F22A12">
              <w:t>standa</w:t>
            </w:r>
            <w:r>
              <w:t>rdised</w:t>
            </w:r>
            <w:proofErr w:type="gramEnd"/>
            <w:r>
              <w:t xml:space="preserve"> and costed. </w:t>
            </w:r>
            <w:r w:rsidR="008931A1" w:rsidRPr="00C557BE">
              <w:rPr>
                <w:rFonts w:cs="Arial"/>
              </w:rPr>
              <w:t>Availability of a resource tracking mechanism and the costing tool will inform on funding arrangments and can be used both by the local governments and NGOs in their advocacy efforts for expanding funding under the social order on TB.</w:t>
            </w:r>
            <w:r w:rsidR="00611B1E">
              <w:rPr>
                <w:rFonts w:cs="Arial"/>
              </w:rPr>
              <w:t xml:space="preserve"> </w:t>
            </w:r>
            <w:r w:rsidR="00401529" w:rsidRPr="00401529">
              <w:rPr>
                <w:rFonts w:cs="Arial"/>
                <w:color w:val="000000"/>
                <w:sz w:val="20"/>
                <w:szCs w:val="20"/>
              </w:rPr>
              <w:t xml:space="preserve"> </w:t>
            </w:r>
          </w:p>
        </w:tc>
      </w:tr>
    </w:tbl>
    <w:p w14:paraId="325816A0" w14:textId="4241C3CF" w:rsidR="00007BFF" w:rsidRDefault="00007BFF" w:rsidP="00485066">
      <w:pPr>
        <w:spacing w:after="0"/>
        <w:contextualSpacing/>
        <w:rPr>
          <w:rFonts w:cs="Arial"/>
          <w:bCs/>
          <w:iCs/>
        </w:rPr>
      </w:pPr>
    </w:p>
    <w:p w14:paraId="7913DB28" w14:textId="7B4A8BA8" w:rsidR="00007BFF" w:rsidRPr="008C21CF" w:rsidRDefault="00007BFF" w:rsidP="002B4EA3">
      <w:pPr>
        <w:pStyle w:val="affff3"/>
        <w:numPr>
          <w:ilvl w:val="0"/>
          <w:numId w:val="21"/>
        </w:numPr>
        <w:spacing w:before="120" w:after="0" w:line="240" w:lineRule="auto"/>
        <w:jc w:val="both"/>
        <w:rPr>
          <w:rFonts w:asciiTheme="majorHAnsi" w:hAnsiTheme="majorHAnsi" w:cstheme="majorHAnsi"/>
        </w:rPr>
      </w:pPr>
      <w:r w:rsidRPr="008C21CF">
        <w:rPr>
          <w:rFonts w:asciiTheme="majorHAnsi" w:hAnsiTheme="majorHAnsi" w:cstheme="majorHAnsi"/>
        </w:rPr>
        <w:t xml:space="preserve">Is the Principal Recipient an </w:t>
      </w:r>
      <w:r w:rsidRPr="0096146C">
        <w:rPr>
          <w:rFonts w:asciiTheme="majorHAnsi" w:hAnsiTheme="majorHAnsi" w:cstheme="majorHAnsi"/>
          <w:b/>
        </w:rPr>
        <w:t>international institution</w:t>
      </w:r>
      <w:r w:rsidRPr="008C21CF">
        <w:rPr>
          <w:rFonts w:asciiTheme="majorHAnsi" w:hAnsiTheme="majorHAnsi" w:cstheme="majorHAnsi"/>
        </w:rPr>
        <w:t xml:space="preserve"> (</w:t>
      </w:r>
      <w:r>
        <w:rPr>
          <w:rFonts w:asciiTheme="majorHAnsi" w:hAnsiTheme="majorHAnsi" w:cstheme="majorHAnsi"/>
        </w:rPr>
        <w:t>for example, international NGO or UN agency</w:t>
      </w:r>
      <w:r w:rsidRPr="008C21CF">
        <w:rPr>
          <w:rFonts w:asciiTheme="majorHAnsi" w:hAnsiTheme="majorHAnsi" w:cstheme="majorHAnsi"/>
        </w:rPr>
        <w:t>)</w:t>
      </w:r>
      <w:r>
        <w:rPr>
          <w:rFonts w:asciiTheme="majorHAnsi" w:hAnsiTheme="majorHAnsi" w:cstheme="majorHAnsi"/>
        </w:rPr>
        <w:t>?</w:t>
      </w:r>
      <w:r w:rsidRPr="008C21CF">
        <w:rPr>
          <w:rFonts w:asciiTheme="majorHAnsi" w:hAnsiTheme="majorHAnsi" w:cstheme="majorHAnsi"/>
        </w:rPr>
        <w:t xml:space="preserve"> </w:t>
      </w:r>
    </w:p>
    <w:p w14:paraId="09CB819A" w14:textId="77777777" w:rsidR="00007BFF" w:rsidRPr="008C21CF" w:rsidRDefault="00007BFF" w:rsidP="00906417">
      <w:pPr>
        <w:pStyle w:val="affff3"/>
        <w:spacing w:before="120" w:after="0" w:line="240" w:lineRule="auto"/>
        <w:ind w:left="360"/>
        <w:jc w:val="both"/>
        <w:rPr>
          <w:rFonts w:asciiTheme="majorHAnsi" w:hAnsiTheme="majorHAnsi" w:cstheme="majorHAnsi"/>
        </w:rPr>
      </w:pPr>
    </w:p>
    <w:p w14:paraId="5F379A61" w14:textId="3CAF59A3" w:rsidR="00007BFF" w:rsidRPr="008C21CF" w:rsidRDefault="00226154" w:rsidP="00663D90">
      <w:pPr>
        <w:pStyle w:val="affff3"/>
        <w:spacing w:before="120" w:after="0" w:line="240" w:lineRule="auto"/>
        <w:jc w:val="both"/>
        <w:rPr>
          <w:rFonts w:asciiTheme="majorHAnsi" w:hAnsiTheme="majorHAnsi" w:cstheme="majorHAnsi"/>
          <w:bCs/>
          <w:iCs/>
        </w:rPr>
      </w:pPr>
      <w:sdt>
        <w:sdtPr>
          <w:rPr>
            <w:rFonts w:asciiTheme="majorHAnsi" w:eastAsia="MS Gothic" w:hAnsiTheme="majorHAnsi" w:cstheme="majorHAnsi"/>
            <w:bCs/>
            <w:iCs/>
          </w:rPr>
          <w:id w:val="-869147715"/>
          <w14:checkbox>
            <w14:checked w14:val="0"/>
            <w14:checkedState w14:val="2612" w14:font="MS Gothic"/>
            <w14:uncheckedState w14:val="2610" w14:font="MS Gothic"/>
          </w14:checkbox>
        </w:sdtPr>
        <w:sdtEndPr/>
        <w:sdtContent>
          <w:r w:rsidR="00007BFF">
            <w:rPr>
              <w:rFonts w:ascii="MS Gothic" w:eastAsia="MS Gothic" w:hAnsi="MS Gothic" w:cstheme="majorHAnsi" w:hint="eastAsia"/>
              <w:bCs/>
              <w:iCs/>
            </w:rPr>
            <w:t>☐</w:t>
          </w:r>
        </w:sdtContent>
      </w:sdt>
      <w:r w:rsidR="00007BFF" w:rsidRPr="008C21CF">
        <w:rPr>
          <w:rFonts w:asciiTheme="majorHAnsi" w:hAnsiTheme="majorHAnsi" w:cstheme="majorHAnsi"/>
          <w:bCs/>
          <w:iCs/>
        </w:rPr>
        <w:t xml:space="preserve"> Yes        </w:t>
      </w:r>
      <w:sdt>
        <w:sdtPr>
          <w:rPr>
            <w:rFonts w:asciiTheme="majorHAnsi" w:hAnsiTheme="majorHAnsi" w:cstheme="majorHAnsi"/>
            <w:bCs/>
            <w:iCs/>
          </w:rPr>
          <w:id w:val="996544432"/>
          <w14:checkbox>
            <w14:checked w14:val="1"/>
            <w14:checkedState w14:val="2612" w14:font="MS Gothic"/>
            <w14:uncheckedState w14:val="2610" w14:font="MS Gothic"/>
          </w14:checkbox>
        </w:sdtPr>
        <w:sdtEndPr/>
        <w:sdtContent>
          <w:r w:rsidR="00F22A12">
            <w:rPr>
              <w:rFonts w:ascii="MS Gothic" w:eastAsia="MS Gothic" w:hAnsi="MS Gothic" w:cs="Segoe UI Symbol" w:hint="eastAsia"/>
              <w:bCs/>
              <w:iCs/>
            </w:rPr>
            <w:t>☒</w:t>
          </w:r>
        </w:sdtContent>
      </w:sdt>
      <w:r w:rsidR="00F22A12" w:rsidRPr="008C21CF">
        <w:rPr>
          <w:rFonts w:asciiTheme="majorHAnsi" w:hAnsiTheme="majorHAnsi" w:cstheme="majorHAnsi"/>
          <w:bCs/>
          <w:iCs/>
        </w:rPr>
        <w:t xml:space="preserve"> No</w:t>
      </w:r>
    </w:p>
    <w:p w14:paraId="732A663C" w14:textId="77777777" w:rsidR="00007BFF" w:rsidRPr="008C21CF" w:rsidRDefault="00007BFF" w:rsidP="00906417">
      <w:pPr>
        <w:pStyle w:val="affff3"/>
        <w:spacing w:before="120" w:after="0" w:line="240" w:lineRule="auto"/>
        <w:ind w:left="0"/>
        <w:jc w:val="both"/>
        <w:rPr>
          <w:rFonts w:asciiTheme="majorHAnsi" w:hAnsiTheme="majorHAnsi" w:cstheme="majorHAnsi"/>
        </w:rPr>
      </w:pPr>
    </w:p>
    <w:p w14:paraId="3CA0F453" w14:textId="5D040990" w:rsidR="00007BFF" w:rsidRPr="008C21CF" w:rsidRDefault="00007BFF" w:rsidP="005B21F7">
      <w:pPr>
        <w:pStyle w:val="affff3"/>
        <w:spacing w:before="120" w:after="0" w:line="240" w:lineRule="auto"/>
        <w:ind w:left="360"/>
        <w:jc w:val="both"/>
        <w:rPr>
          <w:rFonts w:asciiTheme="majorHAnsi" w:hAnsiTheme="majorHAnsi" w:cstheme="majorHAnsi"/>
        </w:rPr>
      </w:pPr>
      <w:r w:rsidRPr="00B2724B">
        <w:rPr>
          <w:rFonts w:asciiTheme="majorHAnsi" w:hAnsiTheme="majorHAnsi" w:cstheme="majorHAnsi"/>
        </w:rPr>
        <w:t>If</w:t>
      </w:r>
      <w:r w:rsidRPr="008C21CF">
        <w:rPr>
          <w:rFonts w:asciiTheme="majorHAnsi" w:hAnsiTheme="majorHAnsi" w:cstheme="majorHAnsi"/>
          <w:b/>
        </w:rPr>
        <w:t xml:space="preserve"> yes</w:t>
      </w:r>
      <w:r w:rsidRPr="008C21CF">
        <w:rPr>
          <w:rFonts w:asciiTheme="majorHAnsi" w:hAnsiTheme="majorHAnsi" w:cstheme="majorHAnsi"/>
        </w:rPr>
        <w:t xml:space="preserve">, describe how the Principal Recipient’s responsibilities pertaining to the national disease response will eventually be </w:t>
      </w:r>
      <w:r w:rsidRPr="0096146C">
        <w:rPr>
          <w:rFonts w:asciiTheme="majorHAnsi" w:hAnsiTheme="majorHAnsi" w:cstheme="majorHAnsi"/>
          <w:b/>
        </w:rPr>
        <w:t xml:space="preserve">transferred to national </w:t>
      </w:r>
      <w:r>
        <w:rPr>
          <w:rFonts w:asciiTheme="majorHAnsi" w:hAnsiTheme="majorHAnsi" w:cstheme="majorHAnsi"/>
          <w:b/>
        </w:rPr>
        <w:t>entities</w:t>
      </w:r>
      <w:r w:rsidRPr="008C21CF">
        <w:rPr>
          <w:rFonts w:asciiTheme="majorHAnsi" w:hAnsiTheme="majorHAnsi" w:cstheme="majorHAnsi"/>
        </w:rPr>
        <w:t xml:space="preserve">. </w:t>
      </w:r>
      <w:r>
        <w:rPr>
          <w:rFonts w:asciiTheme="majorHAnsi" w:hAnsiTheme="majorHAnsi" w:cstheme="majorHAnsi"/>
        </w:rPr>
        <w:t>Also, (i)</w:t>
      </w:r>
      <w:r w:rsidRPr="008C21CF">
        <w:rPr>
          <w:rFonts w:asciiTheme="majorHAnsi" w:hAnsiTheme="majorHAnsi" w:cstheme="majorHAnsi"/>
        </w:rPr>
        <w:t xml:space="preserve"> outline the timeframe for transitioning these responsibilities</w:t>
      </w:r>
      <w:r>
        <w:rPr>
          <w:rFonts w:asciiTheme="majorHAnsi" w:hAnsiTheme="majorHAnsi" w:cstheme="majorHAnsi"/>
        </w:rPr>
        <w:t>,</w:t>
      </w:r>
      <w:r w:rsidRPr="008C21CF">
        <w:rPr>
          <w:rFonts w:asciiTheme="majorHAnsi" w:hAnsiTheme="majorHAnsi" w:cstheme="majorHAnsi"/>
        </w:rPr>
        <w:t xml:space="preserve"> and </w:t>
      </w:r>
      <w:r>
        <w:rPr>
          <w:rFonts w:asciiTheme="majorHAnsi" w:hAnsiTheme="majorHAnsi" w:cstheme="majorHAnsi"/>
        </w:rPr>
        <w:t xml:space="preserve">(ii) </w:t>
      </w:r>
      <w:r w:rsidRPr="008C21CF">
        <w:rPr>
          <w:rFonts w:asciiTheme="majorHAnsi" w:hAnsiTheme="majorHAnsi" w:cstheme="majorHAnsi"/>
        </w:rPr>
        <w:t>explain how national capacities will be strengthened to lead the national disease response.</w:t>
      </w:r>
    </w:p>
    <w:p w14:paraId="05C9D69E" w14:textId="77777777" w:rsidR="00007BFF" w:rsidRPr="008C21CF" w:rsidRDefault="00007BFF" w:rsidP="00906417">
      <w:pPr>
        <w:spacing w:after="0"/>
        <w:contextualSpacing/>
        <w:rPr>
          <w:rFonts w:asciiTheme="majorHAnsi" w:hAnsiTheme="majorHAnsi" w:cstheme="majorHAnsi"/>
        </w:rPr>
      </w:pPr>
    </w:p>
    <w:tbl>
      <w:tblPr>
        <w:tblStyle w:val="aa"/>
        <w:tblW w:w="0" w:type="auto"/>
        <w:tblLook w:val="04A0" w:firstRow="1" w:lastRow="0" w:firstColumn="1" w:lastColumn="0" w:noHBand="0" w:noVBand="1"/>
      </w:tblPr>
      <w:tblGrid>
        <w:gridCol w:w="10682"/>
      </w:tblGrid>
      <w:tr w:rsidR="00007BFF" w:rsidRPr="001D57CE" w14:paraId="4065924C" w14:textId="77777777" w:rsidTr="009B1BDA">
        <w:tc>
          <w:tcPr>
            <w:tcW w:w="10790" w:type="dxa"/>
          </w:tcPr>
          <w:p w14:paraId="2B3B234C" w14:textId="77777777" w:rsidR="00007BFF" w:rsidRPr="008C21CF" w:rsidRDefault="00007BFF" w:rsidP="009B1BDA">
            <w:pPr>
              <w:rPr>
                <w:rFonts w:asciiTheme="majorHAnsi" w:hAnsiTheme="majorHAnsi" w:cstheme="majorHAnsi"/>
              </w:rPr>
            </w:pPr>
            <w:r w:rsidRPr="008C21CF">
              <w:rPr>
                <w:rFonts w:asciiTheme="majorHAnsi" w:hAnsiTheme="majorHAnsi" w:cstheme="majorHAnsi"/>
              </w:rPr>
              <w:t>[Applicant response]</w:t>
            </w:r>
          </w:p>
          <w:p w14:paraId="16C5E16B" w14:textId="77777777" w:rsidR="00007BFF" w:rsidRPr="008C21CF" w:rsidRDefault="00007BFF" w:rsidP="009B1BDA">
            <w:pPr>
              <w:rPr>
                <w:rFonts w:asciiTheme="majorHAnsi" w:hAnsiTheme="majorHAnsi" w:cstheme="majorHAnsi"/>
              </w:rPr>
            </w:pPr>
          </w:p>
        </w:tc>
      </w:tr>
    </w:tbl>
    <w:p w14:paraId="003B2C01" w14:textId="77777777" w:rsidR="00007BFF" w:rsidRPr="001D57CE" w:rsidRDefault="00007BFF" w:rsidP="00485066">
      <w:pPr>
        <w:spacing w:after="0"/>
        <w:contextualSpacing/>
        <w:rPr>
          <w:rFonts w:cs="Arial"/>
          <w:bCs/>
          <w:iCs/>
        </w:rPr>
      </w:pPr>
    </w:p>
    <w:p w14:paraId="6AD3EB19" w14:textId="0F16432E" w:rsidR="00007BFF" w:rsidRPr="000646CF" w:rsidRDefault="00007BFF" w:rsidP="002B4EA3">
      <w:pPr>
        <w:pStyle w:val="affff3"/>
        <w:numPr>
          <w:ilvl w:val="0"/>
          <w:numId w:val="21"/>
        </w:numPr>
        <w:spacing w:after="0" w:line="260" w:lineRule="atLeast"/>
        <w:jc w:val="both"/>
        <w:rPr>
          <w:rStyle w:val="normaltextrun"/>
          <w:rFonts w:cs="Arial"/>
        </w:rPr>
      </w:pPr>
      <w:r w:rsidRPr="001D57CE">
        <w:rPr>
          <w:rStyle w:val="normaltextrun"/>
          <w:rFonts w:cs="Arial"/>
          <w:color w:val="000000"/>
          <w:shd w:val="clear" w:color="auto" w:fill="FFFFFF"/>
        </w:rPr>
        <w:t xml:space="preserve">Describe </w:t>
      </w:r>
      <w:r>
        <w:rPr>
          <w:rStyle w:val="normaltextrun"/>
          <w:rFonts w:cs="Arial"/>
          <w:color w:val="000000"/>
          <w:shd w:val="clear" w:color="auto" w:fill="FFFFFF"/>
        </w:rPr>
        <w:t xml:space="preserve">the </w:t>
      </w:r>
      <w:r w:rsidRPr="00EC2673">
        <w:rPr>
          <w:rStyle w:val="normaltextrun"/>
          <w:rFonts w:cs="Arial"/>
          <w:b/>
          <w:color w:val="000000"/>
          <w:shd w:val="clear" w:color="auto" w:fill="FFFFFF"/>
        </w:rPr>
        <w:t>top three anticipated implementation risks</w:t>
      </w:r>
      <w:r w:rsidRPr="001D57CE">
        <w:rPr>
          <w:rStyle w:val="normaltextrun"/>
          <w:rFonts w:cs="Arial"/>
          <w:color w:val="000000"/>
          <w:shd w:val="clear" w:color="auto" w:fill="FFFFFF"/>
        </w:rPr>
        <w:t xml:space="preserve"> that might negatively affect</w:t>
      </w:r>
      <w:r>
        <w:rPr>
          <w:rStyle w:val="normaltextrun"/>
          <w:rFonts w:cs="Arial"/>
          <w:color w:val="000000"/>
          <w:shd w:val="clear" w:color="auto" w:fill="FFFFFF"/>
        </w:rPr>
        <w:t>: (i)</w:t>
      </w:r>
      <w:r w:rsidRPr="001D57CE">
        <w:rPr>
          <w:rStyle w:val="normaltextrun"/>
          <w:rFonts w:cs="Arial"/>
          <w:color w:val="000000"/>
          <w:shd w:val="clear" w:color="auto" w:fill="FFFFFF"/>
        </w:rPr>
        <w:t xml:space="preserve"> the delivery of the program objectives supported </w:t>
      </w:r>
      <w:r>
        <w:rPr>
          <w:rStyle w:val="normaltextrun"/>
          <w:rFonts w:cs="Arial"/>
          <w:color w:val="000000"/>
          <w:shd w:val="clear" w:color="auto" w:fill="FFFFFF"/>
        </w:rPr>
        <w:t>by the</w:t>
      </w:r>
      <w:r w:rsidRPr="001D57CE">
        <w:rPr>
          <w:rStyle w:val="normaltextrun"/>
          <w:rFonts w:cs="Arial"/>
          <w:color w:val="000000"/>
          <w:shd w:val="clear" w:color="auto" w:fill="FFFFFF"/>
        </w:rPr>
        <w:t xml:space="preserve"> Global Fund</w:t>
      </w:r>
      <w:r>
        <w:rPr>
          <w:rStyle w:val="normaltextrun"/>
          <w:rFonts w:cs="Arial"/>
          <w:color w:val="000000"/>
          <w:shd w:val="clear" w:color="auto" w:fill="FFFFFF"/>
        </w:rPr>
        <w:t>;</w:t>
      </w:r>
      <w:r w:rsidRPr="001D57CE">
        <w:rPr>
          <w:rStyle w:val="normaltextrun"/>
          <w:rFonts w:cs="Arial"/>
          <w:color w:val="000000"/>
          <w:shd w:val="clear" w:color="auto" w:fill="FFFFFF"/>
        </w:rPr>
        <w:t> and/or</w:t>
      </w:r>
      <w:r>
        <w:rPr>
          <w:rStyle w:val="normaltextrun"/>
          <w:rFonts w:cs="Arial"/>
          <w:color w:val="000000"/>
          <w:shd w:val="clear" w:color="auto" w:fill="FFFFFF"/>
        </w:rPr>
        <w:t xml:space="preserve"> (ii)</w:t>
      </w:r>
      <w:r w:rsidRPr="001D57CE">
        <w:rPr>
          <w:rStyle w:val="normaltextrun"/>
          <w:rFonts w:cs="Arial"/>
          <w:color w:val="000000"/>
          <w:shd w:val="clear" w:color="auto" w:fill="FFFFFF"/>
        </w:rPr>
        <w:t xml:space="preserve"> the broader health system. </w:t>
      </w:r>
      <w:r>
        <w:rPr>
          <w:rStyle w:val="normaltextrun"/>
          <w:rFonts w:cs="Arial"/>
          <w:color w:val="000000"/>
          <w:shd w:val="clear" w:color="auto" w:fill="FFFFFF"/>
        </w:rPr>
        <w:t>Then,</w:t>
      </w:r>
      <w:r w:rsidRPr="001D57CE">
        <w:rPr>
          <w:rStyle w:val="normaltextrun"/>
          <w:rFonts w:cs="Arial"/>
          <w:color w:val="000000"/>
          <w:shd w:val="clear" w:color="auto" w:fill="FFFFFF"/>
        </w:rPr>
        <w:t xml:space="preserve"> describe the mitigation measures that address these risks. </w:t>
      </w:r>
    </w:p>
    <w:p w14:paraId="266DC181" w14:textId="77777777" w:rsidR="00007BFF" w:rsidRPr="000646CF" w:rsidRDefault="00007BFF" w:rsidP="000646CF">
      <w:pPr>
        <w:pStyle w:val="affff3"/>
        <w:spacing w:after="0" w:line="260" w:lineRule="atLeast"/>
        <w:ind w:left="360"/>
        <w:jc w:val="both"/>
        <w:rPr>
          <w:rFonts w:cs="Arial"/>
        </w:rPr>
      </w:pPr>
    </w:p>
    <w:tbl>
      <w:tblPr>
        <w:tblStyle w:val="TableGrid1"/>
        <w:tblW w:w="10435" w:type="dxa"/>
        <w:tblLayout w:type="fixed"/>
        <w:tblLook w:val="0000" w:firstRow="0" w:lastRow="0" w:firstColumn="0" w:lastColumn="0" w:noHBand="0" w:noVBand="0"/>
      </w:tblPr>
      <w:tblGrid>
        <w:gridCol w:w="4219"/>
        <w:gridCol w:w="6216"/>
      </w:tblGrid>
      <w:tr w:rsidR="00007BFF" w:rsidRPr="001D57CE" w14:paraId="10CE5D3F" w14:textId="77777777" w:rsidTr="003E5A0E">
        <w:trPr>
          <w:trHeight w:val="377"/>
        </w:trPr>
        <w:tc>
          <w:tcPr>
            <w:tcW w:w="4219" w:type="dxa"/>
            <w:shd w:val="clear" w:color="auto" w:fill="D9D9D9" w:themeFill="background1" w:themeFillShade="D9"/>
            <w:vAlign w:val="center"/>
          </w:tcPr>
          <w:p w14:paraId="286D9ED0" w14:textId="77777777" w:rsidR="00007BFF" w:rsidRPr="008C21CF" w:rsidRDefault="00007BFF" w:rsidP="00882DC3">
            <w:pPr>
              <w:autoSpaceDE w:val="0"/>
              <w:autoSpaceDN w:val="0"/>
              <w:adjustRightInd w:val="0"/>
              <w:spacing w:after="0"/>
              <w:jc w:val="center"/>
              <w:rPr>
                <w:rFonts w:asciiTheme="majorHAnsi" w:hAnsiTheme="majorHAnsi" w:cstheme="majorHAnsi"/>
                <w:b/>
                <w:color w:val="000000"/>
              </w:rPr>
            </w:pPr>
            <w:r w:rsidRPr="008C21CF">
              <w:rPr>
                <w:rFonts w:asciiTheme="majorHAnsi" w:hAnsiTheme="majorHAnsi" w:cstheme="majorHAnsi"/>
                <w:b/>
                <w:bCs/>
                <w:color w:val="000000"/>
              </w:rPr>
              <w:t>Key Implementation Risks</w:t>
            </w:r>
          </w:p>
        </w:tc>
        <w:tc>
          <w:tcPr>
            <w:tcW w:w="6216" w:type="dxa"/>
            <w:shd w:val="clear" w:color="auto" w:fill="D9D9D9" w:themeFill="background1" w:themeFillShade="D9"/>
            <w:vAlign w:val="center"/>
          </w:tcPr>
          <w:p w14:paraId="10726D0E" w14:textId="2E3C1DBA" w:rsidR="00007BFF" w:rsidRPr="008C21CF" w:rsidRDefault="00007BFF" w:rsidP="00882DC3">
            <w:pPr>
              <w:autoSpaceDE w:val="0"/>
              <w:autoSpaceDN w:val="0"/>
              <w:adjustRightInd w:val="0"/>
              <w:spacing w:after="0"/>
              <w:jc w:val="center"/>
              <w:rPr>
                <w:rFonts w:asciiTheme="majorHAnsi" w:hAnsiTheme="majorHAnsi" w:cstheme="majorHAnsi"/>
                <w:b/>
                <w:color w:val="000000"/>
              </w:rPr>
            </w:pPr>
            <w:r w:rsidRPr="008C21CF">
              <w:rPr>
                <w:rFonts w:asciiTheme="majorHAnsi" w:hAnsiTheme="majorHAnsi" w:cstheme="majorHAnsi"/>
                <w:b/>
                <w:bCs/>
                <w:color w:val="000000"/>
              </w:rPr>
              <w:t>Corresponding Mitigation Measures</w:t>
            </w:r>
          </w:p>
        </w:tc>
      </w:tr>
      <w:tr w:rsidR="00007BFF" w:rsidRPr="001D57CE" w14:paraId="7DF4C74C" w14:textId="77777777" w:rsidTr="003E5A0E">
        <w:trPr>
          <w:trHeight w:val="400"/>
        </w:trPr>
        <w:tc>
          <w:tcPr>
            <w:tcW w:w="4219" w:type="dxa"/>
          </w:tcPr>
          <w:p w14:paraId="2EC5B113" w14:textId="79C57364" w:rsidR="005936F7" w:rsidRPr="00955C9C" w:rsidRDefault="00D141F7" w:rsidP="006B5B74">
            <w:pPr>
              <w:widowControl w:val="0"/>
              <w:tabs>
                <w:tab w:val="center" w:pos="2274"/>
              </w:tabs>
              <w:autoSpaceDE w:val="0"/>
              <w:autoSpaceDN w:val="0"/>
              <w:adjustRightInd w:val="0"/>
              <w:spacing w:before="120" w:after="0" w:line="240" w:lineRule="auto"/>
              <w:jc w:val="both"/>
              <w:rPr>
                <w:rFonts w:asciiTheme="majorHAnsi" w:hAnsiTheme="majorHAnsi" w:cstheme="majorHAnsi"/>
                <w:color w:val="000000"/>
              </w:rPr>
            </w:pPr>
            <w:r w:rsidRPr="00955C9C">
              <w:rPr>
                <w:rFonts w:asciiTheme="majorHAnsi" w:hAnsiTheme="majorHAnsi" w:cstheme="majorHAnsi"/>
                <w:color w:val="000000"/>
              </w:rPr>
              <w:t xml:space="preserve">The grant project may be forced to postpone or introduce necessary changes </w:t>
            </w:r>
            <w:r w:rsidR="009F27CF" w:rsidRPr="00955C9C">
              <w:rPr>
                <w:rFonts w:asciiTheme="majorHAnsi" w:hAnsiTheme="majorHAnsi" w:cstheme="majorHAnsi"/>
                <w:color w:val="000000"/>
              </w:rPr>
              <w:t xml:space="preserve">while facing new realities linked </w:t>
            </w:r>
            <w:r w:rsidRPr="00955C9C">
              <w:rPr>
                <w:rFonts w:asciiTheme="majorHAnsi" w:hAnsiTheme="majorHAnsi" w:cstheme="majorHAnsi"/>
                <w:color w:val="000000"/>
              </w:rPr>
              <w:t>to COVID-19 virus evolution</w:t>
            </w:r>
            <w:r w:rsidR="009F27CF" w:rsidRPr="00955C9C">
              <w:rPr>
                <w:rFonts w:asciiTheme="majorHAnsi" w:hAnsiTheme="majorHAnsi" w:cstheme="majorHAnsi"/>
                <w:color w:val="000000"/>
              </w:rPr>
              <w:t xml:space="preserve"> or</w:t>
            </w:r>
            <w:r w:rsidRPr="00955C9C">
              <w:rPr>
                <w:rFonts w:asciiTheme="majorHAnsi" w:hAnsiTheme="majorHAnsi" w:cstheme="majorHAnsi"/>
                <w:color w:val="000000"/>
              </w:rPr>
              <w:t xml:space="preserve"> emerging new </w:t>
            </w:r>
            <w:r w:rsidR="009F27CF" w:rsidRPr="00955C9C">
              <w:rPr>
                <w:rFonts w:asciiTheme="majorHAnsi" w:hAnsiTheme="majorHAnsi" w:cstheme="majorHAnsi"/>
                <w:color w:val="000000"/>
              </w:rPr>
              <w:t>h</w:t>
            </w:r>
            <w:r w:rsidRPr="00955C9C">
              <w:rPr>
                <w:rFonts w:asciiTheme="majorHAnsi" w:hAnsiTheme="majorHAnsi" w:cstheme="majorHAnsi"/>
                <w:color w:val="000000"/>
              </w:rPr>
              <w:t>ealth threats</w:t>
            </w:r>
            <w:r w:rsidR="009F27CF" w:rsidRPr="00955C9C">
              <w:rPr>
                <w:rFonts w:asciiTheme="majorHAnsi" w:hAnsiTheme="majorHAnsi" w:cstheme="majorHAnsi"/>
                <w:color w:val="000000"/>
              </w:rPr>
              <w:t xml:space="preserve">. </w:t>
            </w:r>
            <w:r w:rsidR="00565C6B" w:rsidRPr="00955C9C">
              <w:rPr>
                <w:rFonts w:asciiTheme="majorHAnsi" w:hAnsiTheme="majorHAnsi" w:cstheme="majorHAnsi"/>
                <w:color w:val="000000"/>
              </w:rPr>
              <w:t>This might also affect the key and vulnerable population, hamper TB service provision, overburden the healthcare system and redirect financial resources needed to absorb the cost of the GF grant-supported TB services, including fulfillment of co-financing commitments.</w:t>
            </w:r>
          </w:p>
        </w:tc>
        <w:tc>
          <w:tcPr>
            <w:tcW w:w="6216" w:type="dxa"/>
          </w:tcPr>
          <w:p w14:paraId="7B46C001" w14:textId="77777777" w:rsidR="00955C9C" w:rsidRDefault="009D6305" w:rsidP="004B78B6">
            <w:pPr>
              <w:spacing w:before="120" w:after="0" w:line="240" w:lineRule="auto"/>
              <w:jc w:val="both"/>
              <w:rPr>
                <w:rFonts w:asciiTheme="majorHAnsi" w:hAnsiTheme="majorHAnsi" w:cstheme="majorHAnsi"/>
              </w:rPr>
            </w:pPr>
            <w:r w:rsidRPr="00955C9C">
              <w:rPr>
                <w:rFonts w:cs="Arial"/>
                <w:color w:val="000000"/>
              </w:rPr>
              <w:t xml:space="preserve">Mitigation measures will be based on proactive risk identification and management through regular scanning for risks across the GF/PIU programming to guarantee the effective results delivery strategy. This will allow quickly adapting the planned events to the rapidly changing context and minimizing the negative impact of emerging health threats on the project implementation. Also, it will help prevent generating spendings that will not contribute to the program's objectives. The lessons learned and strategies applied in the current grant will inform decisions. For example, the shift to virtual format has mitigated the impact of quarantine measures on activities delivery mode. It led to low absorption of funds and reprogramming savings into programmatic activities. </w:t>
            </w:r>
            <w:r w:rsidR="000602D6" w:rsidRPr="00955C9C">
              <w:rPr>
                <w:rFonts w:cs="Arial"/>
                <w:color w:val="000000"/>
              </w:rPr>
              <w:t>In cases when project activities may be compromised by the coronavirus or other risky situations, these cases will be documented; alternative solutions identified, discussed, and agreed upon with the GF Teams.</w:t>
            </w:r>
            <w:r w:rsidR="001765F4" w:rsidRPr="00955C9C">
              <w:rPr>
                <w:rFonts w:cs="Arial"/>
                <w:color w:val="000000"/>
              </w:rPr>
              <w:t xml:space="preserve"> </w:t>
            </w:r>
            <w:r w:rsidRPr="00955C9C">
              <w:rPr>
                <w:rFonts w:asciiTheme="majorHAnsi" w:hAnsiTheme="majorHAnsi" w:cstheme="majorHAnsi"/>
              </w:rPr>
              <w:t xml:space="preserve">It is worth mentioning that both the PR and implementing partners are supported by sufficient capacity, strong management, and a proven good track record. </w:t>
            </w:r>
          </w:p>
          <w:p w14:paraId="41AA746B" w14:textId="77777777" w:rsidR="00955C9C" w:rsidRPr="00955C9C" w:rsidRDefault="00955C9C" w:rsidP="00955C9C">
            <w:pPr>
              <w:spacing w:after="0" w:line="240" w:lineRule="auto"/>
              <w:jc w:val="both"/>
              <w:rPr>
                <w:rFonts w:cs="Arial"/>
                <w:color w:val="000000"/>
              </w:rPr>
            </w:pPr>
          </w:p>
          <w:p w14:paraId="24C8D86B" w14:textId="44713AC8" w:rsidR="000F64B0" w:rsidRPr="000F64B0" w:rsidRDefault="001765F4" w:rsidP="000F64B0">
            <w:pPr>
              <w:spacing w:after="0" w:line="240" w:lineRule="auto"/>
              <w:jc w:val="both"/>
              <w:rPr>
                <w:rFonts w:asciiTheme="majorHAnsi" w:hAnsiTheme="majorHAnsi" w:cstheme="majorHAnsi"/>
              </w:rPr>
            </w:pPr>
            <w:r w:rsidRPr="00955C9C">
              <w:rPr>
                <w:rFonts w:asciiTheme="majorHAnsi" w:hAnsiTheme="majorHAnsi" w:cstheme="majorHAnsi"/>
              </w:rPr>
              <w:t xml:space="preserve">Kazakhstan continues building on the current progress to ensure better emergency preparedness to future health threats and use the accumulated experiences and capacities created for a more effective and efficient response. At the service-delivery level, the health care organizations and CSO involved in TB-response reassessed and adapted their programs within the restrictions posed by COVID-19, used networks of community groups, and mobilized resources to meet the basic needs of the most vulnerable population, including stateless people and poor families. Responding to new challenges and understanding the value of leveraging CSO to address the population's social needs, government agencies have actively developed and implemented mechanisms supporting and stimulating </w:t>
            </w:r>
            <w:proofErr w:type="gramStart"/>
            <w:r w:rsidRPr="00955C9C">
              <w:rPr>
                <w:rFonts w:asciiTheme="majorHAnsi" w:hAnsiTheme="majorHAnsi" w:cstheme="majorHAnsi"/>
              </w:rPr>
              <w:t>socially-oriented</w:t>
            </w:r>
            <w:proofErr w:type="gramEnd"/>
            <w:r w:rsidRPr="00955C9C">
              <w:rPr>
                <w:rFonts w:asciiTheme="majorHAnsi" w:hAnsiTheme="majorHAnsi" w:cstheme="majorHAnsi"/>
              </w:rPr>
              <w:t xml:space="preserve"> NGOs and have mobilized volunteers through these organizations. This shows the resilience of these programs and the commitment of government and civil society services even u</w:t>
            </w:r>
            <w:r w:rsidR="009C590B">
              <w:rPr>
                <w:rFonts w:asciiTheme="majorHAnsi" w:hAnsiTheme="majorHAnsi" w:cstheme="majorHAnsi"/>
              </w:rPr>
              <w:t xml:space="preserve">nder challenging circumstances. </w:t>
            </w:r>
            <w:r w:rsidR="00C4269B">
              <w:rPr>
                <w:rFonts w:asciiTheme="majorHAnsi" w:hAnsiTheme="majorHAnsi" w:cstheme="majorHAnsi"/>
              </w:rPr>
              <w:t xml:space="preserve">Additionnaly, the country </w:t>
            </w:r>
            <w:r w:rsidR="000F64B0" w:rsidRPr="000F64B0">
              <w:rPr>
                <w:rFonts w:asciiTheme="majorHAnsi" w:hAnsiTheme="majorHAnsi" w:cstheme="majorHAnsi"/>
                <w:color w:val="000000"/>
              </w:rPr>
              <w:t>strategically use</w:t>
            </w:r>
            <w:r w:rsidR="00C4269B">
              <w:rPr>
                <w:rFonts w:asciiTheme="majorHAnsi" w:hAnsiTheme="majorHAnsi" w:cstheme="majorHAnsi"/>
                <w:color w:val="000000"/>
              </w:rPr>
              <w:t>s</w:t>
            </w:r>
            <w:r w:rsidR="000F64B0" w:rsidRPr="000F64B0">
              <w:rPr>
                <w:rFonts w:asciiTheme="majorHAnsi" w:hAnsiTheme="majorHAnsi" w:cstheme="majorHAnsi"/>
                <w:color w:val="000000"/>
              </w:rPr>
              <w:t xml:space="preserve"> the C19RM </w:t>
            </w:r>
            <w:r w:rsidR="00C4269B">
              <w:rPr>
                <w:rFonts w:asciiTheme="majorHAnsi" w:hAnsiTheme="majorHAnsi" w:cstheme="majorHAnsi"/>
                <w:color w:val="000000"/>
              </w:rPr>
              <w:t>and supplemtary funds</w:t>
            </w:r>
            <w:r w:rsidR="000F64B0" w:rsidRPr="000F64B0">
              <w:rPr>
                <w:rFonts w:asciiTheme="majorHAnsi" w:hAnsiTheme="majorHAnsi" w:cstheme="majorHAnsi"/>
                <w:color w:val="000000"/>
              </w:rPr>
              <w:t xml:space="preserve"> to </w:t>
            </w:r>
            <w:r w:rsidR="00C4269B">
              <w:rPr>
                <w:rFonts w:asciiTheme="majorHAnsi" w:hAnsiTheme="majorHAnsi" w:cstheme="majorHAnsi"/>
                <w:color w:val="000000"/>
              </w:rPr>
              <w:t>adress the gaps, mitigate TB services disruption, accelerate the country efforts towards meeting nationalized targets and contribute to improved long-term resilience</w:t>
            </w:r>
            <w:r w:rsidR="001F3615">
              <w:rPr>
                <w:rFonts w:asciiTheme="majorHAnsi" w:hAnsiTheme="majorHAnsi" w:cstheme="majorHAnsi"/>
                <w:color w:val="000000"/>
              </w:rPr>
              <w:t xml:space="preserve"> to possible risks</w:t>
            </w:r>
            <w:r w:rsidR="00B6427F">
              <w:rPr>
                <w:rFonts w:asciiTheme="majorHAnsi" w:hAnsiTheme="majorHAnsi" w:cstheme="majorHAnsi"/>
                <w:color w:val="000000"/>
              </w:rPr>
              <w:t>.</w:t>
            </w:r>
            <w:r w:rsidR="001F3615">
              <w:rPr>
                <w:rFonts w:asciiTheme="majorHAnsi" w:hAnsiTheme="majorHAnsi" w:cstheme="majorHAnsi"/>
                <w:color w:val="000000"/>
              </w:rPr>
              <w:t xml:space="preserve"> </w:t>
            </w:r>
          </w:p>
          <w:p w14:paraId="7126F0E7" w14:textId="3F650AA9" w:rsidR="00955C9C" w:rsidRPr="00955C9C" w:rsidRDefault="00955C9C" w:rsidP="00360056">
            <w:pPr>
              <w:spacing w:after="0" w:line="240" w:lineRule="auto"/>
              <w:jc w:val="both"/>
              <w:rPr>
                <w:rFonts w:asciiTheme="minorHAnsi" w:hAnsiTheme="minorHAnsi" w:cstheme="minorHAnsi"/>
                <w:color w:val="000000"/>
              </w:rPr>
            </w:pPr>
          </w:p>
        </w:tc>
      </w:tr>
      <w:tr w:rsidR="00007BFF" w:rsidRPr="001D57CE" w14:paraId="6A26F3E3" w14:textId="77777777" w:rsidTr="003E5A0E">
        <w:trPr>
          <w:trHeight w:val="400"/>
        </w:trPr>
        <w:tc>
          <w:tcPr>
            <w:tcW w:w="4219" w:type="dxa"/>
          </w:tcPr>
          <w:p w14:paraId="4F43655A" w14:textId="41E01D2A" w:rsidR="00573795" w:rsidRDefault="00294871" w:rsidP="002C42BF">
            <w:pPr>
              <w:widowControl w:val="0"/>
              <w:autoSpaceDE w:val="0"/>
              <w:autoSpaceDN w:val="0"/>
              <w:adjustRightInd w:val="0"/>
              <w:spacing w:before="120" w:after="0" w:line="240" w:lineRule="auto"/>
              <w:rPr>
                <w:rFonts w:ascii="PT Sans" w:eastAsia="Times New Roman" w:hAnsi="PT Sans" w:cs="Times New Roman"/>
                <w:color w:val="4E4E4E"/>
                <w:sz w:val="24"/>
                <w:szCs w:val="24"/>
                <w:shd w:val="clear" w:color="auto" w:fill="F2F6F8"/>
              </w:rPr>
            </w:pPr>
            <w:r w:rsidRPr="005F04BF">
              <w:rPr>
                <w:rFonts w:cs="Arial"/>
                <w:color w:val="000000"/>
              </w:rPr>
              <w:t>Macro</w:t>
            </w:r>
            <w:r w:rsidR="00AA002C" w:rsidRPr="005F04BF">
              <w:rPr>
                <w:rFonts w:cs="Arial"/>
                <w:color w:val="000000"/>
              </w:rPr>
              <w:t>economic instability</w:t>
            </w:r>
            <w:r w:rsidR="00345BE7" w:rsidRPr="005F04BF">
              <w:rPr>
                <w:rFonts w:cs="Arial"/>
                <w:color w:val="000000"/>
              </w:rPr>
              <w:t xml:space="preserve"> </w:t>
            </w:r>
            <w:r w:rsidR="005F04BF" w:rsidRPr="005F04BF">
              <w:rPr>
                <w:rFonts w:cs="Arial"/>
                <w:color w:val="000000"/>
              </w:rPr>
              <w:t>that might be caused by on-going pandemic, emergence of new strains</w:t>
            </w:r>
            <w:r w:rsidR="002619D2">
              <w:rPr>
                <w:rFonts w:cs="Arial"/>
                <w:color w:val="000000"/>
              </w:rPr>
              <w:t xml:space="preserve"> </w:t>
            </w:r>
            <w:r w:rsidR="00345BE7" w:rsidRPr="005F04BF">
              <w:rPr>
                <w:rFonts w:cs="Arial"/>
                <w:color w:val="000000"/>
              </w:rPr>
              <w:t xml:space="preserve">and its impact on </w:t>
            </w:r>
            <w:r w:rsidR="00621A2F">
              <w:rPr>
                <w:rFonts w:cs="Arial"/>
                <w:color w:val="000000"/>
              </w:rPr>
              <w:t xml:space="preserve">budget and </w:t>
            </w:r>
            <w:r w:rsidR="00345BE7" w:rsidRPr="005F04BF">
              <w:rPr>
                <w:rFonts w:cs="Arial"/>
                <w:color w:val="000000"/>
              </w:rPr>
              <w:t>financial commitments</w:t>
            </w:r>
            <w:r w:rsidR="00AA002C" w:rsidRPr="005F04BF">
              <w:rPr>
                <w:rFonts w:cs="Arial"/>
                <w:color w:val="000000"/>
              </w:rPr>
              <w:t xml:space="preserve">. </w:t>
            </w:r>
          </w:p>
          <w:p w14:paraId="50FDA291" w14:textId="24B2339D" w:rsidR="00CF7E5B" w:rsidRDefault="00573795" w:rsidP="00CF7E5B">
            <w:pPr>
              <w:jc w:val="both"/>
              <w:rPr>
                <w:rFonts w:ascii="PT Sans" w:eastAsia="Times New Roman" w:hAnsi="PT Sans" w:cs="Times New Roman"/>
                <w:color w:val="4E4E4E"/>
                <w:sz w:val="24"/>
                <w:szCs w:val="24"/>
              </w:rPr>
            </w:pPr>
            <w:r>
              <w:rPr>
                <w:rFonts w:ascii="PT Sans" w:eastAsia="Times New Roman" w:hAnsi="PT Sans" w:cs="Times New Roman"/>
                <w:color w:val="4E4E4E"/>
                <w:sz w:val="24"/>
                <w:szCs w:val="24"/>
              </w:rPr>
              <w:br/>
            </w:r>
          </w:p>
          <w:p w14:paraId="610B5A7F" w14:textId="6372DFDB" w:rsidR="00573795" w:rsidRPr="008C21CF" w:rsidRDefault="00D37019" w:rsidP="00CF7E5B">
            <w:pPr>
              <w:rPr>
                <w:rFonts w:asciiTheme="majorHAnsi" w:hAnsiTheme="majorHAnsi" w:cstheme="majorHAnsi"/>
                <w:i/>
                <w:color w:val="000000"/>
              </w:rPr>
            </w:pPr>
            <w:r>
              <w:rPr>
                <w:rFonts w:ascii="PT Sans" w:eastAsia="Times New Roman" w:hAnsi="PT Sans" w:cs="Times New Roman"/>
                <w:color w:val="4E4E4E"/>
                <w:sz w:val="24"/>
                <w:szCs w:val="24"/>
              </w:rPr>
              <w:br/>
            </w:r>
          </w:p>
        </w:tc>
        <w:tc>
          <w:tcPr>
            <w:tcW w:w="6216" w:type="dxa"/>
          </w:tcPr>
          <w:p w14:paraId="67D42C10" w14:textId="209A7B51" w:rsidR="002619D2" w:rsidRDefault="00CF7E5B" w:rsidP="004B78B6">
            <w:pPr>
              <w:pStyle w:val="affff9"/>
              <w:spacing w:before="120" w:after="0" w:line="240" w:lineRule="auto"/>
              <w:jc w:val="both"/>
              <w:rPr>
                <w:rFonts w:asciiTheme="majorHAnsi" w:hAnsiTheme="majorHAnsi" w:cstheme="majorHAnsi"/>
                <w:sz w:val="22"/>
                <w:szCs w:val="22"/>
              </w:rPr>
            </w:pPr>
            <w:r w:rsidRPr="00923A6E">
              <w:rPr>
                <w:rFonts w:asciiTheme="majorHAnsi" w:hAnsiTheme="majorHAnsi" w:cstheme="majorHAnsi"/>
                <w:sz w:val="22"/>
                <w:szCs w:val="22"/>
              </w:rPr>
              <w:t>The</w:t>
            </w:r>
            <w:r>
              <w:rPr>
                <w:rFonts w:asciiTheme="majorHAnsi" w:hAnsiTheme="majorHAnsi" w:cstheme="majorHAnsi"/>
                <w:sz w:val="22"/>
                <w:szCs w:val="22"/>
              </w:rPr>
              <w:t xml:space="preserve"> expected pace of economic growth is 3.9</w:t>
            </w:r>
            <w:r w:rsidRPr="00923A6E">
              <w:rPr>
                <w:rFonts w:asciiTheme="majorHAnsi" w:hAnsiTheme="majorHAnsi" w:cstheme="majorHAnsi"/>
                <w:sz w:val="22"/>
                <w:szCs w:val="22"/>
              </w:rPr>
              <w:t>% in 2022</w:t>
            </w:r>
            <w:r>
              <w:rPr>
                <w:rFonts w:asciiTheme="majorHAnsi" w:hAnsiTheme="majorHAnsi" w:cstheme="majorHAnsi"/>
                <w:sz w:val="22"/>
                <w:szCs w:val="22"/>
              </w:rPr>
              <w:t>, with further growth to 5.2% in 2026</w:t>
            </w:r>
            <w:r w:rsidRPr="00923A6E">
              <w:rPr>
                <w:rFonts w:asciiTheme="majorHAnsi" w:hAnsiTheme="majorHAnsi" w:cstheme="majorHAnsi"/>
                <w:sz w:val="22"/>
                <w:szCs w:val="22"/>
              </w:rPr>
              <w:t xml:space="preserve">, </w:t>
            </w:r>
            <w:r w:rsidRPr="00923A6E">
              <w:rPr>
                <w:rFonts w:ascii="Arial" w:hAnsi="Arial" w:cs="Arial"/>
                <w:bCs/>
                <w:sz w:val="22"/>
                <w:szCs w:val="22"/>
              </w:rPr>
              <w:t xml:space="preserve">but significant downside risks yet </w:t>
            </w:r>
            <w:r>
              <w:rPr>
                <w:rFonts w:ascii="Arial" w:hAnsi="Arial" w:cs="Arial"/>
                <w:bCs/>
                <w:sz w:val="22"/>
                <w:szCs w:val="22"/>
              </w:rPr>
              <w:t>remain</w:t>
            </w:r>
            <w:r w:rsidRPr="001516AF">
              <w:rPr>
                <w:rFonts w:ascii="Arial" w:hAnsi="Arial" w:cs="Arial"/>
                <w:bCs/>
                <w:sz w:val="22"/>
                <w:szCs w:val="22"/>
              </w:rPr>
              <w:t xml:space="preserve"> </w:t>
            </w:r>
            <w:r w:rsidRPr="001516AF">
              <w:rPr>
                <w:rFonts w:ascii="Arial" w:hAnsi="Arial" w:cs="Arial"/>
                <w:sz w:val="22"/>
                <w:szCs w:val="22"/>
              </w:rPr>
              <w:t>due to uneven economic recovery across countries and higher debt-related risks to the global financial market</w:t>
            </w:r>
            <w:r w:rsidRPr="001516AF">
              <w:rPr>
                <w:rFonts w:asciiTheme="majorHAnsi" w:hAnsiTheme="majorHAnsi" w:cstheme="majorHAnsi"/>
                <w:sz w:val="22"/>
                <w:szCs w:val="22"/>
              </w:rPr>
              <w:t xml:space="preserve">. Projections </w:t>
            </w:r>
            <w:r>
              <w:rPr>
                <w:rFonts w:asciiTheme="majorHAnsi" w:hAnsiTheme="majorHAnsi" w:cstheme="majorHAnsi"/>
                <w:sz w:val="22"/>
                <w:szCs w:val="22"/>
              </w:rPr>
              <w:t>in the</w:t>
            </w:r>
            <w:r w:rsidRPr="001516AF">
              <w:rPr>
                <w:rFonts w:asciiTheme="majorHAnsi" w:hAnsiTheme="majorHAnsi" w:cstheme="majorHAnsi"/>
                <w:sz w:val="22"/>
                <w:szCs w:val="22"/>
              </w:rPr>
              <w:t xml:space="preserve"> Budget Law for 2022-2024 are made at </w:t>
            </w:r>
            <w:r>
              <w:rPr>
                <w:rFonts w:asciiTheme="majorHAnsi" w:hAnsiTheme="majorHAnsi" w:cstheme="majorHAnsi"/>
                <w:sz w:val="22"/>
                <w:szCs w:val="22"/>
              </w:rPr>
              <w:t xml:space="preserve">a global </w:t>
            </w:r>
            <w:r w:rsidRPr="001516AF">
              <w:rPr>
                <w:rFonts w:asciiTheme="majorHAnsi" w:hAnsiTheme="majorHAnsi" w:cstheme="majorHAnsi"/>
                <w:sz w:val="22"/>
                <w:szCs w:val="22"/>
              </w:rPr>
              <w:t>oil price of US$60 per barrel (US$1 to 425 tenge rate</w:t>
            </w:r>
            <w:proofErr w:type="gramStart"/>
            <w:r w:rsidRPr="001516AF">
              <w:rPr>
                <w:rFonts w:asciiTheme="majorHAnsi" w:hAnsiTheme="majorHAnsi" w:cstheme="majorHAnsi"/>
                <w:sz w:val="22"/>
                <w:szCs w:val="22"/>
              </w:rPr>
              <w:t>), and</w:t>
            </w:r>
            <w:proofErr w:type="gramEnd"/>
            <w:r w:rsidRPr="001516AF">
              <w:rPr>
                <w:rFonts w:asciiTheme="majorHAnsi" w:hAnsiTheme="majorHAnsi" w:cstheme="majorHAnsi"/>
                <w:sz w:val="22"/>
                <w:szCs w:val="22"/>
              </w:rPr>
              <w:t xml:space="preserve"> estimated annual production volumes. The National Bank expects inflation to remain within the target range of 4</w:t>
            </w:r>
            <w:r>
              <w:rPr>
                <w:rFonts w:asciiTheme="majorHAnsi" w:hAnsiTheme="majorHAnsi" w:cstheme="majorHAnsi"/>
                <w:sz w:val="22"/>
                <w:szCs w:val="22"/>
              </w:rPr>
              <w:t>.0</w:t>
            </w:r>
            <w:r w:rsidRPr="001516AF">
              <w:rPr>
                <w:rFonts w:asciiTheme="majorHAnsi" w:hAnsiTheme="majorHAnsi" w:cstheme="majorHAnsi"/>
                <w:sz w:val="22"/>
                <w:szCs w:val="22"/>
              </w:rPr>
              <w:t>-6</w:t>
            </w:r>
            <w:r>
              <w:rPr>
                <w:rFonts w:asciiTheme="majorHAnsi" w:hAnsiTheme="majorHAnsi" w:cstheme="majorHAnsi"/>
                <w:sz w:val="22"/>
                <w:szCs w:val="22"/>
              </w:rPr>
              <w:t>.0</w:t>
            </w:r>
            <w:r w:rsidRPr="001516AF">
              <w:rPr>
                <w:rFonts w:asciiTheme="majorHAnsi" w:hAnsiTheme="majorHAnsi" w:cstheme="majorHAnsi"/>
                <w:sz w:val="22"/>
                <w:szCs w:val="22"/>
              </w:rPr>
              <w:t xml:space="preserve">% until the end </w:t>
            </w:r>
            <w:r>
              <w:rPr>
                <w:rFonts w:asciiTheme="majorHAnsi" w:hAnsiTheme="majorHAnsi" w:cstheme="majorHAnsi"/>
                <w:sz w:val="22"/>
                <w:szCs w:val="22"/>
              </w:rPr>
              <w:t xml:space="preserve">of </w:t>
            </w:r>
            <w:r w:rsidRPr="001516AF">
              <w:rPr>
                <w:rFonts w:asciiTheme="majorHAnsi" w:hAnsiTheme="majorHAnsi" w:cstheme="majorHAnsi"/>
                <w:sz w:val="22"/>
                <w:szCs w:val="22"/>
              </w:rPr>
              <w:t>202</w:t>
            </w:r>
            <w:r>
              <w:rPr>
                <w:rFonts w:asciiTheme="majorHAnsi" w:hAnsiTheme="majorHAnsi" w:cstheme="majorHAnsi"/>
                <w:sz w:val="22"/>
                <w:szCs w:val="22"/>
              </w:rPr>
              <w:t xml:space="preserve">2, 4.0-5.0% in 2023-2024, </w:t>
            </w:r>
            <w:r w:rsidRPr="00A2453B">
              <w:rPr>
                <w:rFonts w:asciiTheme="majorHAnsi" w:hAnsiTheme="majorHAnsi" w:cstheme="majorHAnsi"/>
                <w:sz w:val="22"/>
                <w:szCs w:val="22"/>
              </w:rPr>
              <w:t>and 3</w:t>
            </w:r>
            <w:r>
              <w:rPr>
                <w:rFonts w:asciiTheme="majorHAnsi" w:hAnsiTheme="majorHAnsi" w:cstheme="majorHAnsi"/>
                <w:sz w:val="22"/>
                <w:szCs w:val="22"/>
              </w:rPr>
              <w:t>.0-4.0</w:t>
            </w:r>
            <w:r w:rsidRPr="00A2453B">
              <w:rPr>
                <w:rFonts w:asciiTheme="majorHAnsi" w:hAnsiTheme="majorHAnsi" w:cstheme="majorHAnsi"/>
                <w:sz w:val="22"/>
                <w:szCs w:val="22"/>
              </w:rPr>
              <w:t>% in 2025-2026.</w:t>
            </w:r>
            <w:r w:rsidRPr="001516AF">
              <w:rPr>
                <w:rFonts w:asciiTheme="majorHAnsi" w:hAnsiTheme="majorHAnsi" w:cstheme="majorHAnsi"/>
                <w:sz w:val="22"/>
                <w:szCs w:val="22"/>
              </w:rPr>
              <w:t xml:space="preserve"> To achieve the goals the country set in </w:t>
            </w:r>
            <w:r>
              <w:rPr>
                <w:rFonts w:asciiTheme="majorHAnsi" w:hAnsiTheme="majorHAnsi" w:cstheme="majorHAnsi"/>
                <w:sz w:val="22"/>
                <w:szCs w:val="22"/>
              </w:rPr>
              <w:t xml:space="preserve">the </w:t>
            </w:r>
            <w:r w:rsidRPr="001516AF">
              <w:rPr>
                <w:rFonts w:asciiTheme="majorHAnsi" w:hAnsiTheme="majorHAnsi" w:cstheme="majorHAnsi"/>
                <w:sz w:val="22"/>
                <w:szCs w:val="22"/>
              </w:rPr>
              <w:t xml:space="preserve">mid-term, the National Bank plans to pursue a balanced monetary policy with an increased efficiency of the monetary transmission mechanism channels. </w:t>
            </w:r>
          </w:p>
          <w:p w14:paraId="08EEB974" w14:textId="77777777" w:rsidR="00CF7E5B" w:rsidRPr="00CF7E5B" w:rsidRDefault="00CF7E5B" w:rsidP="00CF7E5B">
            <w:pPr>
              <w:pStyle w:val="affff9"/>
              <w:spacing w:after="0" w:line="240" w:lineRule="auto"/>
              <w:jc w:val="both"/>
              <w:rPr>
                <w:rFonts w:asciiTheme="majorHAnsi" w:hAnsiTheme="majorHAnsi" w:cstheme="majorHAnsi"/>
                <w:sz w:val="22"/>
                <w:szCs w:val="22"/>
              </w:rPr>
            </w:pPr>
          </w:p>
          <w:p w14:paraId="016955E3" w14:textId="6BB41BC6" w:rsidR="00B049E6" w:rsidRDefault="002619D2" w:rsidP="00CF7E5B">
            <w:pPr>
              <w:spacing w:after="0" w:line="240" w:lineRule="auto"/>
              <w:jc w:val="both"/>
              <w:rPr>
                <w:rFonts w:asciiTheme="majorHAnsi" w:hAnsiTheme="majorHAnsi" w:cstheme="majorHAnsi"/>
              </w:rPr>
            </w:pPr>
            <w:r>
              <w:rPr>
                <w:rFonts w:asciiTheme="majorHAnsi" w:hAnsiTheme="majorHAnsi" w:cstheme="majorHAnsi"/>
              </w:rPr>
              <w:t>I</w:t>
            </w:r>
            <w:r w:rsidR="002D5B60" w:rsidRPr="00315C65">
              <w:rPr>
                <w:rFonts w:asciiTheme="majorHAnsi" w:hAnsiTheme="majorHAnsi" w:cstheme="majorHAnsi"/>
              </w:rPr>
              <w:t>n general, the volatility of the tenge exchange rate remains high</w:t>
            </w:r>
            <w:r w:rsidR="002D5B60">
              <w:rPr>
                <w:rFonts w:asciiTheme="majorHAnsi" w:hAnsiTheme="majorHAnsi" w:cstheme="majorHAnsi"/>
              </w:rPr>
              <w:t>.</w:t>
            </w:r>
            <w:r w:rsidR="002D5B60" w:rsidRPr="00315C65">
              <w:rPr>
                <w:rFonts w:asciiTheme="majorHAnsi" w:hAnsiTheme="majorHAnsi" w:cstheme="majorHAnsi"/>
              </w:rPr>
              <w:t xml:space="preserve"> On the one hand, this </w:t>
            </w:r>
            <w:r w:rsidR="00621A2F">
              <w:rPr>
                <w:rFonts w:asciiTheme="majorHAnsi" w:hAnsiTheme="majorHAnsi" w:cstheme="majorHAnsi"/>
              </w:rPr>
              <w:t>will lead</w:t>
            </w:r>
            <w:r w:rsidR="002D5B60" w:rsidRPr="00315C65">
              <w:rPr>
                <w:rFonts w:asciiTheme="majorHAnsi" w:hAnsiTheme="majorHAnsi" w:cstheme="majorHAnsi"/>
              </w:rPr>
              <w:t xml:space="preserve"> to the emergence of undisbursed funds due to the exchange rate difference since local procurement is based on tenge. On the other hand, in the budget, purchase prices are fixed in tenge, and goods</w:t>
            </w:r>
            <w:r w:rsidR="00CF7E5B">
              <w:rPr>
                <w:rFonts w:asciiTheme="majorHAnsi" w:hAnsiTheme="majorHAnsi" w:cstheme="majorHAnsi"/>
              </w:rPr>
              <w:t xml:space="preserve"> imported from abroad,</w:t>
            </w:r>
            <w:r w:rsidR="002D5B60">
              <w:rPr>
                <w:rFonts w:asciiTheme="majorHAnsi" w:hAnsiTheme="majorHAnsi" w:cstheme="majorHAnsi"/>
              </w:rPr>
              <w:t xml:space="preserve"> sharply</w:t>
            </w:r>
            <w:r w:rsidR="00CF7E5B">
              <w:rPr>
                <w:rFonts w:asciiTheme="majorHAnsi" w:hAnsiTheme="majorHAnsi" w:cstheme="majorHAnsi"/>
              </w:rPr>
              <w:t xml:space="preserve"> may</w:t>
            </w:r>
            <w:r w:rsidR="002D5B60">
              <w:rPr>
                <w:rFonts w:asciiTheme="majorHAnsi" w:hAnsiTheme="majorHAnsi" w:cstheme="majorHAnsi"/>
              </w:rPr>
              <w:t xml:space="preserve"> rise in tenge. </w:t>
            </w:r>
            <w:r w:rsidR="00B049E6" w:rsidRPr="00CF469F">
              <w:rPr>
                <w:rFonts w:asciiTheme="majorHAnsi" w:hAnsiTheme="majorHAnsi" w:cstheme="majorHAnsi"/>
              </w:rPr>
              <w:t xml:space="preserve">The workplan and budget adjustments through negotiation with the GF country team for reprogramming the activities </w:t>
            </w:r>
            <w:r w:rsidR="00B049E6">
              <w:rPr>
                <w:rFonts w:asciiTheme="majorHAnsi" w:hAnsiTheme="majorHAnsi" w:cstheme="majorHAnsi"/>
              </w:rPr>
              <w:t xml:space="preserve">might </w:t>
            </w:r>
            <w:r w:rsidR="00B049E6" w:rsidRPr="00CF469F">
              <w:rPr>
                <w:rFonts w:asciiTheme="majorHAnsi" w:hAnsiTheme="majorHAnsi" w:cstheme="majorHAnsi"/>
              </w:rPr>
              <w:t>allow mitigating risks with the currency exchange rate fluctuation.</w:t>
            </w:r>
          </w:p>
          <w:p w14:paraId="54EC7D03" w14:textId="77777777" w:rsidR="00A0652A" w:rsidRDefault="00A0652A" w:rsidP="00CF7E5B">
            <w:pPr>
              <w:spacing w:after="0" w:line="240" w:lineRule="auto"/>
              <w:jc w:val="both"/>
              <w:rPr>
                <w:rFonts w:asciiTheme="majorHAnsi" w:hAnsiTheme="majorHAnsi" w:cstheme="majorHAnsi"/>
              </w:rPr>
            </w:pPr>
          </w:p>
          <w:p w14:paraId="0B9B916F" w14:textId="47896A01" w:rsidR="00007BFF" w:rsidRPr="00CF7E5B" w:rsidRDefault="00A0652A" w:rsidP="00A0652A">
            <w:pPr>
              <w:spacing w:after="0" w:line="240" w:lineRule="auto"/>
              <w:jc w:val="both"/>
              <w:rPr>
                <w:rFonts w:asciiTheme="majorHAnsi" w:hAnsiTheme="majorHAnsi" w:cstheme="majorHAnsi"/>
              </w:rPr>
            </w:pPr>
            <w:r w:rsidRPr="00A0652A">
              <w:rPr>
                <w:rFonts w:asciiTheme="majorHAnsi" w:hAnsiTheme="majorHAnsi" w:cstheme="majorHAnsi"/>
              </w:rPr>
              <w:t>Significant price changes are observed in the hi</w:t>
            </w:r>
            <w:r>
              <w:rPr>
                <w:rFonts w:asciiTheme="majorHAnsi" w:hAnsiTheme="majorHAnsi" w:cstheme="majorHAnsi"/>
              </w:rPr>
              <w:t xml:space="preserve">gh-demand medical goods market to be mitigated through </w:t>
            </w:r>
            <w:r w:rsidRPr="00A0652A">
              <w:rPr>
                <w:rFonts w:asciiTheme="majorHAnsi" w:hAnsiTheme="majorHAnsi" w:cstheme="majorHAnsi"/>
              </w:rPr>
              <w:t>competitive procurement</w:t>
            </w:r>
            <w:r>
              <w:rPr>
                <w:rFonts w:asciiTheme="majorHAnsi" w:hAnsiTheme="majorHAnsi" w:cstheme="majorHAnsi"/>
              </w:rPr>
              <w:t>.</w:t>
            </w:r>
          </w:p>
        </w:tc>
      </w:tr>
      <w:tr w:rsidR="00007BFF" w:rsidRPr="001D57CE" w14:paraId="28EAD993" w14:textId="77777777" w:rsidTr="003E5A0E">
        <w:trPr>
          <w:trHeight w:val="400"/>
        </w:trPr>
        <w:tc>
          <w:tcPr>
            <w:tcW w:w="4219" w:type="dxa"/>
          </w:tcPr>
          <w:p w14:paraId="50666EA8" w14:textId="58210C1C" w:rsidR="00007BFF" w:rsidRDefault="00280CC2" w:rsidP="000B0527">
            <w:pPr>
              <w:widowControl w:val="0"/>
              <w:autoSpaceDE w:val="0"/>
              <w:autoSpaceDN w:val="0"/>
              <w:adjustRightInd w:val="0"/>
              <w:spacing w:before="120" w:after="0" w:line="240" w:lineRule="auto"/>
              <w:rPr>
                <w:rFonts w:asciiTheme="majorHAnsi" w:hAnsiTheme="majorHAnsi" w:cstheme="majorHAnsi"/>
                <w:color w:val="000000"/>
              </w:rPr>
            </w:pPr>
            <w:r>
              <w:rPr>
                <w:rFonts w:asciiTheme="majorHAnsi" w:hAnsiTheme="majorHAnsi" w:cstheme="majorHAnsi"/>
                <w:color w:val="000000"/>
              </w:rPr>
              <w:t>Shortage of human resources for TB Control</w:t>
            </w:r>
            <w:r w:rsidR="00DA56A6">
              <w:rPr>
                <w:rFonts w:asciiTheme="majorHAnsi" w:hAnsiTheme="majorHAnsi" w:cstheme="majorHAnsi"/>
                <w:color w:val="000000"/>
              </w:rPr>
              <w:t xml:space="preserve">. </w:t>
            </w:r>
          </w:p>
          <w:p w14:paraId="11A6897D" w14:textId="107EAF86" w:rsidR="00B3456C" w:rsidRPr="000F64B0" w:rsidRDefault="00B3456C" w:rsidP="000B0527">
            <w:pPr>
              <w:spacing w:after="0" w:line="240" w:lineRule="auto"/>
              <w:jc w:val="both"/>
              <w:rPr>
                <w:rFonts w:asciiTheme="majorHAnsi" w:hAnsiTheme="majorHAnsi" w:cstheme="majorHAnsi"/>
                <w:color w:val="000000"/>
              </w:rPr>
            </w:pPr>
          </w:p>
        </w:tc>
        <w:tc>
          <w:tcPr>
            <w:tcW w:w="6216" w:type="dxa"/>
          </w:tcPr>
          <w:p w14:paraId="2AD55C85" w14:textId="24249501" w:rsidR="00DA56A6" w:rsidRDefault="00280CC2" w:rsidP="007F4461">
            <w:pPr>
              <w:spacing w:before="120" w:after="0" w:line="240" w:lineRule="auto"/>
              <w:jc w:val="both"/>
              <w:rPr>
                <w:rFonts w:asciiTheme="majorHAnsi" w:eastAsia="Times New Roman" w:hAnsiTheme="majorHAnsi" w:cstheme="majorHAnsi"/>
              </w:rPr>
            </w:pPr>
            <w:r w:rsidRPr="004A5EDE">
              <w:rPr>
                <w:rFonts w:asciiTheme="majorHAnsi" w:eastAsia="Times New Roman" w:hAnsiTheme="majorHAnsi" w:cstheme="majorHAnsi"/>
              </w:rPr>
              <w:t xml:space="preserve">More than 23% of TB specialists are close to retirement, while the inflow of young physicians/graduates into the phthisiology field has drastically decreased. Strengthening of human resources for TB control is among the priorities of the </w:t>
            </w:r>
            <w:r>
              <w:rPr>
                <w:rFonts w:asciiTheme="majorHAnsi" w:eastAsia="Times New Roman" w:hAnsiTheme="majorHAnsi" w:cstheme="majorHAnsi"/>
              </w:rPr>
              <w:t xml:space="preserve">draft </w:t>
            </w:r>
            <w:r>
              <w:rPr>
                <w:rFonts w:cs="Arial"/>
              </w:rPr>
              <w:t>2022-2026 Comprehensive Plan on Respiratory H</w:t>
            </w:r>
            <w:r w:rsidRPr="00FF157C">
              <w:rPr>
                <w:rFonts w:cs="Arial"/>
              </w:rPr>
              <w:t>ealth</w:t>
            </w:r>
            <w:r w:rsidRPr="004A5EDE">
              <w:rPr>
                <w:rFonts w:asciiTheme="majorHAnsi" w:eastAsia="Times New Roman" w:hAnsiTheme="majorHAnsi" w:cstheme="majorHAnsi"/>
              </w:rPr>
              <w:t xml:space="preserve">, which envisages different policy options including education opportunities, integration of phthisiology into broader medical </w:t>
            </w:r>
            <w:r>
              <w:rPr>
                <w:rFonts w:asciiTheme="majorHAnsi" w:eastAsia="Times New Roman" w:hAnsiTheme="majorHAnsi" w:cstheme="majorHAnsi"/>
              </w:rPr>
              <w:t>disciplines such as pulmonology,</w:t>
            </w:r>
            <w:r w:rsidRPr="004A5EDE">
              <w:rPr>
                <w:rFonts w:asciiTheme="majorHAnsi" w:eastAsia="Times New Roman" w:hAnsiTheme="majorHAnsi" w:cstheme="majorHAnsi"/>
              </w:rPr>
              <w:t xml:space="preserve"> retraining of PHC staff to get</w:t>
            </w:r>
            <w:r w:rsidR="0041327D">
              <w:rPr>
                <w:rFonts w:asciiTheme="majorHAnsi" w:eastAsia="Times New Roman" w:hAnsiTheme="majorHAnsi" w:cstheme="majorHAnsi"/>
              </w:rPr>
              <w:t xml:space="preserve"> extra skills in TB control, introducing financial incentive scheme</w:t>
            </w:r>
            <w:r>
              <w:rPr>
                <w:rFonts w:asciiTheme="majorHAnsi" w:eastAsia="Times New Roman" w:hAnsiTheme="majorHAnsi" w:cstheme="majorHAnsi"/>
              </w:rPr>
              <w:t xml:space="preserve"> to retain young</w:t>
            </w:r>
            <w:r w:rsidR="0041327D">
              <w:rPr>
                <w:rFonts w:asciiTheme="majorHAnsi" w:eastAsia="Times New Roman" w:hAnsiTheme="majorHAnsi" w:cstheme="majorHAnsi"/>
              </w:rPr>
              <w:t xml:space="preserve"> specialists in the TB Service, and </w:t>
            </w:r>
            <w:r w:rsidR="007F4461">
              <w:rPr>
                <w:rFonts w:asciiTheme="majorHAnsi" w:eastAsia="Times New Roman" w:hAnsiTheme="majorHAnsi" w:cstheme="majorHAnsi"/>
              </w:rPr>
              <w:t>enhancing</w:t>
            </w:r>
            <w:r w:rsidR="0041327D">
              <w:rPr>
                <w:rFonts w:asciiTheme="majorHAnsi" w:eastAsia="Times New Roman" w:hAnsiTheme="majorHAnsi" w:cstheme="majorHAnsi"/>
              </w:rPr>
              <w:t xml:space="preserve"> the infection prevention and control in TB Centers. </w:t>
            </w:r>
          </w:p>
          <w:p w14:paraId="0FD1EEEC" w14:textId="77777777" w:rsidR="0041327D" w:rsidRDefault="0041327D" w:rsidP="007F4461">
            <w:pPr>
              <w:spacing w:after="0" w:line="240" w:lineRule="auto"/>
              <w:jc w:val="both"/>
              <w:rPr>
                <w:rFonts w:asciiTheme="majorHAnsi" w:eastAsia="Times New Roman" w:hAnsiTheme="majorHAnsi" w:cstheme="majorHAnsi"/>
              </w:rPr>
            </w:pPr>
          </w:p>
          <w:p w14:paraId="687EF5AE" w14:textId="7C3D4546" w:rsidR="00007BFF" w:rsidRDefault="009B5897" w:rsidP="000D1999">
            <w:pPr>
              <w:spacing w:after="0" w:line="240" w:lineRule="auto"/>
              <w:jc w:val="both"/>
            </w:pPr>
            <w:r w:rsidRPr="009B5897">
              <w:t xml:space="preserve">The shortage of HRH in TB control is compounded by staff attrition and </w:t>
            </w:r>
            <w:r w:rsidR="005D0DCE" w:rsidRPr="005D0DCE">
              <w:t>insufficient</w:t>
            </w:r>
            <w:r w:rsidR="005D0DCE">
              <w:t xml:space="preserve"> </w:t>
            </w:r>
            <w:r w:rsidRPr="009B5897">
              <w:t xml:space="preserve">workers' compensation. Only a minority of NGO’s outreach workers comes from key populations with a high turnover rate in an urban setting. To mitigate the staffing risks, the salary will be reviewed and adjusted regularly to reflect changes in living costs, adopting a strategy maximizing hiring outreach workers from key populations by adjusting </w:t>
            </w:r>
            <w:r w:rsidR="00163B60">
              <w:t xml:space="preserve">their numbers </w:t>
            </w:r>
            <w:r w:rsidRPr="009B5897">
              <w:t>based on the needs in a particular region and type of key population in lack of the support.</w:t>
            </w:r>
          </w:p>
          <w:p w14:paraId="3CF5487E" w14:textId="6571E7BF" w:rsidR="00163B60" w:rsidRPr="0041327D" w:rsidRDefault="00163B60" w:rsidP="000D1999">
            <w:pPr>
              <w:spacing w:after="0" w:line="240" w:lineRule="auto"/>
              <w:jc w:val="both"/>
              <w:rPr>
                <w:color w:val="333333"/>
              </w:rPr>
            </w:pPr>
          </w:p>
        </w:tc>
      </w:tr>
    </w:tbl>
    <w:p w14:paraId="144A166C" w14:textId="641BE764" w:rsidR="00007BFF" w:rsidRPr="00663D90" w:rsidRDefault="00007BFF" w:rsidP="002B4EA3">
      <w:pPr>
        <w:pStyle w:val="affff3"/>
        <w:numPr>
          <w:ilvl w:val="0"/>
          <w:numId w:val="21"/>
        </w:numPr>
        <w:spacing w:before="120" w:after="0" w:line="240" w:lineRule="auto"/>
        <w:jc w:val="both"/>
        <w:rPr>
          <w:rFonts w:asciiTheme="majorHAnsi" w:hAnsiTheme="majorHAnsi" w:cstheme="majorHAnsi"/>
          <w:bCs/>
          <w:iCs/>
        </w:rPr>
      </w:pPr>
      <w:r w:rsidRPr="008C21CF">
        <w:rPr>
          <w:rFonts w:asciiTheme="majorHAnsi" w:hAnsiTheme="majorHAnsi" w:cstheme="majorHAnsi"/>
        </w:rPr>
        <w:t xml:space="preserve">Does the funding request envisage a </w:t>
      </w:r>
      <w:r w:rsidRPr="0096146C">
        <w:rPr>
          <w:rFonts w:asciiTheme="majorHAnsi" w:hAnsiTheme="majorHAnsi" w:cstheme="majorHAnsi"/>
          <w:b/>
        </w:rPr>
        <w:t>joint investment platform</w:t>
      </w:r>
      <w:r w:rsidRPr="008C21CF">
        <w:rPr>
          <w:rFonts w:asciiTheme="majorHAnsi" w:hAnsiTheme="majorHAnsi" w:cstheme="majorHAnsi"/>
        </w:rPr>
        <w:t xml:space="preserve"> with other </w:t>
      </w:r>
      <w:r>
        <w:rPr>
          <w:rFonts w:asciiTheme="majorHAnsi" w:hAnsiTheme="majorHAnsi" w:cstheme="majorHAnsi"/>
        </w:rPr>
        <w:t>institution</w:t>
      </w:r>
      <w:r w:rsidRPr="008C21CF">
        <w:rPr>
          <w:rFonts w:asciiTheme="majorHAnsi" w:hAnsiTheme="majorHAnsi" w:cstheme="majorHAnsi"/>
        </w:rPr>
        <w:t xml:space="preserve">s? </w:t>
      </w:r>
    </w:p>
    <w:p w14:paraId="1D88E390" w14:textId="77777777" w:rsidR="00007BFF" w:rsidRPr="00D44D0D" w:rsidRDefault="00007BFF" w:rsidP="00663D90">
      <w:pPr>
        <w:pStyle w:val="affff3"/>
        <w:spacing w:before="120" w:after="0" w:line="240" w:lineRule="auto"/>
        <w:ind w:left="360"/>
        <w:jc w:val="both"/>
        <w:rPr>
          <w:rFonts w:asciiTheme="majorHAnsi" w:hAnsiTheme="majorHAnsi" w:cstheme="majorHAnsi"/>
          <w:bCs/>
          <w:iCs/>
        </w:rPr>
      </w:pPr>
    </w:p>
    <w:p w14:paraId="297BAF88" w14:textId="133E6C52" w:rsidR="00007BFF" w:rsidRDefault="00226154" w:rsidP="00D44D0D">
      <w:pPr>
        <w:pStyle w:val="affff3"/>
        <w:spacing w:before="120" w:after="0" w:line="240" w:lineRule="auto"/>
        <w:ind w:left="360" w:firstLine="360"/>
        <w:jc w:val="both"/>
        <w:rPr>
          <w:rFonts w:asciiTheme="majorHAnsi" w:hAnsiTheme="majorHAnsi" w:cstheme="majorHAnsi"/>
          <w:bCs/>
          <w:iCs/>
        </w:rPr>
      </w:pPr>
      <w:sdt>
        <w:sdtPr>
          <w:rPr>
            <w:rFonts w:asciiTheme="majorHAnsi" w:eastAsia="MS Gothic" w:hAnsiTheme="majorHAnsi" w:cstheme="majorHAnsi"/>
            <w:bCs/>
            <w:iCs/>
          </w:rPr>
          <w:id w:val="1973173543"/>
          <w14:checkbox>
            <w14:checked w14:val="0"/>
            <w14:checkedState w14:val="2612" w14:font="MS Gothic"/>
            <w14:uncheckedState w14:val="2610" w14:font="MS Gothic"/>
          </w14:checkbox>
        </w:sdtPr>
        <w:sdtEndPr/>
        <w:sdtContent>
          <w:r w:rsidR="00007BFF" w:rsidRPr="008C21CF">
            <w:rPr>
              <w:rFonts w:ascii="MS Gothic" w:eastAsia="MS Gothic" w:hAnsi="MS Gothic" w:cstheme="majorHAnsi"/>
              <w:bCs/>
              <w:iCs/>
            </w:rPr>
            <w:t>☐</w:t>
          </w:r>
        </w:sdtContent>
      </w:sdt>
      <w:r w:rsidR="00007BFF" w:rsidRPr="008C21CF">
        <w:rPr>
          <w:rFonts w:asciiTheme="majorHAnsi" w:hAnsiTheme="majorHAnsi" w:cstheme="majorHAnsi"/>
          <w:bCs/>
          <w:iCs/>
        </w:rPr>
        <w:t xml:space="preserve"> Yes         </w:t>
      </w:r>
      <w:sdt>
        <w:sdtPr>
          <w:rPr>
            <w:rFonts w:asciiTheme="majorHAnsi" w:hAnsiTheme="majorHAnsi" w:cstheme="majorHAnsi"/>
            <w:bCs/>
            <w:iCs/>
          </w:rPr>
          <w:id w:val="783005715"/>
          <w14:checkbox>
            <w14:checked w14:val="1"/>
            <w14:checkedState w14:val="2612" w14:font="MS Gothic"/>
            <w14:uncheckedState w14:val="2610" w14:font="MS Gothic"/>
          </w14:checkbox>
        </w:sdtPr>
        <w:sdtEndPr/>
        <w:sdtContent>
          <w:r w:rsidR="00AE1B9F">
            <w:rPr>
              <w:rFonts w:ascii="MS Gothic" w:eastAsia="MS Gothic" w:hAnsi="MS Gothic" w:cs="Segoe UI Symbol" w:hint="eastAsia"/>
              <w:bCs/>
              <w:iCs/>
            </w:rPr>
            <w:t>☒</w:t>
          </w:r>
        </w:sdtContent>
      </w:sdt>
      <w:r w:rsidR="00AE1B9F" w:rsidRPr="008C21CF">
        <w:rPr>
          <w:rFonts w:asciiTheme="majorHAnsi" w:hAnsiTheme="majorHAnsi" w:cstheme="majorHAnsi"/>
          <w:bCs/>
          <w:iCs/>
        </w:rPr>
        <w:t xml:space="preserve"> No</w:t>
      </w:r>
    </w:p>
    <w:p w14:paraId="2B25D274" w14:textId="77777777" w:rsidR="00007BFF" w:rsidRPr="00D44D0D" w:rsidRDefault="00007BFF" w:rsidP="00D44D0D">
      <w:pPr>
        <w:pStyle w:val="affff3"/>
        <w:spacing w:before="120" w:after="0" w:line="240" w:lineRule="auto"/>
        <w:ind w:left="360" w:firstLine="360"/>
        <w:jc w:val="both"/>
        <w:rPr>
          <w:rFonts w:asciiTheme="majorHAnsi" w:hAnsiTheme="majorHAnsi" w:cstheme="majorHAnsi"/>
          <w:bCs/>
          <w:iCs/>
        </w:rPr>
      </w:pPr>
    </w:p>
    <w:p w14:paraId="276A559D" w14:textId="4259CD7B" w:rsidR="00007BFF" w:rsidRPr="008C21CF" w:rsidRDefault="00007BFF" w:rsidP="006C0196">
      <w:pPr>
        <w:spacing w:after="0" w:line="240" w:lineRule="auto"/>
        <w:ind w:firstLine="360"/>
        <w:jc w:val="both"/>
        <w:rPr>
          <w:rFonts w:asciiTheme="majorHAnsi" w:hAnsiTheme="majorHAnsi" w:cstheme="majorHAnsi"/>
          <w:bCs/>
          <w:iCs/>
        </w:rPr>
      </w:pPr>
      <w:r w:rsidRPr="00B2724B">
        <w:rPr>
          <w:rFonts w:asciiTheme="majorHAnsi" w:hAnsiTheme="majorHAnsi" w:cstheme="majorHAnsi"/>
        </w:rPr>
        <w:t>If</w:t>
      </w:r>
      <w:r w:rsidRPr="008C21CF">
        <w:rPr>
          <w:rFonts w:asciiTheme="majorHAnsi" w:hAnsiTheme="majorHAnsi" w:cstheme="majorHAnsi"/>
          <w:b/>
        </w:rPr>
        <w:t xml:space="preserve"> yes</w:t>
      </w:r>
      <w:r w:rsidRPr="008C21CF">
        <w:rPr>
          <w:rFonts w:asciiTheme="majorHAnsi" w:hAnsiTheme="majorHAnsi" w:cstheme="majorHAnsi"/>
        </w:rPr>
        <w:t>, describe specific arrangements and modalities.</w:t>
      </w:r>
    </w:p>
    <w:p w14:paraId="48DAB4F2" w14:textId="77777777" w:rsidR="00007BFF" w:rsidRPr="008C21CF" w:rsidRDefault="00007BFF" w:rsidP="00485066">
      <w:pPr>
        <w:pStyle w:val="affff3"/>
        <w:spacing w:before="120" w:after="0" w:line="240" w:lineRule="auto"/>
        <w:ind w:left="360"/>
        <w:jc w:val="both"/>
        <w:rPr>
          <w:rFonts w:asciiTheme="majorHAnsi" w:hAnsiTheme="majorHAnsi" w:cstheme="majorHAnsi"/>
          <w:bCs/>
          <w:iCs/>
        </w:rPr>
      </w:pPr>
    </w:p>
    <w:tbl>
      <w:tblPr>
        <w:tblStyle w:val="aa"/>
        <w:tblW w:w="0" w:type="auto"/>
        <w:tblLook w:val="04A0" w:firstRow="1" w:lastRow="0" w:firstColumn="1" w:lastColumn="0" w:noHBand="0" w:noVBand="1"/>
      </w:tblPr>
      <w:tblGrid>
        <w:gridCol w:w="10682"/>
      </w:tblGrid>
      <w:tr w:rsidR="00007BFF" w:rsidRPr="001D57CE" w14:paraId="4F316570" w14:textId="77777777" w:rsidTr="005279BC">
        <w:tc>
          <w:tcPr>
            <w:tcW w:w="10790" w:type="dxa"/>
          </w:tcPr>
          <w:p w14:paraId="095C735F" w14:textId="77777777" w:rsidR="00007BFF" w:rsidRPr="008C21CF" w:rsidRDefault="00007BFF" w:rsidP="005279BC">
            <w:pPr>
              <w:rPr>
                <w:rFonts w:asciiTheme="majorHAnsi" w:hAnsiTheme="majorHAnsi" w:cstheme="majorHAnsi"/>
              </w:rPr>
            </w:pPr>
            <w:r w:rsidRPr="008C21CF">
              <w:rPr>
                <w:rFonts w:asciiTheme="majorHAnsi" w:hAnsiTheme="majorHAnsi" w:cstheme="majorHAnsi"/>
              </w:rPr>
              <w:t>[Applicant response]</w:t>
            </w:r>
          </w:p>
          <w:p w14:paraId="36A6DC12" w14:textId="77777777" w:rsidR="00007BFF" w:rsidRPr="008C21CF" w:rsidRDefault="00007BFF" w:rsidP="005279BC">
            <w:pPr>
              <w:rPr>
                <w:rFonts w:asciiTheme="majorHAnsi" w:hAnsiTheme="majorHAnsi" w:cstheme="majorHAnsi"/>
              </w:rPr>
            </w:pPr>
          </w:p>
        </w:tc>
      </w:tr>
    </w:tbl>
    <w:p w14:paraId="350D5D6B" w14:textId="77777777" w:rsidR="00007BFF" w:rsidRPr="008C21CF" w:rsidRDefault="00007BFF" w:rsidP="00485066">
      <w:pPr>
        <w:pStyle w:val="affff3"/>
        <w:spacing w:after="0" w:line="240" w:lineRule="auto"/>
        <w:ind w:left="360"/>
        <w:jc w:val="both"/>
        <w:rPr>
          <w:rFonts w:asciiTheme="majorHAnsi" w:hAnsiTheme="majorHAnsi" w:cstheme="majorHAnsi"/>
          <w:bCs/>
          <w:iCs/>
        </w:rPr>
      </w:pPr>
    </w:p>
    <w:p w14:paraId="4ACA8E52" w14:textId="77777777" w:rsidR="00007BFF" w:rsidRPr="00B271DB" w:rsidRDefault="00007BFF">
      <w:pPr>
        <w:spacing w:after="160" w:line="0" w:lineRule="auto"/>
        <w:rPr>
          <w:rFonts w:cs="Arial"/>
        </w:rPr>
      </w:pPr>
    </w:p>
    <w:p w14:paraId="2891EDF1" w14:textId="0EA5130E" w:rsidR="00007BFF" w:rsidRPr="003860E7" w:rsidRDefault="00007BFF" w:rsidP="00824D66">
      <w:pPr>
        <w:pStyle w:val="1"/>
        <w:numPr>
          <w:ilvl w:val="0"/>
          <w:numId w:val="0"/>
        </w:numPr>
        <w:pBdr>
          <w:top w:val="single" w:sz="6" w:space="1" w:color="D9D9D9" w:themeColor="background1" w:themeShade="D9"/>
          <w:left w:val="single" w:sz="6" w:space="4" w:color="D9D9D9" w:themeColor="background1" w:themeShade="D9"/>
          <w:bottom w:val="single" w:sz="6" w:space="1" w:color="D9D9D9" w:themeColor="background1" w:themeShade="D9"/>
          <w:right w:val="single" w:sz="6" w:space="4" w:color="D9D9D9" w:themeColor="background1" w:themeShade="D9"/>
        </w:pBdr>
        <w:shd w:val="clear" w:color="auto" w:fill="D9D9D9" w:themeFill="background1" w:themeFillShade="D9"/>
        <w:spacing w:before="0" w:after="0"/>
        <w:ind w:left="567" w:hanging="567"/>
        <w:rPr>
          <w:b/>
          <w:sz w:val="30"/>
        </w:rPr>
      </w:pPr>
      <w:r>
        <w:rPr>
          <w:b/>
          <w:sz w:val="30"/>
        </w:rPr>
        <w:t xml:space="preserve">Section 3: </w:t>
      </w:r>
      <w:r w:rsidRPr="003860E7">
        <w:rPr>
          <w:b/>
          <w:sz w:val="30"/>
        </w:rPr>
        <w:t>Co-Financing, Sustainability and Transition</w:t>
      </w:r>
    </w:p>
    <w:p w14:paraId="2447389A" w14:textId="73F48D3C" w:rsidR="00007BFF" w:rsidRDefault="00007BFF" w:rsidP="002B6A8E"/>
    <w:p w14:paraId="4016BDCF" w14:textId="7AA1D5CC" w:rsidR="00007BFF" w:rsidRPr="00A76BD8" w:rsidRDefault="00007BFF" w:rsidP="00A76BD8">
      <w:pPr>
        <w:jc w:val="both"/>
      </w:pPr>
      <w:bookmarkStart w:id="15" w:name="_Hlk13737743"/>
      <w:r>
        <w:t xml:space="preserve">To respond to the questions below, refer to the </w:t>
      </w:r>
      <w:r w:rsidRPr="00F36913">
        <w:rPr>
          <w:i/>
        </w:rPr>
        <w:t>Instructions</w:t>
      </w:r>
      <w:r w:rsidRPr="00CA7D8E">
        <w:t xml:space="preserve">, </w:t>
      </w:r>
      <w:r w:rsidRPr="00A76BD8">
        <w:t xml:space="preserve">the domestic financing </w:t>
      </w:r>
      <w:r w:rsidRPr="007364E8">
        <w:t xml:space="preserve">section of the </w:t>
      </w:r>
      <w:r w:rsidRPr="003844E1">
        <w:t>allocation letter</w:t>
      </w:r>
      <w:r w:rsidRPr="007364E8">
        <w:t xml:space="preserve">, the </w:t>
      </w:r>
      <w:hyperlink r:id="rId63" w:history="1">
        <w:r w:rsidRPr="007364E8">
          <w:rPr>
            <w:rStyle w:val="af9"/>
            <w:rFonts w:cs="Arial"/>
          </w:rPr>
          <w:t>Sustainability, Transition and Co-Financing Guidance Note</w:t>
        </w:r>
      </w:hyperlink>
      <w:r w:rsidRPr="007364E8">
        <w:rPr>
          <w:rStyle w:val="af9"/>
          <w:rFonts w:cs="Arial"/>
        </w:rPr>
        <w:t>,</w:t>
      </w:r>
      <w:r w:rsidRPr="007364E8">
        <w:rPr>
          <w:rStyle w:val="af9"/>
          <w:rFonts w:cs="Arial"/>
          <w:u w:val="none"/>
        </w:rPr>
        <w:t xml:space="preserve"> </w:t>
      </w:r>
      <w:r w:rsidRPr="007364E8">
        <w:rPr>
          <w:b/>
        </w:rPr>
        <w:t>Funding Landscape Table(s)</w:t>
      </w:r>
      <w:r w:rsidRPr="007364E8">
        <w:t xml:space="preserve">, </w:t>
      </w:r>
      <w:r w:rsidRPr="007364E8">
        <w:rPr>
          <w:b/>
        </w:rPr>
        <w:t>Programmatic Gap Table(s)</w:t>
      </w:r>
      <w:r w:rsidRPr="007364E8">
        <w:t xml:space="preserve">, </w:t>
      </w:r>
      <w:r w:rsidRPr="007364E8">
        <w:rPr>
          <w:b/>
        </w:rPr>
        <w:t>Transition Workplan</w:t>
      </w:r>
      <w:r w:rsidRPr="007364E8">
        <w:t xml:space="preserve"> and </w:t>
      </w:r>
      <w:r w:rsidRPr="007364E8">
        <w:rPr>
          <w:b/>
        </w:rPr>
        <w:t xml:space="preserve">Transition Readiness Assessment </w:t>
      </w:r>
      <w:r w:rsidRPr="007364E8">
        <w:t>(if available)</w:t>
      </w:r>
      <w:r>
        <w:rPr>
          <w:rStyle w:val="af"/>
        </w:rPr>
        <w:footnoteReference w:id="80"/>
      </w:r>
      <w:r w:rsidRPr="007364E8">
        <w:t>.</w:t>
      </w:r>
      <w:r w:rsidRPr="00A76BD8">
        <w:t xml:space="preserve"> </w:t>
      </w:r>
      <w:bookmarkEnd w:id="15"/>
    </w:p>
    <w:p w14:paraId="0161FC03" w14:textId="7775A55B" w:rsidR="00007BFF" w:rsidRPr="008C21CF" w:rsidRDefault="00007BFF" w:rsidP="002D5A90">
      <w:pPr>
        <w:spacing w:after="0" w:line="240" w:lineRule="auto"/>
        <w:jc w:val="both"/>
        <w:rPr>
          <w:rFonts w:asciiTheme="majorHAnsi" w:hAnsiTheme="majorHAnsi" w:cstheme="majorHAnsi"/>
        </w:rPr>
      </w:pPr>
    </w:p>
    <w:p w14:paraId="55B8BD21" w14:textId="702FE2D6" w:rsidR="00007BFF" w:rsidRPr="00824D66" w:rsidRDefault="00007BFF" w:rsidP="00824D66">
      <w:pPr>
        <w:shd w:val="clear" w:color="auto" w:fill="D9D9D9" w:themeFill="background1" w:themeFillShade="D9"/>
        <w:spacing w:line="240" w:lineRule="auto"/>
        <w:rPr>
          <w:rFonts w:asciiTheme="majorHAnsi" w:hAnsiTheme="majorHAnsi" w:cstheme="majorHAnsi"/>
          <w:b/>
        </w:rPr>
      </w:pPr>
      <w:r>
        <w:rPr>
          <w:rFonts w:asciiTheme="majorHAnsi" w:hAnsiTheme="majorHAnsi" w:cstheme="majorHAnsi"/>
          <w:b/>
          <w:shd w:val="clear" w:color="auto" w:fill="D9D9D9" w:themeFill="background1" w:themeFillShade="D9"/>
        </w:rPr>
        <w:t xml:space="preserve">3.1 </w:t>
      </w:r>
      <w:r w:rsidRPr="00824D66">
        <w:rPr>
          <w:rFonts w:asciiTheme="majorHAnsi" w:hAnsiTheme="majorHAnsi" w:cstheme="majorHAnsi"/>
          <w:b/>
          <w:shd w:val="clear" w:color="auto" w:fill="D9D9D9" w:themeFill="background1" w:themeFillShade="D9"/>
        </w:rPr>
        <w:t>Co-Financing</w:t>
      </w:r>
    </w:p>
    <w:p w14:paraId="2B3C81E7" w14:textId="77777777" w:rsidR="00007BFF" w:rsidRPr="008C21CF" w:rsidRDefault="00007BFF" w:rsidP="00485066">
      <w:pPr>
        <w:pStyle w:val="affff3"/>
        <w:spacing w:before="120" w:after="0" w:line="240" w:lineRule="auto"/>
        <w:ind w:left="360"/>
        <w:jc w:val="both"/>
        <w:rPr>
          <w:rFonts w:asciiTheme="majorHAnsi" w:eastAsia="SimSun" w:hAnsiTheme="majorHAnsi" w:cstheme="majorHAnsi"/>
          <w:lang w:eastAsia="zh-CN"/>
        </w:rPr>
      </w:pPr>
    </w:p>
    <w:p w14:paraId="63B6894F" w14:textId="520C6AD4" w:rsidR="00007BFF" w:rsidRPr="00971DBD" w:rsidRDefault="00007BFF" w:rsidP="002B4EA3">
      <w:pPr>
        <w:pStyle w:val="affff3"/>
        <w:numPr>
          <w:ilvl w:val="0"/>
          <w:numId w:val="19"/>
        </w:numPr>
        <w:spacing w:after="0" w:line="240" w:lineRule="auto"/>
        <w:ind w:left="360"/>
        <w:contextualSpacing w:val="0"/>
        <w:jc w:val="both"/>
        <w:rPr>
          <w:rFonts w:asciiTheme="majorHAnsi" w:eastAsia="SimSun" w:hAnsiTheme="majorHAnsi" w:cstheme="majorHAnsi"/>
          <w:lang w:eastAsia="zh-CN"/>
        </w:rPr>
      </w:pPr>
      <w:r w:rsidRPr="008C21CF">
        <w:rPr>
          <w:rFonts w:asciiTheme="majorHAnsi" w:eastAsia="Times New Roman" w:hAnsiTheme="majorHAnsi" w:cstheme="majorHAnsi"/>
        </w:rPr>
        <w:t xml:space="preserve">Have </w:t>
      </w:r>
      <w:r w:rsidRPr="0096146C">
        <w:rPr>
          <w:rFonts w:asciiTheme="majorHAnsi" w:eastAsia="Times New Roman" w:hAnsiTheme="majorHAnsi" w:cstheme="majorHAnsi"/>
          <w:b/>
        </w:rPr>
        <w:t>co-financing commitments</w:t>
      </w:r>
      <w:r w:rsidRPr="008C21CF">
        <w:rPr>
          <w:rFonts w:asciiTheme="majorHAnsi" w:eastAsia="Times New Roman" w:hAnsiTheme="majorHAnsi" w:cstheme="majorHAnsi"/>
        </w:rPr>
        <w:t xml:space="preserve"> for the </w:t>
      </w:r>
      <w:r w:rsidRPr="0096146C">
        <w:rPr>
          <w:rFonts w:asciiTheme="majorHAnsi" w:eastAsia="Times New Roman" w:hAnsiTheme="majorHAnsi" w:cstheme="majorHAnsi"/>
          <w:b/>
        </w:rPr>
        <w:t>current</w:t>
      </w:r>
      <w:r w:rsidRPr="008C21CF">
        <w:rPr>
          <w:rFonts w:asciiTheme="majorHAnsi" w:eastAsia="Times New Roman" w:hAnsiTheme="majorHAnsi" w:cstheme="majorHAnsi"/>
        </w:rPr>
        <w:t xml:space="preserve"> allocation period been realized?</w:t>
      </w:r>
    </w:p>
    <w:p w14:paraId="416B2593" w14:textId="77777777" w:rsidR="00007BFF" w:rsidRPr="00B74DAA" w:rsidRDefault="00007BFF" w:rsidP="00971DBD">
      <w:pPr>
        <w:pStyle w:val="affff3"/>
        <w:spacing w:after="0" w:line="240" w:lineRule="auto"/>
        <w:ind w:left="360"/>
        <w:contextualSpacing w:val="0"/>
        <w:jc w:val="both"/>
        <w:rPr>
          <w:rFonts w:asciiTheme="majorHAnsi" w:eastAsia="SimSun" w:hAnsiTheme="majorHAnsi" w:cstheme="majorHAnsi"/>
          <w:lang w:eastAsia="zh-CN"/>
        </w:rPr>
      </w:pPr>
    </w:p>
    <w:p w14:paraId="6CBE9A2D" w14:textId="443DF9C2" w:rsidR="00007BFF" w:rsidRPr="008C21CF" w:rsidRDefault="00226154" w:rsidP="00971DBD">
      <w:pPr>
        <w:pStyle w:val="affff3"/>
        <w:spacing w:after="0" w:line="240" w:lineRule="auto"/>
        <w:ind w:left="360" w:firstLine="360"/>
        <w:contextualSpacing w:val="0"/>
        <w:jc w:val="both"/>
        <w:rPr>
          <w:rFonts w:asciiTheme="majorHAnsi" w:hAnsiTheme="majorHAnsi" w:cstheme="majorHAnsi"/>
          <w:bCs/>
          <w:iCs/>
        </w:rPr>
      </w:pPr>
      <w:sdt>
        <w:sdtPr>
          <w:rPr>
            <w:rFonts w:asciiTheme="majorHAnsi" w:hAnsiTheme="majorHAnsi" w:cstheme="majorHAnsi"/>
            <w:bCs/>
            <w:iCs/>
          </w:rPr>
          <w:id w:val="352006091"/>
          <w14:checkbox>
            <w14:checked w14:val="1"/>
            <w14:checkedState w14:val="2612" w14:font="MS Gothic"/>
            <w14:uncheckedState w14:val="2610" w14:font="MS Gothic"/>
          </w14:checkbox>
        </w:sdtPr>
        <w:sdtEndPr/>
        <w:sdtContent>
          <w:r w:rsidR="007938AF">
            <w:rPr>
              <w:rFonts w:ascii="MS Gothic" w:eastAsia="MS Gothic" w:hAnsi="MS Gothic" w:cs="Segoe UI Symbol" w:hint="eastAsia"/>
              <w:bCs/>
              <w:iCs/>
            </w:rPr>
            <w:t>☒</w:t>
          </w:r>
        </w:sdtContent>
      </w:sdt>
      <w:r w:rsidR="007938AF" w:rsidRPr="00887D0D">
        <w:rPr>
          <w:rFonts w:asciiTheme="majorHAnsi" w:hAnsiTheme="majorHAnsi" w:cstheme="majorHAnsi"/>
          <w:bCs/>
          <w:iCs/>
        </w:rPr>
        <w:t xml:space="preserve"> </w:t>
      </w:r>
      <w:r w:rsidR="00887D0D" w:rsidRPr="00887D0D">
        <w:rPr>
          <w:rFonts w:asciiTheme="majorHAnsi" w:hAnsiTheme="majorHAnsi" w:cstheme="majorHAnsi"/>
          <w:bCs/>
          <w:iCs/>
        </w:rPr>
        <w:t>Yes</w:t>
      </w:r>
      <w:sdt>
        <w:sdtPr>
          <w:rPr>
            <w:rFonts w:asciiTheme="majorHAnsi" w:hAnsiTheme="majorHAnsi" w:cstheme="majorHAnsi"/>
            <w:bCs/>
            <w:iCs/>
          </w:rPr>
          <w:id w:val="1334948662"/>
          <w14:checkbox>
            <w14:checked w14:val="0"/>
            <w14:checkedState w14:val="2612" w14:font="MS Gothic"/>
            <w14:uncheckedState w14:val="2610" w14:font="MS Gothic"/>
          </w14:checkbox>
        </w:sdtPr>
        <w:sdtEndPr/>
        <w:sdtContent>
          <w:r w:rsidR="00007BFF" w:rsidRPr="001D57CE">
            <w:rPr>
              <w:rFonts w:ascii="Segoe UI Symbol" w:hAnsi="Segoe UI Symbol" w:cs="Segoe UI Symbol"/>
              <w:bCs/>
              <w:iCs/>
            </w:rPr>
            <w:t>☐</w:t>
          </w:r>
        </w:sdtContent>
      </w:sdt>
      <w:r w:rsidR="00007BFF" w:rsidRPr="008C21CF">
        <w:rPr>
          <w:rFonts w:asciiTheme="majorHAnsi" w:hAnsiTheme="majorHAnsi" w:cstheme="majorHAnsi"/>
          <w:bCs/>
          <w:iCs/>
        </w:rPr>
        <w:t xml:space="preserve"> </w:t>
      </w:r>
      <w:r w:rsidR="007938AF">
        <w:rPr>
          <w:rFonts w:asciiTheme="majorHAnsi" w:hAnsiTheme="majorHAnsi" w:cstheme="majorHAnsi"/>
          <w:bCs/>
          <w:iCs/>
        </w:rPr>
        <w:t>No</w:t>
      </w:r>
    </w:p>
    <w:p w14:paraId="672DA190" w14:textId="77777777" w:rsidR="00007BFF" w:rsidRPr="008C21CF" w:rsidRDefault="00007BFF" w:rsidP="00971DBD">
      <w:pPr>
        <w:pStyle w:val="affff3"/>
        <w:spacing w:after="0" w:line="240" w:lineRule="auto"/>
        <w:ind w:left="996"/>
        <w:contextualSpacing w:val="0"/>
        <w:jc w:val="both"/>
        <w:rPr>
          <w:rFonts w:asciiTheme="majorHAnsi" w:eastAsia="Times New Roman" w:hAnsiTheme="majorHAnsi" w:cstheme="majorHAnsi"/>
        </w:rPr>
      </w:pPr>
    </w:p>
    <w:p w14:paraId="5C9BFCD5" w14:textId="6A2895C5" w:rsidR="00007BFF" w:rsidRPr="008C21CF" w:rsidRDefault="00007BFF" w:rsidP="00971DBD">
      <w:pPr>
        <w:spacing w:after="0" w:line="240" w:lineRule="auto"/>
        <w:ind w:left="360"/>
        <w:jc w:val="both"/>
        <w:rPr>
          <w:rFonts w:asciiTheme="majorHAnsi" w:eastAsia="Times New Roman" w:hAnsiTheme="majorHAnsi" w:cstheme="majorHAnsi"/>
        </w:rPr>
      </w:pPr>
      <w:r w:rsidRPr="00B2724B">
        <w:rPr>
          <w:rFonts w:asciiTheme="majorHAnsi" w:eastAsia="Times New Roman" w:hAnsiTheme="majorHAnsi" w:cstheme="majorHAnsi"/>
        </w:rPr>
        <w:t>If</w:t>
      </w:r>
      <w:r w:rsidRPr="008C21CF">
        <w:rPr>
          <w:rFonts w:asciiTheme="majorHAnsi" w:eastAsia="Times New Roman" w:hAnsiTheme="majorHAnsi" w:cstheme="majorHAnsi"/>
          <w:b/>
        </w:rPr>
        <w:t xml:space="preserve"> yes</w:t>
      </w:r>
      <w:r w:rsidRPr="008C21CF">
        <w:rPr>
          <w:rFonts w:asciiTheme="majorHAnsi" w:eastAsia="Times New Roman" w:hAnsiTheme="majorHAnsi" w:cstheme="majorHAnsi"/>
        </w:rPr>
        <w:t xml:space="preserve">, attach supporting documentation demonstrating the extent to which co-financing commitments have been met. </w:t>
      </w:r>
    </w:p>
    <w:p w14:paraId="486BFDD7" w14:textId="77777777" w:rsidR="00007BFF" w:rsidRDefault="00007BFF" w:rsidP="00971DBD">
      <w:pPr>
        <w:spacing w:after="0" w:line="240" w:lineRule="auto"/>
        <w:ind w:left="360"/>
        <w:rPr>
          <w:rFonts w:asciiTheme="majorHAnsi" w:eastAsia="Times New Roman" w:hAnsiTheme="majorHAnsi" w:cstheme="majorHAnsi"/>
          <w:b/>
        </w:rPr>
      </w:pPr>
    </w:p>
    <w:p w14:paraId="06DE97B2" w14:textId="49EC31C7" w:rsidR="00007BFF" w:rsidRPr="008C21CF" w:rsidRDefault="00007BFF" w:rsidP="00971DBD">
      <w:pPr>
        <w:spacing w:after="0" w:line="240" w:lineRule="auto"/>
        <w:ind w:left="360"/>
        <w:rPr>
          <w:rFonts w:asciiTheme="majorHAnsi" w:eastAsia="Times New Roman" w:hAnsiTheme="majorHAnsi" w:cstheme="majorHAnsi"/>
        </w:rPr>
      </w:pPr>
      <w:r w:rsidRPr="00B2724B">
        <w:rPr>
          <w:rFonts w:asciiTheme="majorHAnsi" w:eastAsia="Times New Roman" w:hAnsiTheme="majorHAnsi" w:cstheme="majorHAnsi"/>
        </w:rPr>
        <w:t xml:space="preserve">If </w:t>
      </w:r>
      <w:r w:rsidRPr="008C21CF">
        <w:rPr>
          <w:rFonts w:asciiTheme="majorHAnsi" w:eastAsia="Times New Roman" w:hAnsiTheme="majorHAnsi" w:cstheme="majorHAnsi"/>
          <w:b/>
        </w:rPr>
        <w:t>no</w:t>
      </w:r>
      <w:r w:rsidRPr="008C21CF">
        <w:rPr>
          <w:rFonts w:asciiTheme="majorHAnsi" w:eastAsia="Times New Roman" w:hAnsiTheme="majorHAnsi" w:cstheme="majorHAnsi"/>
        </w:rPr>
        <w:t xml:space="preserve">, </w:t>
      </w:r>
      <w:r>
        <w:rPr>
          <w:rFonts w:asciiTheme="majorHAnsi" w:eastAsia="Times New Roman" w:hAnsiTheme="majorHAnsi" w:cstheme="majorHAnsi"/>
        </w:rPr>
        <w:t>explain why</w:t>
      </w:r>
      <w:r w:rsidRPr="008C21CF">
        <w:rPr>
          <w:rFonts w:asciiTheme="majorHAnsi" w:eastAsia="Times New Roman" w:hAnsiTheme="majorHAnsi" w:cstheme="majorHAnsi"/>
        </w:rPr>
        <w:t xml:space="preserve"> and outline the impact of this situation on the program.</w:t>
      </w:r>
    </w:p>
    <w:p w14:paraId="1EBAE844" w14:textId="77777777" w:rsidR="00007BFF" w:rsidRPr="008C21CF" w:rsidRDefault="00007BFF" w:rsidP="00971DBD">
      <w:pPr>
        <w:spacing w:after="0" w:line="240" w:lineRule="auto"/>
        <w:rPr>
          <w:rFonts w:asciiTheme="majorHAnsi" w:eastAsia="Times New Roman" w:hAnsiTheme="majorHAnsi" w:cstheme="majorHAnsi"/>
        </w:rPr>
      </w:pPr>
    </w:p>
    <w:tbl>
      <w:tblPr>
        <w:tblStyle w:val="aa"/>
        <w:tblW w:w="0" w:type="auto"/>
        <w:tblLayout w:type="fixed"/>
        <w:tblLook w:val="04A0" w:firstRow="1" w:lastRow="0" w:firstColumn="1" w:lastColumn="0" w:noHBand="0" w:noVBand="1"/>
      </w:tblPr>
      <w:tblGrid>
        <w:gridCol w:w="10790"/>
      </w:tblGrid>
      <w:tr w:rsidR="00007BFF" w:rsidRPr="001D57CE" w14:paraId="1C80D382" w14:textId="77777777" w:rsidTr="00AD474E">
        <w:trPr>
          <w:trHeight w:val="567"/>
        </w:trPr>
        <w:tc>
          <w:tcPr>
            <w:tcW w:w="10790" w:type="dxa"/>
          </w:tcPr>
          <w:p w14:paraId="28C79453" w14:textId="0C0CAA70" w:rsidR="008932E6" w:rsidRDefault="00230ED8" w:rsidP="008932E6">
            <w:pPr>
              <w:spacing w:after="0" w:line="240" w:lineRule="auto"/>
              <w:jc w:val="both"/>
              <w:rPr>
                <w:rFonts w:asciiTheme="majorHAnsi" w:hAnsiTheme="majorHAnsi" w:cstheme="majorHAnsi"/>
              </w:rPr>
            </w:pPr>
            <w:r w:rsidRPr="00230ED8">
              <w:rPr>
                <w:rFonts w:asciiTheme="majorHAnsi" w:eastAsia="Times New Roman" w:hAnsiTheme="majorHAnsi" w:cstheme="majorHAnsi"/>
                <w:color w:val="302E34"/>
                <w:shd w:val="clear" w:color="auto" w:fill="FFFFFF"/>
              </w:rPr>
              <w:t>Despite th</w:t>
            </w:r>
            <w:r w:rsidR="00FB2F60">
              <w:rPr>
                <w:rFonts w:asciiTheme="majorHAnsi" w:eastAsia="Times New Roman" w:hAnsiTheme="majorHAnsi" w:cstheme="majorHAnsi"/>
                <w:color w:val="302E34"/>
                <w:shd w:val="clear" w:color="auto" w:fill="FFFFFF"/>
              </w:rPr>
              <w:t>e double hit of the pandemic, including</w:t>
            </w:r>
            <w:r w:rsidRPr="00230ED8">
              <w:rPr>
                <w:rFonts w:asciiTheme="majorHAnsi" w:eastAsia="Times New Roman" w:hAnsiTheme="majorHAnsi" w:cstheme="majorHAnsi"/>
                <w:color w:val="302E34"/>
                <w:shd w:val="clear" w:color="auto" w:fill="FFFFFF"/>
              </w:rPr>
              <w:t xml:space="preserve"> the oil price shock in 2020, the recovery of Kazakhstan from the crisis is forecasted to be relatively robust. Overall GDP contracted by 2.5% in 2020 and increased by 2.3% in the second quarter of 2021. </w:t>
            </w:r>
            <w:r w:rsidR="008932E6" w:rsidRPr="00923A6E">
              <w:rPr>
                <w:rFonts w:asciiTheme="majorHAnsi" w:hAnsiTheme="majorHAnsi" w:cstheme="majorHAnsi"/>
              </w:rPr>
              <w:t>The</w:t>
            </w:r>
            <w:r w:rsidR="008932E6">
              <w:rPr>
                <w:rFonts w:asciiTheme="majorHAnsi" w:hAnsiTheme="majorHAnsi" w:cstheme="majorHAnsi"/>
              </w:rPr>
              <w:t xml:space="preserve"> projected pace of growth is 3.9</w:t>
            </w:r>
            <w:r w:rsidR="008932E6" w:rsidRPr="00923A6E">
              <w:rPr>
                <w:rFonts w:asciiTheme="majorHAnsi" w:hAnsiTheme="majorHAnsi" w:cstheme="majorHAnsi"/>
              </w:rPr>
              <w:t>% in 2022</w:t>
            </w:r>
            <w:r w:rsidR="008932E6">
              <w:rPr>
                <w:rFonts w:asciiTheme="majorHAnsi" w:hAnsiTheme="majorHAnsi" w:cstheme="majorHAnsi"/>
              </w:rPr>
              <w:t>, with further growth to 5.2% in 2026</w:t>
            </w:r>
            <w:r w:rsidR="008932E6" w:rsidRPr="00923A6E">
              <w:rPr>
                <w:rStyle w:val="af"/>
                <w:rFonts w:asciiTheme="majorHAnsi" w:hAnsiTheme="majorHAnsi" w:cstheme="majorHAnsi"/>
              </w:rPr>
              <w:footnoteReference w:id="81"/>
            </w:r>
            <w:r w:rsidR="008932E6" w:rsidRPr="00923A6E">
              <w:rPr>
                <w:rFonts w:asciiTheme="majorHAnsi" w:hAnsiTheme="majorHAnsi" w:cstheme="majorHAnsi"/>
              </w:rPr>
              <w:t xml:space="preserve">, </w:t>
            </w:r>
            <w:r w:rsidR="008932E6" w:rsidRPr="00923A6E">
              <w:rPr>
                <w:rFonts w:cs="Arial"/>
                <w:bCs/>
              </w:rPr>
              <w:t xml:space="preserve">but significant downside risks yet </w:t>
            </w:r>
            <w:r w:rsidR="008932E6">
              <w:rPr>
                <w:rFonts w:cs="Arial"/>
                <w:bCs/>
              </w:rPr>
              <w:t>remain</w:t>
            </w:r>
            <w:r w:rsidR="008932E6" w:rsidRPr="001516AF">
              <w:rPr>
                <w:rFonts w:cs="Arial"/>
                <w:bCs/>
              </w:rPr>
              <w:t xml:space="preserve"> </w:t>
            </w:r>
            <w:r w:rsidR="008932E6" w:rsidRPr="001516AF">
              <w:rPr>
                <w:rFonts w:cs="Arial"/>
              </w:rPr>
              <w:t>due to uneven economic recovery across countries and higher debt-related risks to the global financial market</w:t>
            </w:r>
            <w:r w:rsidR="008932E6" w:rsidRPr="001516AF">
              <w:rPr>
                <w:rFonts w:asciiTheme="majorHAnsi" w:hAnsiTheme="majorHAnsi" w:cstheme="majorHAnsi"/>
              </w:rPr>
              <w:t>.</w:t>
            </w:r>
          </w:p>
          <w:p w14:paraId="04E5BEEE" w14:textId="77777777" w:rsidR="008932E6" w:rsidRPr="008932E6" w:rsidRDefault="008932E6" w:rsidP="008932E6">
            <w:pPr>
              <w:spacing w:after="0" w:line="240" w:lineRule="auto"/>
              <w:jc w:val="both"/>
              <w:rPr>
                <w:rFonts w:asciiTheme="majorHAnsi" w:hAnsiTheme="majorHAnsi" w:cstheme="majorHAnsi"/>
              </w:rPr>
            </w:pPr>
          </w:p>
          <w:p w14:paraId="0C0DB59A" w14:textId="77777777" w:rsidR="00DA551B" w:rsidRPr="00DA551B" w:rsidRDefault="008932E6" w:rsidP="00DA551B">
            <w:pPr>
              <w:pStyle w:val="affff9"/>
              <w:spacing w:after="0" w:line="240" w:lineRule="auto"/>
              <w:jc w:val="both"/>
              <w:rPr>
                <w:rFonts w:asciiTheme="majorHAnsi" w:hAnsiTheme="majorHAnsi" w:cstheme="majorHAnsi"/>
                <w:sz w:val="22"/>
                <w:szCs w:val="22"/>
              </w:rPr>
            </w:pPr>
            <w:r w:rsidRPr="008932E6">
              <w:rPr>
                <w:rFonts w:asciiTheme="majorHAnsi" w:eastAsia="Times New Roman" w:hAnsiTheme="majorHAnsi" w:cstheme="majorHAnsi"/>
                <w:color w:val="302E34"/>
                <w:sz w:val="22"/>
                <w:szCs w:val="22"/>
                <w:shd w:val="clear" w:color="auto" w:fill="FFFFFF"/>
              </w:rPr>
              <w:t>In 2020 t</w:t>
            </w:r>
            <w:r w:rsidR="00AD7D4F" w:rsidRPr="008932E6">
              <w:rPr>
                <w:rFonts w:asciiTheme="majorHAnsi" w:hAnsiTheme="majorHAnsi" w:cstheme="majorHAnsi"/>
                <w:sz w:val="22"/>
                <w:szCs w:val="22"/>
              </w:rPr>
              <w:t>he Gov</w:t>
            </w:r>
            <w:r w:rsidR="00694F3F">
              <w:rPr>
                <w:rFonts w:asciiTheme="majorHAnsi" w:hAnsiTheme="majorHAnsi" w:cstheme="majorHAnsi"/>
                <w:sz w:val="22"/>
                <w:szCs w:val="22"/>
              </w:rPr>
              <w:t xml:space="preserve">ernment stepped in </w:t>
            </w:r>
            <w:r w:rsidR="00AD7D4F" w:rsidRPr="008932E6">
              <w:rPr>
                <w:rFonts w:asciiTheme="majorHAnsi" w:hAnsiTheme="majorHAnsi" w:cstheme="majorHAnsi"/>
                <w:sz w:val="22"/>
                <w:szCs w:val="22"/>
              </w:rPr>
              <w:t>support</w:t>
            </w:r>
            <w:r w:rsidR="00694F3F">
              <w:rPr>
                <w:rFonts w:asciiTheme="majorHAnsi" w:hAnsiTheme="majorHAnsi" w:cstheme="majorHAnsi"/>
                <w:sz w:val="22"/>
                <w:szCs w:val="22"/>
              </w:rPr>
              <w:t>ed</w:t>
            </w:r>
            <w:r w:rsidR="00AD7D4F" w:rsidRPr="008932E6">
              <w:rPr>
                <w:rFonts w:asciiTheme="majorHAnsi" w:hAnsiTheme="majorHAnsi" w:cstheme="majorHAnsi"/>
                <w:sz w:val="22"/>
                <w:szCs w:val="22"/>
              </w:rPr>
              <w:t xml:space="preserve"> the MoH in addressing healthcare system challenges and infection-containing efforts. The investment’ growth in healthcare made up more than US$700 million which is 2.5-fold higher than in 2019.</w:t>
            </w:r>
            <w:r w:rsidR="00AD7D4F" w:rsidRPr="008932E6">
              <w:rPr>
                <w:rFonts w:asciiTheme="majorHAnsi" w:hAnsiTheme="majorHAnsi" w:cstheme="majorHAnsi"/>
                <w:sz w:val="22"/>
                <w:szCs w:val="22"/>
                <w:vertAlign w:val="superscript"/>
              </w:rPr>
              <w:footnoteReference w:id="82"/>
            </w:r>
            <w:r w:rsidR="00AD7D4F" w:rsidRPr="008932E6">
              <w:rPr>
                <w:rFonts w:asciiTheme="majorHAnsi" w:hAnsiTheme="majorHAnsi" w:cstheme="majorHAnsi"/>
                <w:sz w:val="22"/>
                <w:szCs w:val="22"/>
                <w:vertAlign w:val="subscript"/>
              </w:rPr>
              <w:t xml:space="preserve"> </w:t>
            </w:r>
            <w:r w:rsidR="00DA551B" w:rsidRPr="00DA551B">
              <w:rPr>
                <w:rFonts w:asciiTheme="majorHAnsi" w:hAnsiTheme="majorHAnsi" w:cstheme="majorHAnsi"/>
                <w:sz w:val="22"/>
                <w:szCs w:val="22"/>
              </w:rPr>
              <w:t xml:space="preserve">The funds were used to strengthen health infrastructure and equipment, provide hospitals with ventilators and oxygen supply, guarantee uninterrupted supply of medicines, expand molecular diagnostic capacity, and scale up transport medicine to bring services closer to rural and hard-to-reach population. Along with these supportive measures, to address the shocks pandemic had on the labor market, the MoH has implemented medical staff motivation schemes, including risk-based pay and allowances to healthcare workers. Since July 2019, doctors' salaries have increased twice, and it is expected to raise wages in the mid-term. </w:t>
            </w:r>
          </w:p>
          <w:p w14:paraId="04FC8F9E" w14:textId="77777777" w:rsidR="00DA551B" w:rsidRPr="00DA551B" w:rsidRDefault="00DA551B" w:rsidP="00DA551B">
            <w:pPr>
              <w:pStyle w:val="affff9"/>
              <w:spacing w:after="0" w:line="240" w:lineRule="auto"/>
              <w:jc w:val="both"/>
              <w:rPr>
                <w:rFonts w:asciiTheme="majorHAnsi" w:hAnsiTheme="majorHAnsi" w:cstheme="majorHAnsi"/>
                <w:sz w:val="22"/>
                <w:szCs w:val="22"/>
              </w:rPr>
            </w:pPr>
          </w:p>
          <w:p w14:paraId="681E5C7D" w14:textId="048A13A7" w:rsidR="00DA551B" w:rsidRPr="00DA551B" w:rsidRDefault="00DA551B" w:rsidP="00DA551B">
            <w:pPr>
              <w:pStyle w:val="affff9"/>
              <w:spacing w:after="0" w:line="240" w:lineRule="auto"/>
              <w:jc w:val="both"/>
              <w:rPr>
                <w:rFonts w:asciiTheme="majorHAnsi" w:hAnsiTheme="majorHAnsi" w:cstheme="majorHAnsi"/>
                <w:sz w:val="22"/>
                <w:szCs w:val="22"/>
              </w:rPr>
            </w:pPr>
            <w:r w:rsidRPr="00DA551B">
              <w:rPr>
                <w:rFonts w:asciiTheme="majorHAnsi" w:hAnsiTheme="majorHAnsi" w:cstheme="majorHAnsi"/>
                <w:sz w:val="22"/>
                <w:szCs w:val="22"/>
              </w:rPr>
              <w:t xml:space="preserve">The first year of large-scale implementation of the compulsory social health insurance coincided with the COVID-19 pandemic and increased complexity of the challenges of the health system. However, despite the quarantine measures, the size of the population enrolled under the CSHI scheme made up 85%. The social health insurance fund has accomplished all necessary steps to be fully operational and effectively respond to the outbreak. The CSHI deductions and contributions were mobilized to guarantee population access to narrow specialist' consultations, high-tech diagnostic services, day-care and rehabilitation by injecting more than </w:t>
            </w:r>
            <w:r w:rsidR="006E1D05">
              <w:rPr>
                <w:rFonts w:asciiTheme="majorHAnsi" w:hAnsiTheme="majorHAnsi" w:cstheme="majorHAnsi"/>
                <w:sz w:val="22"/>
                <w:szCs w:val="22"/>
              </w:rPr>
              <w:t xml:space="preserve">KZT550 billion </w:t>
            </w:r>
            <w:r w:rsidR="00887D0D">
              <w:rPr>
                <w:rFonts w:asciiTheme="majorHAnsi" w:hAnsiTheme="majorHAnsi" w:cstheme="majorHAnsi"/>
                <w:sz w:val="22"/>
                <w:szCs w:val="22"/>
              </w:rPr>
              <w:t>into the healthcare system.</w:t>
            </w:r>
            <w:r w:rsidRPr="00DA551B">
              <w:rPr>
                <w:rFonts w:asciiTheme="majorHAnsi" w:hAnsiTheme="majorHAnsi" w:cstheme="majorHAnsi"/>
                <w:sz w:val="22"/>
                <w:szCs w:val="22"/>
              </w:rPr>
              <w:t xml:space="preserve"> This significantly increased the volume of services and made them accessible by patients irrespective of their insurance status </w:t>
            </w:r>
          </w:p>
          <w:p w14:paraId="6FCF1B2C" w14:textId="77777777" w:rsidR="00DA551B" w:rsidRPr="00DA551B" w:rsidRDefault="00DA551B" w:rsidP="00DA551B">
            <w:pPr>
              <w:pStyle w:val="affff9"/>
              <w:spacing w:after="0" w:line="240" w:lineRule="auto"/>
              <w:jc w:val="both"/>
              <w:rPr>
                <w:rFonts w:asciiTheme="majorHAnsi" w:hAnsiTheme="majorHAnsi" w:cstheme="majorHAnsi"/>
                <w:sz w:val="22"/>
                <w:szCs w:val="22"/>
              </w:rPr>
            </w:pPr>
          </w:p>
          <w:p w14:paraId="4AFB9A68" w14:textId="7A865791" w:rsidR="0017193C" w:rsidRDefault="00F051F6" w:rsidP="00DA551B">
            <w:pPr>
              <w:pStyle w:val="affff9"/>
              <w:spacing w:after="0" w:line="240" w:lineRule="auto"/>
              <w:jc w:val="both"/>
              <w:rPr>
                <w:rFonts w:asciiTheme="majorHAnsi" w:hAnsiTheme="majorHAnsi" w:cstheme="majorHAnsi"/>
                <w:sz w:val="22"/>
                <w:szCs w:val="22"/>
              </w:rPr>
            </w:pPr>
            <w:r>
              <w:rPr>
                <w:rFonts w:asciiTheme="majorHAnsi" w:hAnsiTheme="majorHAnsi" w:cstheme="majorHAnsi"/>
                <w:sz w:val="22"/>
                <w:szCs w:val="22"/>
              </w:rPr>
              <w:t xml:space="preserve">As </w:t>
            </w:r>
            <w:r w:rsidR="00DA551B" w:rsidRPr="00DA551B">
              <w:rPr>
                <w:rFonts w:asciiTheme="majorHAnsi" w:hAnsiTheme="majorHAnsi" w:cstheme="majorHAnsi"/>
                <w:sz w:val="22"/>
                <w:szCs w:val="22"/>
              </w:rPr>
              <w:t>other services</w:t>
            </w:r>
            <w:r w:rsidR="00FC5758">
              <w:rPr>
                <w:rFonts w:asciiTheme="majorHAnsi" w:hAnsiTheme="majorHAnsi" w:cstheme="majorHAnsi"/>
                <w:sz w:val="22"/>
                <w:szCs w:val="22"/>
              </w:rPr>
              <w:t xml:space="preserve"> </w:t>
            </w:r>
            <w:r w:rsidR="00FC5758">
              <w:rPr>
                <w:rFonts w:ascii="Arial" w:hAnsi="Arial" w:cs="Arial"/>
                <w:sz w:val="22"/>
                <w:szCs w:val="22"/>
              </w:rPr>
              <w:t>impacted by COVID-19</w:t>
            </w:r>
            <w:r w:rsidR="00DA551B" w:rsidRPr="00DA551B">
              <w:rPr>
                <w:rFonts w:asciiTheme="majorHAnsi" w:hAnsiTheme="majorHAnsi" w:cstheme="majorHAnsi"/>
                <w:sz w:val="22"/>
                <w:szCs w:val="22"/>
              </w:rPr>
              <w:t xml:space="preserve">, the pandemic has also caused significant disruption to tuberculosis diagnosis and treatment services by threatening to reverse recent progress reported towards national TB targets (for details, please visit the section on country context). While building essential infrastructure and healthcare workforce capacity for COVID-19 services in the country at both PHC and TB Center's level, the NTP reflecting on the situation has adjusted its programs and adopted innovative ways to connect patients to effective treatment. The diagnostic algorithm for suspected TB cases was revisited and adopted, allowing those being evaluated for COVID-19 to be tested for TB if the symptoms, course of illness, and X-ray findings suggest so. Most counseling services were shifted to distance/online format. Transport closure and limited people's ability to healthcare services accelerated the use of digital treatment technologies, and innovative care models have bridged the gap between healthcare providers and patients. The drop in planned </w:t>
            </w:r>
            <w:r w:rsidR="00A47DDC">
              <w:rPr>
                <w:rFonts w:asciiTheme="majorHAnsi" w:hAnsiTheme="majorHAnsi" w:cstheme="majorHAnsi"/>
                <w:sz w:val="22"/>
                <w:szCs w:val="22"/>
              </w:rPr>
              <w:t xml:space="preserve">mid-year </w:t>
            </w:r>
            <w:r w:rsidR="00DA551B" w:rsidRPr="00DA551B">
              <w:rPr>
                <w:rFonts w:asciiTheme="majorHAnsi" w:hAnsiTheme="majorHAnsi" w:cstheme="majorHAnsi"/>
                <w:sz w:val="22"/>
                <w:szCs w:val="22"/>
              </w:rPr>
              <w:t>spe</w:t>
            </w:r>
            <w:r w:rsidR="00A47DDC">
              <w:rPr>
                <w:rFonts w:asciiTheme="majorHAnsi" w:hAnsiTheme="majorHAnsi" w:cstheme="majorHAnsi"/>
                <w:sz w:val="22"/>
                <w:szCs w:val="22"/>
              </w:rPr>
              <w:t>nding for the TB service was 5%</w:t>
            </w:r>
            <w:r w:rsidR="00DA551B" w:rsidRPr="00DA551B">
              <w:rPr>
                <w:rFonts w:asciiTheme="majorHAnsi" w:hAnsiTheme="majorHAnsi" w:cstheme="majorHAnsi"/>
                <w:sz w:val="22"/>
                <w:szCs w:val="22"/>
              </w:rPr>
              <w:t xml:space="preserve">, which soon </w:t>
            </w:r>
            <w:r w:rsidR="00A47DDC">
              <w:rPr>
                <w:rFonts w:asciiTheme="majorHAnsi" w:hAnsiTheme="majorHAnsi" w:cstheme="majorHAnsi"/>
                <w:sz w:val="22"/>
                <w:szCs w:val="22"/>
              </w:rPr>
              <w:t xml:space="preserve">has </w:t>
            </w:r>
            <w:r w:rsidR="00DA551B" w:rsidRPr="00DA551B">
              <w:rPr>
                <w:rFonts w:asciiTheme="majorHAnsi" w:hAnsiTheme="majorHAnsi" w:cstheme="majorHAnsi"/>
                <w:sz w:val="22"/>
                <w:szCs w:val="22"/>
              </w:rPr>
              <w:t xml:space="preserve">recovered by the end of 2020. The TB services are provided free of charge within the state-guaranteed package of free medical care. </w:t>
            </w:r>
          </w:p>
          <w:p w14:paraId="340E387A" w14:textId="77777777" w:rsidR="0017193C" w:rsidRDefault="0017193C" w:rsidP="00DA551B">
            <w:pPr>
              <w:pStyle w:val="affff9"/>
              <w:spacing w:after="0" w:line="240" w:lineRule="auto"/>
              <w:jc w:val="both"/>
              <w:rPr>
                <w:rFonts w:asciiTheme="majorHAnsi" w:hAnsiTheme="majorHAnsi" w:cstheme="majorHAnsi"/>
                <w:sz w:val="22"/>
                <w:szCs w:val="22"/>
              </w:rPr>
            </w:pPr>
          </w:p>
          <w:p w14:paraId="2E759C85" w14:textId="442D6A65" w:rsidR="00552B56" w:rsidRPr="0017193C" w:rsidRDefault="00DA551B" w:rsidP="0017193C">
            <w:pPr>
              <w:pStyle w:val="affff9"/>
              <w:spacing w:after="0" w:line="240" w:lineRule="auto"/>
              <w:jc w:val="both"/>
              <w:rPr>
                <w:rFonts w:asciiTheme="majorHAnsi" w:hAnsiTheme="majorHAnsi" w:cstheme="majorHAnsi"/>
                <w:sz w:val="22"/>
                <w:szCs w:val="22"/>
              </w:rPr>
            </w:pPr>
            <w:r w:rsidRPr="0017193C">
              <w:rPr>
                <w:rFonts w:asciiTheme="majorHAnsi" w:hAnsiTheme="majorHAnsi" w:cstheme="majorHAnsi"/>
                <w:sz w:val="22"/>
                <w:szCs w:val="22"/>
              </w:rPr>
              <w:t xml:space="preserve">The national investment in health overall and TB response specifically have increased annually. To address the growing needs generated by the pandemic, the 2020-2022 republican Budget Law was revised </w:t>
            </w:r>
            <w:r w:rsidR="00CF7FA4">
              <w:rPr>
                <w:rFonts w:asciiTheme="majorHAnsi" w:hAnsiTheme="majorHAnsi" w:cstheme="majorHAnsi"/>
                <w:sz w:val="22"/>
                <w:szCs w:val="22"/>
              </w:rPr>
              <w:t>twice in 2020 and</w:t>
            </w:r>
            <w:r w:rsidRPr="0017193C">
              <w:rPr>
                <w:rFonts w:asciiTheme="majorHAnsi" w:hAnsiTheme="majorHAnsi" w:cstheme="majorHAnsi"/>
                <w:sz w:val="22"/>
                <w:szCs w:val="22"/>
              </w:rPr>
              <w:t xml:space="preserve"> increase</w:t>
            </w:r>
            <w:r w:rsidR="00CF7FA4">
              <w:rPr>
                <w:rFonts w:asciiTheme="majorHAnsi" w:hAnsiTheme="majorHAnsi" w:cstheme="majorHAnsi"/>
                <w:sz w:val="22"/>
                <w:szCs w:val="22"/>
              </w:rPr>
              <w:t>d</w:t>
            </w:r>
            <w:r w:rsidRPr="0017193C">
              <w:rPr>
                <w:rFonts w:asciiTheme="majorHAnsi" w:hAnsiTheme="majorHAnsi" w:cstheme="majorHAnsi"/>
                <w:sz w:val="22"/>
                <w:szCs w:val="22"/>
              </w:rPr>
              <w:t xml:space="preserve"> the budget spending level. Measuring the actual investments in 2018-2019 and projected spending in 2021-2022 against the commitment assumed by the Government of Kazakhstan for 2017-2019 allocation, the co-financing agreements hav</w:t>
            </w:r>
            <w:r w:rsidR="002251B1">
              <w:rPr>
                <w:rFonts w:asciiTheme="majorHAnsi" w:hAnsiTheme="majorHAnsi" w:cstheme="majorHAnsi"/>
                <w:sz w:val="22"/>
                <w:szCs w:val="22"/>
              </w:rPr>
              <w:t>e been met as presented in T</w:t>
            </w:r>
            <w:r w:rsidRPr="0017193C">
              <w:rPr>
                <w:rFonts w:asciiTheme="majorHAnsi" w:hAnsiTheme="majorHAnsi" w:cstheme="majorHAnsi"/>
                <w:sz w:val="22"/>
                <w:szCs w:val="22"/>
              </w:rPr>
              <w:t>able</w:t>
            </w:r>
            <w:r w:rsidR="002251B1">
              <w:rPr>
                <w:rFonts w:asciiTheme="majorHAnsi" w:hAnsiTheme="majorHAnsi" w:cstheme="majorHAnsi"/>
                <w:sz w:val="22"/>
                <w:szCs w:val="22"/>
              </w:rPr>
              <w:t xml:space="preserve"> 18</w:t>
            </w:r>
            <w:r w:rsidRPr="0017193C">
              <w:rPr>
                <w:rFonts w:asciiTheme="majorHAnsi" w:hAnsiTheme="majorHAnsi" w:cstheme="majorHAnsi"/>
                <w:sz w:val="22"/>
                <w:szCs w:val="22"/>
              </w:rPr>
              <w:t xml:space="preserve"> below. </w:t>
            </w:r>
          </w:p>
          <w:p w14:paraId="6F3B097D" w14:textId="77777777" w:rsidR="00DA551B" w:rsidRDefault="00DA551B" w:rsidP="00DA551B">
            <w:pPr>
              <w:spacing w:after="0" w:line="240" w:lineRule="auto"/>
              <w:jc w:val="both"/>
              <w:rPr>
                <w:rFonts w:asciiTheme="majorHAnsi" w:hAnsiTheme="majorHAnsi" w:cstheme="majorHAnsi"/>
              </w:rPr>
            </w:pPr>
          </w:p>
          <w:p w14:paraId="7102755A" w14:textId="02C8C3A8" w:rsidR="00552B56" w:rsidRPr="0025131C" w:rsidRDefault="00552B56" w:rsidP="00AE7BFA">
            <w:pPr>
              <w:spacing w:after="0" w:line="240" w:lineRule="auto"/>
              <w:jc w:val="both"/>
              <w:rPr>
                <w:rFonts w:asciiTheme="majorHAnsi" w:hAnsiTheme="majorHAnsi" w:cstheme="majorHAnsi"/>
                <w:b/>
              </w:rPr>
            </w:pPr>
            <w:r w:rsidRPr="0025131C">
              <w:rPr>
                <w:rFonts w:asciiTheme="majorHAnsi" w:hAnsiTheme="majorHAnsi" w:cstheme="majorHAnsi"/>
                <w:b/>
              </w:rPr>
              <w:t xml:space="preserve">Table </w:t>
            </w:r>
            <w:r w:rsidR="0025131C" w:rsidRPr="0025131C">
              <w:rPr>
                <w:rFonts w:asciiTheme="majorHAnsi" w:hAnsiTheme="majorHAnsi" w:cstheme="majorHAnsi"/>
                <w:b/>
              </w:rPr>
              <w:t xml:space="preserve">18. Government co-financing overview </w:t>
            </w:r>
          </w:p>
          <w:p w14:paraId="1D2D265D" w14:textId="77777777" w:rsidR="00EB7620" w:rsidRDefault="00EB7620" w:rsidP="00AE7BFA">
            <w:pPr>
              <w:spacing w:after="0" w:line="240" w:lineRule="auto"/>
              <w:jc w:val="both"/>
              <w:rPr>
                <w:rFonts w:asciiTheme="majorHAnsi" w:hAnsiTheme="majorHAnsi" w:cstheme="majorHAnsi"/>
              </w:rPr>
            </w:pPr>
          </w:p>
          <w:tbl>
            <w:tblPr>
              <w:tblStyle w:val="aa"/>
              <w:tblW w:w="0" w:type="auto"/>
              <w:tblLayout w:type="fixed"/>
              <w:tblLook w:val="04A0" w:firstRow="1" w:lastRow="0" w:firstColumn="1" w:lastColumn="0" w:noHBand="0" w:noVBand="1"/>
            </w:tblPr>
            <w:tblGrid>
              <w:gridCol w:w="3114"/>
              <w:gridCol w:w="709"/>
              <w:gridCol w:w="1275"/>
              <w:gridCol w:w="1276"/>
              <w:gridCol w:w="1276"/>
              <w:gridCol w:w="1276"/>
              <w:gridCol w:w="1233"/>
            </w:tblGrid>
            <w:tr w:rsidR="00CC3A93" w14:paraId="490F37E4" w14:textId="2AB7A237" w:rsidTr="00CC3A93">
              <w:tc>
                <w:tcPr>
                  <w:tcW w:w="3114" w:type="dxa"/>
                </w:tcPr>
                <w:p w14:paraId="725465E1" w14:textId="40CD6296" w:rsidR="00CC3A93" w:rsidRPr="00CC3A93" w:rsidRDefault="00CC3A93" w:rsidP="00AD7D4F">
                  <w:pPr>
                    <w:spacing w:after="0" w:line="240" w:lineRule="auto"/>
                    <w:jc w:val="both"/>
                    <w:rPr>
                      <w:rFonts w:asciiTheme="majorHAnsi" w:hAnsiTheme="majorHAnsi" w:cstheme="majorHAnsi"/>
                      <w:b/>
                    </w:rPr>
                  </w:pPr>
                </w:p>
              </w:tc>
              <w:tc>
                <w:tcPr>
                  <w:tcW w:w="709" w:type="dxa"/>
                  <w:vMerge w:val="restart"/>
                </w:tcPr>
                <w:p w14:paraId="14782832" w14:textId="77777777" w:rsidR="00CC3A93" w:rsidRPr="00CC3A93" w:rsidRDefault="00CC3A93" w:rsidP="00AD7D4F">
                  <w:pPr>
                    <w:spacing w:after="0" w:line="240" w:lineRule="auto"/>
                    <w:jc w:val="both"/>
                    <w:rPr>
                      <w:rFonts w:asciiTheme="majorHAnsi" w:hAnsiTheme="majorHAnsi" w:cstheme="majorHAnsi"/>
                      <w:b/>
                    </w:rPr>
                  </w:pPr>
                </w:p>
                <w:p w14:paraId="06CC22CF" w14:textId="1318FDCD" w:rsidR="00CC3A93" w:rsidRPr="00CC3A93" w:rsidRDefault="00CC3A93" w:rsidP="00CC3A93">
                  <w:pPr>
                    <w:spacing w:after="0" w:line="240" w:lineRule="auto"/>
                    <w:jc w:val="center"/>
                    <w:rPr>
                      <w:rFonts w:asciiTheme="majorHAnsi" w:hAnsiTheme="majorHAnsi" w:cstheme="majorHAnsi"/>
                      <w:b/>
                    </w:rPr>
                  </w:pPr>
                  <w:r w:rsidRPr="00CC3A93">
                    <w:rPr>
                      <w:rFonts w:asciiTheme="majorHAnsi" w:hAnsiTheme="majorHAnsi" w:cstheme="majorHAnsi"/>
                      <w:b/>
                    </w:rPr>
                    <w:t>US$</w:t>
                  </w:r>
                </w:p>
              </w:tc>
              <w:tc>
                <w:tcPr>
                  <w:tcW w:w="1275" w:type="dxa"/>
                </w:tcPr>
                <w:p w14:paraId="2AD54AE5" w14:textId="7E75C323" w:rsidR="00CC3A93" w:rsidRPr="00CC3A93" w:rsidRDefault="00CC3A93" w:rsidP="00AD7D4F">
                  <w:pPr>
                    <w:spacing w:after="0" w:line="240" w:lineRule="auto"/>
                    <w:jc w:val="both"/>
                    <w:rPr>
                      <w:rFonts w:asciiTheme="majorHAnsi" w:hAnsiTheme="majorHAnsi" w:cstheme="majorHAnsi"/>
                      <w:b/>
                    </w:rPr>
                  </w:pPr>
                  <w:r w:rsidRPr="00CC3A93">
                    <w:rPr>
                      <w:rFonts w:asciiTheme="majorHAnsi" w:hAnsiTheme="majorHAnsi" w:cstheme="majorHAnsi"/>
                      <w:b/>
                    </w:rPr>
                    <w:t>2018</w:t>
                  </w:r>
                </w:p>
              </w:tc>
              <w:tc>
                <w:tcPr>
                  <w:tcW w:w="1276" w:type="dxa"/>
                </w:tcPr>
                <w:p w14:paraId="53A70B3B" w14:textId="4169B60D" w:rsidR="00CC3A93" w:rsidRPr="00CC3A93" w:rsidRDefault="00CC3A93" w:rsidP="00AD7D4F">
                  <w:pPr>
                    <w:spacing w:after="0" w:line="240" w:lineRule="auto"/>
                    <w:jc w:val="both"/>
                    <w:rPr>
                      <w:rFonts w:asciiTheme="majorHAnsi" w:hAnsiTheme="majorHAnsi" w:cstheme="majorHAnsi"/>
                      <w:b/>
                    </w:rPr>
                  </w:pPr>
                  <w:r w:rsidRPr="00CC3A93">
                    <w:rPr>
                      <w:rFonts w:asciiTheme="majorHAnsi" w:hAnsiTheme="majorHAnsi" w:cstheme="majorHAnsi"/>
                      <w:b/>
                    </w:rPr>
                    <w:t>2019</w:t>
                  </w:r>
                </w:p>
              </w:tc>
              <w:tc>
                <w:tcPr>
                  <w:tcW w:w="1276" w:type="dxa"/>
                </w:tcPr>
                <w:p w14:paraId="4A66C0AE" w14:textId="0F79D7AF" w:rsidR="00CC3A93" w:rsidRPr="00CC3A93" w:rsidRDefault="00CC3A93" w:rsidP="00AD7D4F">
                  <w:pPr>
                    <w:spacing w:after="0" w:line="240" w:lineRule="auto"/>
                    <w:jc w:val="both"/>
                    <w:rPr>
                      <w:rFonts w:asciiTheme="majorHAnsi" w:hAnsiTheme="majorHAnsi" w:cstheme="majorHAnsi"/>
                      <w:b/>
                    </w:rPr>
                  </w:pPr>
                  <w:r w:rsidRPr="00CC3A93">
                    <w:rPr>
                      <w:rFonts w:asciiTheme="majorHAnsi" w:hAnsiTheme="majorHAnsi" w:cstheme="majorHAnsi"/>
                      <w:b/>
                    </w:rPr>
                    <w:t>2020</w:t>
                  </w:r>
                </w:p>
              </w:tc>
              <w:tc>
                <w:tcPr>
                  <w:tcW w:w="1276" w:type="dxa"/>
                </w:tcPr>
                <w:p w14:paraId="62FAC2C7" w14:textId="50540893" w:rsidR="00CC3A93" w:rsidRPr="00CC3A93" w:rsidRDefault="00CC3A93" w:rsidP="00AD7D4F">
                  <w:pPr>
                    <w:spacing w:after="0" w:line="240" w:lineRule="auto"/>
                    <w:jc w:val="both"/>
                    <w:rPr>
                      <w:rFonts w:asciiTheme="majorHAnsi" w:hAnsiTheme="majorHAnsi" w:cstheme="majorHAnsi"/>
                      <w:b/>
                    </w:rPr>
                  </w:pPr>
                  <w:r w:rsidRPr="00CC3A93">
                    <w:rPr>
                      <w:rFonts w:asciiTheme="majorHAnsi" w:hAnsiTheme="majorHAnsi" w:cstheme="majorHAnsi"/>
                      <w:b/>
                    </w:rPr>
                    <w:t>2021</w:t>
                  </w:r>
                </w:p>
              </w:tc>
              <w:tc>
                <w:tcPr>
                  <w:tcW w:w="1233" w:type="dxa"/>
                </w:tcPr>
                <w:p w14:paraId="32E4A2AC" w14:textId="7E751453" w:rsidR="00CC3A93" w:rsidRPr="00CC3A93" w:rsidRDefault="00CC3A93" w:rsidP="00AD7D4F">
                  <w:pPr>
                    <w:spacing w:after="0" w:line="240" w:lineRule="auto"/>
                    <w:jc w:val="both"/>
                    <w:rPr>
                      <w:rFonts w:asciiTheme="majorHAnsi" w:hAnsiTheme="majorHAnsi" w:cstheme="majorHAnsi"/>
                      <w:b/>
                    </w:rPr>
                  </w:pPr>
                  <w:r w:rsidRPr="00CC3A93">
                    <w:rPr>
                      <w:rFonts w:asciiTheme="majorHAnsi" w:hAnsiTheme="majorHAnsi" w:cstheme="majorHAnsi"/>
                      <w:b/>
                    </w:rPr>
                    <w:t>2022</w:t>
                  </w:r>
                </w:p>
              </w:tc>
            </w:tr>
            <w:tr w:rsidR="00CC3A93" w14:paraId="7729462B" w14:textId="0A700059" w:rsidTr="00CC3A93">
              <w:tc>
                <w:tcPr>
                  <w:tcW w:w="3114" w:type="dxa"/>
                </w:tcPr>
                <w:p w14:paraId="67DFF95F" w14:textId="609E1D3E" w:rsidR="00CC3A93" w:rsidRPr="000A1D46" w:rsidRDefault="00CC3A93" w:rsidP="00CD0881">
                  <w:pPr>
                    <w:spacing w:before="60" w:after="60" w:line="240" w:lineRule="auto"/>
                    <w:jc w:val="both"/>
                    <w:rPr>
                      <w:rFonts w:asciiTheme="majorHAnsi" w:hAnsiTheme="majorHAnsi" w:cstheme="majorHAnsi"/>
                      <w:b/>
                      <w:color w:val="0055AA" w:themeColor="accent5"/>
                    </w:rPr>
                  </w:pPr>
                  <w:r w:rsidRPr="000A1D46">
                    <w:rPr>
                      <w:rFonts w:asciiTheme="majorHAnsi" w:hAnsiTheme="majorHAnsi" w:cstheme="majorHAnsi"/>
                      <w:b/>
                      <w:color w:val="0055AA" w:themeColor="accent5"/>
                    </w:rPr>
                    <w:t>Domestic funds</w:t>
                  </w:r>
                </w:p>
              </w:tc>
              <w:tc>
                <w:tcPr>
                  <w:tcW w:w="709" w:type="dxa"/>
                  <w:vMerge/>
                </w:tcPr>
                <w:p w14:paraId="60E74673" w14:textId="77777777" w:rsidR="00CC3A93" w:rsidRDefault="00CC3A93" w:rsidP="00CD0881">
                  <w:pPr>
                    <w:spacing w:before="60" w:after="60" w:line="240" w:lineRule="auto"/>
                    <w:jc w:val="both"/>
                    <w:rPr>
                      <w:rFonts w:asciiTheme="majorHAnsi" w:hAnsiTheme="majorHAnsi" w:cstheme="majorHAnsi"/>
                      <w:b/>
                      <w:color w:val="0055AA" w:themeColor="accent5"/>
                    </w:rPr>
                  </w:pPr>
                </w:p>
              </w:tc>
              <w:tc>
                <w:tcPr>
                  <w:tcW w:w="1275" w:type="dxa"/>
                </w:tcPr>
                <w:p w14:paraId="166E9FA9" w14:textId="606013DF" w:rsidR="00CC3A93" w:rsidRPr="000A1D46" w:rsidRDefault="00CC3A93" w:rsidP="00CD0881">
                  <w:pPr>
                    <w:spacing w:before="60" w:after="60" w:line="240" w:lineRule="auto"/>
                    <w:jc w:val="both"/>
                    <w:rPr>
                      <w:rFonts w:asciiTheme="majorHAnsi" w:hAnsiTheme="majorHAnsi" w:cstheme="majorHAnsi"/>
                      <w:b/>
                      <w:color w:val="0055AA" w:themeColor="accent5"/>
                    </w:rPr>
                  </w:pPr>
                  <w:r>
                    <w:rPr>
                      <w:rFonts w:asciiTheme="majorHAnsi" w:hAnsiTheme="majorHAnsi" w:cstheme="majorHAnsi"/>
                      <w:b/>
                      <w:color w:val="0055AA" w:themeColor="accent5"/>
                    </w:rPr>
                    <w:t>147.05 M</w:t>
                  </w:r>
                </w:p>
              </w:tc>
              <w:tc>
                <w:tcPr>
                  <w:tcW w:w="1276" w:type="dxa"/>
                </w:tcPr>
                <w:p w14:paraId="2CEFCA52" w14:textId="7E5D3E1E" w:rsidR="00CC3A93" w:rsidRPr="000A1D46" w:rsidRDefault="004479C1" w:rsidP="00CD0881">
                  <w:pPr>
                    <w:spacing w:before="60" w:after="60" w:line="240" w:lineRule="auto"/>
                    <w:jc w:val="both"/>
                    <w:rPr>
                      <w:rFonts w:asciiTheme="majorHAnsi" w:hAnsiTheme="majorHAnsi" w:cstheme="majorHAnsi"/>
                      <w:b/>
                      <w:color w:val="0055AA" w:themeColor="accent5"/>
                    </w:rPr>
                  </w:pPr>
                  <w:r>
                    <w:rPr>
                      <w:rFonts w:asciiTheme="majorHAnsi" w:hAnsiTheme="majorHAnsi" w:cstheme="majorHAnsi"/>
                      <w:b/>
                      <w:color w:val="0055AA" w:themeColor="accent5"/>
                    </w:rPr>
                    <w:t>147.37</w:t>
                  </w:r>
                  <w:r w:rsidR="00CC3A93">
                    <w:rPr>
                      <w:rFonts w:asciiTheme="majorHAnsi" w:hAnsiTheme="majorHAnsi" w:cstheme="majorHAnsi"/>
                      <w:b/>
                      <w:color w:val="0055AA" w:themeColor="accent5"/>
                    </w:rPr>
                    <w:t xml:space="preserve"> M</w:t>
                  </w:r>
                </w:p>
              </w:tc>
              <w:tc>
                <w:tcPr>
                  <w:tcW w:w="1276" w:type="dxa"/>
                </w:tcPr>
                <w:p w14:paraId="063180E9" w14:textId="154CDA2D" w:rsidR="00CC3A93" w:rsidRPr="000A1D46" w:rsidRDefault="008246DB" w:rsidP="00CD0881">
                  <w:pPr>
                    <w:spacing w:before="60" w:after="60" w:line="240" w:lineRule="auto"/>
                    <w:jc w:val="both"/>
                    <w:rPr>
                      <w:rFonts w:asciiTheme="majorHAnsi" w:hAnsiTheme="majorHAnsi" w:cstheme="majorHAnsi"/>
                      <w:b/>
                      <w:color w:val="0055AA" w:themeColor="accent5"/>
                    </w:rPr>
                  </w:pPr>
                  <w:r>
                    <w:rPr>
                      <w:rFonts w:asciiTheme="majorHAnsi" w:hAnsiTheme="majorHAnsi" w:cstheme="majorHAnsi"/>
                      <w:b/>
                      <w:color w:val="0055AA" w:themeColor="accent5"/>
                    </w:rPr>
                    <w:t>147.60</w:t>
                  </w:r>
                  <w:r w:rsidR="00CC3A93">
                    <w:rPr>
                      <w:rFonts w:asciiTheme="majorHAnsi" w:hAnsiTheme="majorHAnsi" w:cstheme="majorHAnsi"/>
                      <w:b/>
                      <w:color w:val="0055AA" w:themeColor="accent5"/>
                    </w:rPr>
                    <w:t xml:space="preserve"> M</w:t>
                  </w:r>
                </w:p>
              </w:tc>
              <w:tc>
                <w:tcPr>
                  <w:tcW w:w="1276" w:type="dxa"/>
                </w:tcPr>
                <w:p w14:paraId="342B2B4F" w14:textId="6292F6E6" w:rsidR="00CC3A93" w:rsidRPr="000A1D46" w:rsidRDefault="00895988" w:rsidP="004F13B7">
                  <w:pPr>
                    <w:spacing w:before="60" w:after="60" w:line="240" w:lineRule="auto"/>
                    <w:jc w:val="both"/>
                    <w:rPr>
                      <w:rFonts w:asciiTheme="majorHAnsi" w:hAnsiTheme="majorHAnsi" w:cstheme="majorHAnsi"/>
                      <w:b/>
                      <w:color w:val="0055AA" w:themeColor="accent5"/>
                    </w:rPr>
                  </w:pPr>
                  <w:r>
                    <w:rPr>
                      <w:rFonts w:asciiTheme="majorHAnsi" w:hAnsiTheme="majorHAnsi" w:cstheme="majorHAnsi"/>
                      <w:b/>
                      <w:color w:val="0055AA" w:themeColor="accent5"/>
                    </w:rPr>
                    <w:t>148.</w:t>
                  </w:r>
                  <w:r w:rsidR="004F13B7">
                    <w:rPr>
                      <w:rFonts w:asciiTheme="majorHAnsi" w:hAnsiTheme="majorHAnsi" w:cstheme="majorHAnsi"/>
                      <w:b/>
                      <w:color w:val="0055AA" w:themeColor="accent5"/>
                    </w:rPr>
                    <w:t>08</w:t>
                  </w:r>
                  <w:r w:rsidR="00CC3A93">
                    <w:rPr>
                      <w:rFonts w:asciiTheme="majorHAnsi" w:hAnsiTheme="majorHAnsi" w:cstheme="majorHAnsi"/>
                      <w:b/>
                      <w:color w:val="0055AA" w:themeColor="accent5"/>
                    </w:rPr>
                    <w:t xml:space="preserve"> M</w:t>
                  </w:r>
                </w:p>
              </w:tc>
              <w:tc>
                <w:tcPr>
                  <w:tcW w:w="1233" w:type="dxa"/>
                </w:tcPr>
                <w:p w14:paraId="52047F13" w14:textId="412BACDB" w:rsidR="00CC3A93" w:rsidRPr="000A1D46" w:rsidRDefault="00F454EE" w:rsidP="00CD0881">
                  <w:pPr>
                    <w:spacing w:before="60" w:after="60" w:line="240" w:lineRule="auto"/>
                    <w:jc w:val="both"/>
                    <w:rPr>
                      <w:rFonts w:asciiTheme="majorHAnsi" w:hAnsiTheme="majorHAnsi" w:cstheme="majorHAnsi"/>
                      <w:b/>
                      <w:color w:val="0055AA" w:themeColor="accent5"/>
                    </w:rPr>
                  </w:pPr>
                  <w:r>
                    <w:rPr>
                      <w:rFonts w:asciiTheme="majorHAnsi" w:hAnsiTheme="majorHAnsi" w:cstheme="majorHAnsi"/>
                      <w:b/>
                      <w:color w:val="0055AA" w:themeColor="accent5"/>
                    </w:rPr>
                    <w:t>147.98</w:t>
                  </w:r>
                  <w:r w:rsidR="00CC3A93">
                    <w:rPr>
                      <w:rFonts w:asciiTheme="majorHAnsi" w:hAnsiTheme="majorHAnsi" w:cstheme="majorHAnsi"/>
                      <w:b/>
                      <w:color w:val="0055AA" w:themeColor="accent5"/>
                    </w:rPr>
                    <w:t xml:space="preserve"> M</w:t>
                  </w:r>
                </w:p>
              </w:tc>
            </w:tr>
            <w:tr w:rsidR="00CC3A93" w14:paraId="17ACF0C9" w14:textId="34FDC3D1" w:rsidTr="00CC3A93">
              <w:trPr>
                <w:trHeight w:val="93"/>
              </w:trPr>
              <w:tc>
                <w:tcPr>
                  <w:tcW w:w="3114" w:type="dxa"/>
                </w:tcPr>
                <w:p w14:paraId="0575E2F9" w14:textId="2CD4C5A4" w:rsidR="00CC3A93" w:rsidRPr="000A1D46" w:rsidRDefault="00CC3A93" w:rsidP="00CD0881">
                  <w:pPr>
                    <w:spacing w:before="60" w:after="60" w:line="240" w:lineRule="auto"/>
                    <w:jc w:val="both"/>
                    <w:rPr>
                      <w:rFonts w:asciiTheme="majorHAnsi" w:hAnsiTheme="majorHAnsi" w:cstheme="majorHAnsi"/>
                      <w:b/>
                    </w:rPr>
                  </w:pPr>
                  <w:r w:rsidRPr="000A1D46">
                    <w:rPr>
                      <w:rFonts w:asciiTheme="majorHAnsi" w:hAnsiTheme="majorHAnsi" w:cstheme="majorHAnsi"/>
                      <w:b/>
                    </w:rPr>
                    <w:t>Co-financing commitments</w:t>
                  </w:r>
                </w:p>
              </w:tc>
              <w:tc>
                <w:tcPr>
                  <w:tcW w:w="709" w:type="dxa"/>
                  <w:vMerge/>
                </w:tcPr>
                <w:p w14:paraId="7C00C438" w14:textId="77777777" w:rsidR="00CC3A93" w:rsidRPr="00AD474E" w:rsidRDefault="00CC3A93" w:rsidP="00CD0881">
                  <w:pPr>
                    <w:widowControl w:val="0"/>
                    <w:autoSpaceDE w:val="0"/>
                    <w:autoSpaceDN w:val="0"/>
                    <w:adjustRightInd w:val="0"/>
                    <w:spacing w:before="60" w:after="60" w:line="240" w:lineRule="auto"/>
                    <w:jc w:val="both"/>
                    <w:rPr>
                      <w:rFonts w:cs="Arial"/>
                      <w:b/>
                    </w:rPr>
                  </w:pPr>
                </w:p>
              </w:tc>
              <w:tc>
                <w:tcPr>
                  <w:tcW w:w="1275" w:type="dxa"/>
                </w:tcPr>
                <w:p w14:paraId="16912DF8" w14:textId="23868DF5" w:rsidR="00CC3A93" w:rsidRPr="000A1D46" w:rsidRDefault="00CC3A93" w:rsidP="00CD0881">
                  <w:pPr>
                    <w:widowControl w:val="0"/>
                    <w:autoSpaceDE w:val="0"/>
                    <w:autoSpaceDN w:val="0"/>
                    <w:adjustRightInd w:val="0"/>
                    <w:spacing w:before="60" w:after="60" w:line="240" w:lineRule="auto"/>
                    <w:jc w:val="both"/>
                    <w:rPr>
                      <w:rFonts w:cs="Arial"/>
                      <w:b/>
                    </w:rPr>
                  </w:pPr>
                  <w:r w:rsidRPr="00AD474E">
                    <w:rPr>
                      <w:rFonts w:cs="Arial"/>
                      <w:b/>
                    </w:rPr>
                    <w:t xml:space="preserve">147.05 M </w:t>
                  </w:r>
                </w:p>
              </w:tc>
              <w:tc>
                <w:tcPr>
                  <w:tcW w:w="1276" w:type="dxa"/>
                </w:tcPr>
                <w:p w14:paraId="5A9D4FD2" w14:textId="224BE86A" w:rsidR="00CC3A93" w:rsidRPr="00CC3A93" w:rsidRDefault="00CC3A93" w:rsidP="00CD0881">
                  <w:pPr>
                    <w:widowControl w:val="0"/>
                    <w:autoSpaceDE w:val="0"/>
                    <w:autoSpaceDN w:val="0"/>
                    <w:adjustRightInd w:val="0"/>
                    <w:spacing w:before="60" w:after="60" w:line="240" w:lineRule="auto"/>
                    <w:jc w:val="both"/>
                    <w:rPr>
                      <w:rFonts w:cs="Arial"/>
                      <w:b/>
                    </w:rPr>
                  </w:pPr>
                  <w:r w:rsidRPr="000A1D46">
                    <w:rPr>
                      <w:rFonts w:cs="Arial"/>
                      <w:b/>
                    </w:rPr>
                    <w:t xml:space="preserve">147.21 </w:t>
                  </w:r>
                  <w:r w:rsidRPr="00AD474E">
                    <w:rPr>
                      <w:rFonts w:cs="Arial"/>
                      <w:b/>
                    </w:rPr>
                    <w:t xml:space="preserve">M </w:t>
                  </w:r>
                </w:p>
              </w:tc>
              <w:tc>
                <w:tcPr>
                  <w:tcW w:w="1276" w:type="dxa"/>
                </w:tcPr>
                <w:p w14:paraId="600C0520" w14:textId="5FC51F20" w:rsidR="00CC3A93" w:rsidRPr="00CD0881" w:rsidRDefault="00CC3A93" w:rsidP="00CD0881">
                  <w:pPr>
                    <w:widowControl w:val="0"/>
                    <w:autoSpaceDE w:val="0"/>
                    <w:autoSpaceDN w:val="0"/>
                    <w:adjustRightInd w:val="0"/>
                    <w:spacing w:before="60" w:after="60" w:line="240" w:lineRule="auto"/>
                    <w:jc w:val="both"/>
                    <w:rPr>
                      <w:rFonts w:cs="Arial"/>
                      <w:b/>
                    </w:rPr>
                  </w:pPr>
                  <w:r w:rsidRPr="00AD474E">
                    <w:rPr>
                      <w:rFonts w:cs="Arial"/>
                      <w:b/>
                    </w:rPr>
                    <w:t xml:space="preserve">147.49 M </w:t>
                  </w:r>
                </w:p>
              </w:tc>
              <w:tc>
                <w:tcPr>
                  <w:tcW w:w="1276" w:type="dxa"/>
                </w:tcPr>
                <w:p w14:paraId="482D94A9" w14:textId="551FEEC4" w:rsidR="00CC3A93" w:rsidRPr="00CC3A93" w:rsidRDefault="00CC3A93" w:rsidP="00CD0881">
                  <w:pPr>
                    <w:widowControl w:val="0"/>
                    <w:autoSpaceDE w:val="0"/>
                    <w:autoSpaceDN w:val="0"/>
                    <w:adjustRightInd w:val="0"/>
                    <w:spacing w:before="60" w:after="60" w:line="240" w:lineRule="auto"/>
                    <w:jc w:val="both"/>
                    <w:rPr>
                      <w:rFonts w:cs="Arial"/>
                      <w:b/>
                    </w:rPr>
                  </w:pPr>
                  <w:r w:rsidRPr="00AD474E">
                    <w:rPr>
                      <w:rFonts w:cs="Arial"/>
                      <w:b/>
                    </w:rPr>
                    <w:t xml:space="preserve">147.71 M </w:t>
                  </w:r>
                </w:p>
              </w:tc>
              <w:tc>
                <w:tcPr>
                  <w:tcW w:w="1233" w:type="dxa"/>
                </w:tcPr>
                <w:p w14:paraId="3E7F3595" w14:textId="4517C140" w:rsidR="00CC3A93" w:rsidRPr="00CC3A93" w:rsidRDefault="00CC3A93" w:rsidP="00CD0881">
                  <w:pPr>
                    <w:widowControl w:val="0"/>
                    <w:autoSpaceDE w:val="0"/>
                    <w:autoSpaceDN w:val="0"/>
                    <w:adjustRightInd w:val="0"/>
                    <w:spacing w:before="60" w:after="60" w:line="240" w:lineRule="auto"/>
                    <w:jc w:val="both"/>
                    <w:rPr>
                      <w:rFonts w:cs="Arial"/>
                      <w:b/>
                    </w:rPr>
                  </w:pPr>
                  <w:r w:rsidRPr="00AD474E">
                    <w:rPr>
                      <w:rFonts w:cs="Arial"/>
                      <w:b/>
                    </w:rPr>
                    <w:t xml:space="preserve">147.93 M </w:t>
                  </w:r>
                </w:p>
              </w:tc>
            </w:tr>
          </w:tbl>
          <w:p w14:paraId="44D3A747" w14:textId="06F3452B" w:rsidR="001C3DE9" w:rsidRPr="00A0472B" w:rsidRDefault="00A0472B" w:rsidP="00AD7D4F">
            <w:pPr>
              <w:spacing w:after="0" w:line="240" w:lineRule="auto"/>
              <w:jc w:val="both"/>
              <w:rPr>
                <w:rFonts w:asciiTheme="majorHAnsi" w:hAnsiTheme="majorHAnsi" w:cstheme="majorHAnsi"/>
                <w:sz w:val="18"/>
                <w:szCs w:val="18"/>
              </w:rPr>
            </w:pPr>
            <w:r w:rsidRPr="00A0472B">
              <w:rPr>
                <w:rFonts w:asciiTheme="majorHAnsi" w:hAnsiTheme="majorHAnsi" w:cstheme="majorHAnsi"/>
                <w:sz w:val="18"/>
                <w:szCs w:val="18"/>
              </w:rPr>
              <w:t>At exchange rate 1US$=342.08</w:t>
            </w:r>
            <w:r>
              <w:rPr>
                <w:rFonts w:asciiTheme="majorHAnsi" w:hAnsiTheme="majorHAnsi" w:cstheme="majorHAnsi"/>
                <w:sz w:val="18"/>
                <w:szCs w:val="18"/>
              </w:rPr>
              <w:t xml:space="preserve"> tenges</w:t>
            </w:r>
          </w:p>
          <w:p w14:paraId="38E4AEEC" w14:textId="06C5245D" w:rsidR="005D0CB5" w:rsidRPr="00AD7D4F" w:rsidRDefault="005D0CB5" w:rsidP="00AD7D4F">
            <w:pPr>
              <w:spacing w:after="0" w:line="240" w:lineRule="auto"/>
              <w:jc w:val="both"/>
              <w:rPr>
                <w:rFonts w:asciiTheme="majorHAnsi" w:hAnsiTheme="majorHAnsi" w:cstheme="majorHAnsi"/>
              </w:rPr>
            </w:pPr>
          </w:p>
          <w:p w14:paraId="61DE5A4B" w14:textId="77777777" w:rsidR="00802A1B" w:rsidRDefault="00057A9B" w:rsidP="00802A1B">
            <w:pPr>
              <w:jc w:val="both"/>
              <w:rPr>
                <w:rFonts w:asciiTheme="majorHAnsi" w:hAnsiTheme="majorHAnsi" w:cstheme="majorHAnsi"/>
              </w:rPr>
            </w:pPr>
            <w:r w:rsidRPr="00057A9B">
              <w:rPr>
                <w:rFonts w:asciiTheme="majorHAnsi" w:hAnsiTheme="majorHAnsi" w:cstheme="majorHAnsi"/>
              </w:rPr>
              <w:t>The government investments have focused on</w:t>
            </w:r>
            <w:r w:rsidR="00802A1B">
              <w:rPr>
                <w:rFonts w:asciiTheme="majorHAnsi" w:hAnsiTheme="majorHAnsi" w:cstheme="majorHAnsi"/>
              </w:rPr>
              <w:t>:</w:t>
            </w:r>
          </w:p>
          <w:p w14:paraId="3097E349" w14:textId="4C33D4FF" w:rsidR="00A42819" w:rsidRPr="00A42819" w:rsidRDefault="00A42819" w:rsidP="00A42819">
            <w:pPr>
              <w:pStyle w:val="affff3"/>
              <w:numPr>
                <w:ilvl w:val="0"/>
                <w:numId w:val="49"/>
              </w:numPr>
              <w:jc w:val="both"/>
              <w:rPr>
                <w:rFonts w:asciiTheme="majorHAnsi" w:hAnsiTheme="majorHAnsi" w:cstheme="majorHAnsi"/>
              </w:rPr>
            </w:pPr>
            <w:r w:rsidRPr="00A42819">
              <w:rPr>
                <w:rFonts w:asciiTheme="majorHAnsi" w:hAnsiTheme="majorHAnsi" w:cstheme="majorHAnsi"/>
              </w:rPr>
              <w:t xml:space="preserve">reforming and modernizing TB services, scaling up patient-centered new models of </w:t>
            </w:r>
            <w:proofErr w:type="gramStart"/>
            <w:r w:rsidRPr="00A42819">
              <w:rPr>
                <w:rFonts w:asciiTheme="majorHAnsi" w:hAnsiTheme="majorHAnsi" w:cstheme="majorHAnsi"/>
              </w:rPr>
              <w:t>care;</w:t>
            </w:r>
            <w:proofErr w:type="gramEnd"/>
          </w:p>
          <w:p w14:paraId="4DF728F8" w14:textId="7B7F11ED" w:rsidR="00A42819" w:rsidRPr="00A42819" w:rsidRDefault="00A42819" w:rsidP="00A42819">
            <w:pPr>
              <w:pStyle w:val="affff3"/>
              <w:numPr>
                <w:ilvl w:val="0"/>
                <w:numId w:val="49"/>
              </w:numPr>
              <w:jc w:val="both"/>
              <w:rPr>
                <w:rFonts w:asciiTheme="majorHAnsi" w:hAnsiTheme="majorHAnsi" w:cstheme="majorHAnsi"/>
              </w:rPr>
            </w:pPr>
            <w:r w:rsidRPr="00A42819">
              <w:rPr>
                <w:rFonts w:asciiTheme="majorHAnsi" w:hAnsiTheme="majorHAnsi" w:cstheme="majorHAnsi"/>
              </w:rPr>
              <w:t xml:space="preserve">prevention, including procurement of tuberculin, BCG vaccines, Diaskin </w:t>
            </w:r>
            <w:proofErr w:type="gramStart"/>
            <w:r w:rsidRPr="00A42819">
              <w:rPr>
                <w:rFonts w:asciiTheme="majorHAnsi" w:hAnsiTheme="majorHAnsi" w:cstheme="majorHAnsi"/>
              </w:rPr>
              <w:t>tests;</w:t>
            </w:r>
            <w:proofErr w:type="gramEnd"/>
          </w:p>
          <w:p w14:paraId="1DEB9231" w14:textId="54DFA263" w:rsidR="00A42819" w:rsidRPr="00A42819" w:rsidRDefault="00A42819" w:rsidP="00A42819">
            <w:pPr>
              <w:pStyle w:val="affff3"/>
              <w:numPr>
                <w:ilvl w:val="0"/>
                <w:numId w:val="49"/>
              </w:numPr>
              <w:jc w:val="both"/>
              <w:rPr>
                <w:rFonts w:asciiTheme="majorHAnsi" w:hAnsiTheme="majorHAnsi" w:cstheme="majorHAnsi"/>
              </w:rPr>
            </w:pPr>
            <w:r w:rsidRPr="00A42819">
              <w:rPr>
                <w:rFonts w:asciiTheme="majorHAnsi" w:hAnsiTheme="majorHAnsi" w:cstheme="majorHAnsi"/>
              </w:rPr>
              <w:t xml:space="preserve">diagnostics, scaling up new technologies, including cartridges, reagents, and supplies procurement for rapid molecular testing for TB and bacteriological diagnostics of the </w:t>
            </w:r>
            <w:proofErr w:type="gramStart"/>
            <w:r w:rsidRPr="00A42819">
              <w:rPr>
                <w:rFonts w:asciiTheme="majorHAnsi" w:hAnsiTheme="majorHAnsi" w:cstheme="majorHAnsi"/>
              </w:rPr>
              <w:t>disease;</w:t>
            </w:r>
            <w:proofErr w:type="gramEnd"/>
          </w:p>
          <w:p w14:paraId="715426BB" w14:textId="2265A262" w:rsidR="00A42819" w:rsidRDefault="00A42819" w:rsidP="00A42819">
            <w:pPr>
              <w:pStyle w:val="affff3"/>
              <w:numPr>
                <w:ilvl w:val="0"/>
                <w:numId w:val="49"/>
              </w:numPr>
              <w:jc w:val="both"/>
              <w:rPr>
                <w:rFonts w:asciiTheme="majorHAnsi" w:hAnsiTheme="majorHAnsi" w:cstheme="majorHAnsi"/>
              </w:rPr>
            </w:pPr>
            <w:r w:rsidRPr="00A42819">
              <w:rPr>
                <w:rFonts w:asciiTheme="majorHAnsi" w:hAnsiTheme="majorHAnsi" w:cstheme="majorHAnsi"/>
              </w:rPr>
              <w:t xml:space="preserve">providing treatment, including medicines procurement for DS-TB, MDR/XDR-TB, and LTBI patients, as well as for TB drugs’ side effects </w:t>
            </w:r>
            <w:proofErr w:type="gramStart"/>
            <w:r w:rsidRPr="00A42819">
              <w:rPr>
                <w:rFonts w:asciiTheme="majorHAnsi" w:hAnsiTheme="majorHAnsi" w:cstheme="majorHAnsi"/>
              </w:rPr>
              <w:t>therapy;</w:t>
            </w:r>
            <w:proofErr w:type="gramEnd"/>
          </w:p>
          <w:p w14:paraId="445ED855" w14:textId="30134B17" w:rsidR="00A42819" w:rsidRPr="00A42819" w:rsidRDefault="00A42819" w:rsidP="00A42819">
            <w:pPr>
              <w:pStyle w:val="affff3"/>
              <w:numPr>
                <w:ilvl w:val="0"/>
                <w:numId w:val="49"/>
              </w:numPr>
              <w:jc w:val="both"/>
              <w:rPr>
                <w:rFonts w:asciiTheme="majorHAnsi" w:hAnsiTheme="majorHAnsi" w:cstheme="majorHAnsi"/>
              </w:rPr>
            </w:pPr>
            <w:r w:rsidRPr="00A42819">
              <w:rPr>
                <w:rFonts w:asciiTheme="majorHAnsi" w:hAnsiTheme="majorHAnsi" w:cstheme="majorHAnsi"/>
              </w:rPr>
              <w:t xml:space="preserve">providing psychosocial support to TB </w:t>
            </w:r>
            <w:proofErr w:type="gramStart"/>
            <w:r w:rsidRPr="00A42819">
              <w:rPr>
                <w:rFonts w:asciiTheme="majorHAnsi" w:hAnsiTheme="majorHAnsi" w:cstheme="majorHAnsi"/>
              </w:rPr>
              <w:t>patients;</w:t>
            </w:r>
            <w:proofErr w:type="gramEnd"/>
            <w:r w:rsidRPr="00A42819">
              <w:rPr>
                <w:rFonts w:asciiTheme="majorHAnsi" w:hAnsiTheme="majorHAnsi" w:cstheme="majorHAnsi"/>
              </w:rPr>
              <w:t xml:space="preserve"> </w:t>
            </w:r>
          </w:p>
          <w:p w14:paraId="172A8DDC" w14:textId="59793DB1" w:rsidR="003F1911" w:rsidRPr="00A42819" w:rsidRDefault="003F1911" w:rsidP="003F1911">
            <w:pPr>
              <w:pStyle w:val="affff3"/>
              <w:numPr>
                <w:ilvl w:val="0"/>
                <w:numId w:val="49"/>
              </w:numPr>
              <w:jc w:val="both"/>
              <w:rPr>
                <w:rFonts w:asciiTheme="majorHAnsi" w:hAnsiTheme="majorHAnsi" w:cstheme="majorHAnsi"/>
              </w:rPr>
            </w:pPr>
            <w:r>
              <w:rPr>
                <w:rFonts w:asciiTheme="majorHAnsi" w:hAnsiTheme="majorHAnsi" w:cstheme="majorHAnsi"/>
              </w:rPr>
              <w:t>providing follow-up care</w:t>
            </w:r>
            <w:r w:rsidR="00355FD3">
              <w:rPr>
                <w:rFonts w:asciiTheme="majorHAnsi" w:hAnsiTheme="majorHAnsi" w:cstheme="majorHAnsi"/>
              </w:rPr>
              <w:t xml:space="preserve"> and rehabilitation </w:t>
            </w:r>
            <w:proofErr w:type="gramStart"/>
            <w:r w:rsidR="00355FD3">
              <w:rPr>
                <w:rFonts w:asciiTheme="majorHAnsi" w:hAnsiTheme="majorHAnsi" w:cstheme="majorHAnsi"/>
              </w:rPr>
              <w:t>services</w:t>
            </w:r>
            <w:r>
              <w:rPr>
                <w:rFonts w:asciiTheme="majorHAnsi" w:hAnsiTheme="majorHAnsi" w:cstheme="majorHAnsi"/>
              </w:rPr>
              <w:t>;</w:t>
            </w:r>
            <w:proofErr w:type="gramEnd"/>
          </w:p>
          <w:p w14:paraId="059E0D39" w14:textId="6F3481C0" w:rsidR="00A42819" w:rsidRPr="00A42819" w:rsidRDefault="00A42819" w:rsidP="00A42819">
            <w:pPr>
              <w:pStyle w:val="affff3"/>
              <w:numPr>
                <w:ilvl w:val="0"/>
                <w:numId w:val="49"/>
              </w:numPr>
              <w:jc w:val="both"/>
              <w:rPr>
                <w:rFonts w:asciiTheme="majorHAnsi" w:hAnsiTheme="majorHAnsi" w:cstheme="majorHAnsi"/>
              </w:rPr>
            </w:pPr>
            <w:r w:rsidRPr="00A42819">
              <w:rPr>
                <w:rFonts w:asciiTheme="majorHAnsi" w:hAnsiTheme="majorHAnsi" w:cstheme="majorHAnsi"/>
              </w:rPr>
              <w:t xml:space="preserve">enhancing the role of NGO in TB control, scaling up ACSM activities, and strengthening monitoring and evaluation and feedback provision </w:t>
            </w:r>
            <w:proofErr w:type="gramStart"/>
            <w:r w:rsidRPr="00A42819">
              <w:rPr>
                <w:rFonts w:asciiTheme="majorHAnsi" w:hAnsiTheme="majorHAnsi" w:cstheme="majorHAnsi"/>
              </w:rPr>
              <w:t>mechanisms;</w:t>
            </w:r>
            <w:proofErr w:type="gramEnd"/>
          </w:p>
          <w:p w14:paraId="789E483C" w14:textId="44477915" w:rsidR="00A42819" w:rsidRPr="00802A1B" w:rsidRDefault="00F16FD8" w:rsidP="00A42819">
            <w:pPr>
              <w:pStyle w:val="affff3"/>
              <w:numPr>
                <w:ilvl w:val="0"/>
                <w:numId w:val="49"/>
              </w:numPr>
              <w:jc w:val="both"/>
              <w:rPr>
                <w:rFonts w:asciiTheme="majorHAnsi" w:hAnsiTheme="majorHAnsi" w:cstheme="majorHAnsi"/>
              </w:rPr>
            </w:pPr>
            <w:r>
              <w:rPr>
                <w:rFonts w:asciiTheme="majorHAnsi" w:hAnsiTheme="majorHAnsi" w:cstheme="majorHAnsi"/>
              </w:rPr>
              <w:t xml:space="preserve">servicing and </w:t>
            </w:r>
            <w:r w:rsidR="00A42819" w:rsidRPr="00A42819">
              <w:rPr>
                <w:rFonts w:asciiTheme="majorHAnsi" w:hAnsiTheme="majorHAnsi" w:cstheme="majorHAnsi"/>
              </w:rPr>
              <w:t>maintenance of TB Centers.</w:t>
            </w:r>
          </w:p>
        </w:tc>
      </w:tr>
    </w:tbl>
    <w:p w14:paraId="72E099AF" w14:textId="5DBED11B" w:rsidR="00007BFF" w:rsidRPr="00824D66" w:rsidRDefault="00007BFF" w:rsidP="00824D66">
      <w:pPr>
        <w:pStyle w:val="affff3"/>
        <w:spacing w:before="120" w:after="0" w:line="240" w:lineRule="auto"/>
        <w:ind w:left="360"/>
        <w:jc w:val="both"/>
        <w:rPr>
          <w:rFonts w:asciiTheme="majorHAnsi" w:eastAsia="SimSun" w:hAnsiTheme="majorHAnsi" w:cstheme="majorHAnsi"/>
          <w:lang w:eastAsia="zh-CN"/>
        </w:rPr>
      </w:pPr>
    </w:p>
    <w:p w14:paraId="29B5683E" w14:textId="5AAEAB01" w:rsidR="00007BFF" w:rsidRPr="00971DBD" w:rsidRDefault="00007BFF" w:rsidP="002B4EA3">
      <w:pPr>
        <w:pStyle w:val="affff3"/>
        <w:numPr>
          <w:ilvl w:val="0"/>
          <w:numId w:val="19"/>
        </w:numPr>
        <w:spacing w:before="120" w:after="0" w:line="240" w:lineRule="auto"/>
        <w:ind w:left="360"/>
        <w:jc w:val="both"/>
        <w:rPr>
          <w:rFonts w:asciiTheme="majorHAnsi" w:eastAsia="SimSun" w:hAnsiTheme="majorHAnsi" w:cstheme="majorHAnsi"/>
          <w:lang w:eastAsia="zh-CN"/>
        </w:rPr>
      </w:pPr>
      <w:r w:rsidRPr="008C21CF">
        <w:rPr>
          <w:rFonts w:asciiTheme="majorHAnsi" w:eastAsia="Times New Roman" w:hAnsiTheme="majorHAnsi" w:cstheme="majorHAnsi"/>
        </w:rPr>
        <w:t xml:space="preserve">Do </w:t>
      </w:r>
      <w:r w:rsidRPr="0096146C">
        <w:rPr>
          <w:rFonts w:asciiTheme="majorHAnsi" w:eastAsia="Times New Roman" w:hAnsiTheme="majorHAnsi" w:cstheme="majorHAnsi"/>
          <w:b/>
        </w:rPr>
        <w:t xml:space="preserve">co-financing commitments </w:t>
      </w:r>
      <w:r w:rsidRPr="008C21CF">
        <w:rPr>
          <w:rFonts w:asciiTheme="majorHAnsi" w:eastAsia="Times New Roman" w:hAnsiTheme="majorHAnsi" w:cstheme="majorHAnsi"/>
        </w:rPr>
        <w:t xml:space="preserve">for the </w:t>
      </w:r>
      <w:r w:rsidRPr="0096146C">
        <w:rPr>
          <w:rFonts w:asciiTheme="majorHAnsi" w:eastAsia="Times New Roman" w:hAnsiTheme="majorHAnsi" w:cstheme="majorHAnsi"/>
          <w:b/>
        </w:rPr>
        <w:t>next</w:t>
      </w:r>
      <w:r w:rsidRPr="008C21CF">
        <w:rPr>
          <w:rFonts w:asciiTheme="majorHAnsi" w:eastAsia="Times New Roman" w:hAnsiTheme="majorHAnsi" w:cstheme="majorHAnsi"/>
        </w:rPr>
        <w:t xml:space="preserve"> allocation period meet minimum requirements to fully access the co-financing incentive? </w:t>
      </w:r>
    </w:p>
    <w:p w14:paraId="79E3371A" w14:textId="77777777" w:rsidR="00007BFF" w:rsidRPr="00B74DAA" w:rsidRDefault="00007BFF" w:rsidP="00971DBD">
      <w:pPr>
        <w:pStyle w:val="affff3"/>
        <w:spacing w:before="120" w:after="0" w:line="240" w:lineRule="auto"/>
        <w:ind w:left="360"/>
        <w:jc w:val="both"/>
        <w:rPr>
          <w:rFonts w:asciiTheme="majorHAnsi" w:eastAsia="SimSun" w:hAnsiTheme="majorHAnsi" w:cstheme="majorHAnsi"/>
          <w:lang w:eastAsia="zh-CN"/>
        </w:rPr>
      </w:pPr>
    </w:p>
    <w:p w14:paraId="2F6CCEEB" w14:textId="5ED09C8D" w:rsidR="00007BFF" w:rsidRPr="008C21CF" w:rsidRDefault="00226154" w:rsidP="00B74DAA">
      <w:pPr>
        <w:pStyle w:val="affff3"/>
        <w:spacing w:before="120" w:after="0" w:line="240" w:lineRule="auto"/>
        <w:ind w:left="360" w:firstLine="360"/>
        <w:jc w:val="both"/>
        <w:rPr>
          <w:rFonts w:asciiTheme="majorHAnsi" w:hAnsiTheme="majorHAnsi" w:cstheme="majorHAnsi"/>
          <w:bCs/>
          <w:iCs/>
        </w:rPr>
      </w:pPr>
      <w:sdt>
        <w:sdtPr>
          <w:rPr>
            <w:rFonts w:asciiTheme="majorHAnsi" w:hAnsiTheme="majorHAnsi" w:cstheme="majorHAnsi"/>
            <w:bCs/>
            <w:iCs/>
          </w:rPr>
          <w:id w:val="57446247"/>
          <w14:checkbox>
            <w14:checked w14:val="1"/>
            <w14:checkedState w14:val="2612" w14:font="MS Gothic"/>
            <w14:uncheckedState w14:val="2610" w14:font="MS Gothic"/>
          </w14:checkbox>
        </w:sdtPr>
        <w:sdtEndPr/>
        <w:sdtContent>
          <w:r w:rsidR="00FF633C">
            <w:rPr>
              <w:rFonts w:ascii="MS Gothic" w:eastAsia="MS Gothic" w:hAnsi="MS Gothic" w:cs="Segoe UI Symbol" w:hint="eastAsia"/>
              <w:bCs/>
              <w:iCs/>
            </w:rPr>
            <w:t>☒</w:t>
          </w:r>
        </w:sdtContent>
      </w:sdt>
      <w:r w:rsidR="00FF633C">
        <w:rPr>
          <w:rFonts w:asciiTheme="majorHAnsi" w:hAnsiTheme="majorHAnsi" w:cstheme="majorHAnsi"/>
          <w:bCs/>
          <w:iCs/>
        </w:rPr>
        <w:t xml:space="preserve"> Yes </w:t>
      </w:r>
      <w:sdt>
        <w:sdtPr>
          <w:rPr>
            <w:rFonts w:asciiTheme="majorHAnsi" w:hAnsiTheme="majorHAnsi" w:cstheme="majorHAnsi"/>
            <w:bCs/>
            <w:iCs/>
          </w:rPr>
          <w:id w:val="-1870989213"/>
          <w14:checkbox>
            <w14:checked w14:val="0"/>
            <w14:checkedState w14:val="2612" w14:font="MS Gothic"/>
            <w14:uncheckedState w14:val="2610" w14:font="MS Gothic"/>
          </w14:checkbox>
        </w:sdtPr>
        <w:sdtEndPr/>
        <w:sdtContent>
          <w:r w:rsidR="00007BFF" w:rsidRPr="001D57CE">
            <w:rPr>
              <w:rFonts w:ascii="Segoe UI Symbol" w:hAnsi="Segoe UI Symbol" w:cs="Segoe UI Symbol"/>
              <w:bCs/>
              <w:iCs/>
            </w:rPr>
            <w:t>☐</w:t>
          </w:r>
        </w:sdtContent>
      </w:sdt>
      <w:r w:rsidR="00007BFF" w:rsidRPr="008C21CF">
        <w:rPr>
          <w:rFonts w:asciiTheme="majorHAnsi" w:hAnsiTheme="majorHAnsi" w:cstheme="majorHAnsi"/>
          <w:bCs/>
          <w:iCs/>
        </w:rPr>
        <w:t xml:space="preserve"> No</w:t>
      </w:r>
    </w:p>
    <w:p w14:paraId="7C4AD047" w14:textId="77777777" w:rsidR="00007BFF" w:rsidRPr="008C21CF" w:rsidRDefault="00007BFF" w:rsidP="008C21CF">
      <w:pPr>
        <w:spacing w:after="0"/>
        <w:ind w:hanging="360"/>
        <w:rPr>
          <w:rFonts w:asciiTheme="majorHAnsi" w:hAnsiTheme="majorHAnsi" w:cstheme="majorHAnsi"/>
          <w:bCs/>
          <w:iCs/>
        </w:rPr>
      </w:pPr>
    </w:p>
    <w:p w14:paraId="5D253BDC" w14:textId="0C958A16" w:rsidR="00007BFF" w:rsidRDefault="00007BFF" w:rsidP="00971DBD">
      <w:pPr>
        <w:spacing w:after="0"/>
        <w:ind w:left="270"/>
        <w:jc w:val="both"/>
        <w:rPr>
          <w:rFonts w:asciiTheme="majorHAnsi" w:hAnsiTheme="majorHAnsi" w:cstheme="majorHAnsi"/>
        </w:rPr>
      </w:pPr>
      <w:r w:rsidRPr="008C21CF">
        <w:rPr>
          <w:rFonts w:asciiTheme="majorHAnsi" w:hAnsiTheme="majorHAnsi" w:cstheme="majorHAnsi"/>
        </w:rPr>
        <w:t>If details on commitments are available, attach supporting documentation demonstrating the</w:t>
      </w:r>
      <w:r>
        <w:rPr>
          <w:rFonts w:asciiTheme="majorHAnsi" w:hAnsiTheme="majorHAnsi" w:cstheme="majorHAnsi"/>
        </w:rPr>
        <w:t xml:space="preserve"> extent to which co-financing commitments have been made</w:t>
      </w:r>
      <w:r w:rsidRPr="008C21CF">
        <w:rPr>
          <w:rFonts w:asciiTheme="majorHAnsi" w:hAnsiTheme="majorHAnsi" w:cstheme="majorHAnsi"/>
        </w:rPr>
        <w:t xml:space="preserve">. </w:t>
      </w:r>
    </w:p>
    <w:p w14:paraId="5CB92519" w14:textId="77777777" w:rsidR="00007BFF" w:rsidRPr="008C21CF" w:rsidRDefault="00007BFF" w:rsidP="00971DBD">
      <w:pPr>
        <w:spacing w:after="0"/>
        <w:ind w:left="270"/>
        <w:rPr>
          <w:rFonts w:asciiTheme="majorHAnsi" w:hAnsiTheme="majorHAnsi" w:cstheme="majorHAnsi"/>
        </w:rPr>
      </w:pPr>
    </w:p>
    <w:p w14:paraId="5D7CCF92" w14:textId="740F256D" w:rsidR="00027F53" w:rsidRDefault="00007BFF" w:rsidP="0087191C">
      <w:pPr>
        <w:spacing w:after="0"/>
        <w:ind w:left="270"/>
        <w:rPr>
          <w:rFonts w:asciiTheme="majorHAnsi" w:eastAsia="Times New Roman" w:hAnsiTheme="majorHAnsi" w:cstheme="majorHAnsi"/>
        </w:rPr>
      </w:pPr>
      <w:r w:rsidRPr="008C21CF">
        <w:rPr>
          <w:rFonts w:asciiTheme="majorHAnsi" w:hAnsiTheme="majorHAnsi" w:cstheme="majorHAnsi"/>
          <w:bCs/>
          <w:iCs/>
        </w:rPr>
        <w:t>If co-financing commitments do not meet minimum requirements, explain why</w:t>
      </w:r>
      <w:r>
        <w:rPr>
          <w:rFonts w:asciiTheme="majorHAnsi" w:eastAsia="Times New Roman" w:hAnsiTheme="majorHAnsi" w:cstheme="majorHAnsi"/>
        </w:rPr>
        <w:t>.</w:t>
      </w:r>
    </w:p>
    <w:p w14:paraId="18340B7A" w14:textId="77777777" w:rsidR="00027F53" w:rsidRPr="008C21CF" w:rsidRDefault="00027F53" w:rsidP="00882DC3">
      <w:pPr>
        <w:spacing w:after="0"/>
        <w:rPr>
          <w:rFonts w:asciiTheme="majorHAnsi" w:eastAsia="Times New Roman" w:hAnsiTheme="majorHAnsi" w:cstheme="majorHAnsi"/>
        </w:rPr>
      </w:pPr>
    </w:p>
    <w:tbl>
      <w:tblPr>
        <w:tblStyle w:val="aa"/>
        <w:tblW w:w="0" w:type="auto"/>
        <w:tblLook w:val="04A0" w:firstRow="1" w:lastRow="0" w:firstColumn="1" w:lastColumn="0" w:noHBand="0" w:noVBand="1"/>
      </w:tblPr>
      <w:tblGrid>
        <w:gridCol w:w="10682"/>
      </w:tblGrid>
      <w:tr w:rsidR="00007BFF" w:rsidRPr="001D57CE" w14:paraId="0FCF80E9" w14:textId="77777777" w:rsidTr="005279BC">
        <w:tc>
          <w:tcPr>
            <w:tcW w:w="10790" w:type="dxa"/>
          </w:tcPr>
          <w:p w14:paraId="04A189AF" w14:textId="4DA3645C" w:rsidR="002F15D3" w:rsidRDefault="00AE6926" w:rsidP="002F15D3">
            <w:pPr>
              <w:spacing w:before="120" w:after="0" w:line="240" w:lineRule="auto"/>
              <w:jc w:val="both"/>
              <w:rPr>
                <w:rFonts w:asciiTheme="majorHAnsi" w:hAnsiTheme="majorHAnsi" w:cstheme="majorHAnsi"/>
              </w:rPr>
            </w:pPr>
            <w:r>
              <w:rPr>
                <w:rFonts w:asciiTheme="majorHAnsi" w:hAnsiTheme="majorHAnsi" w:cstheme="majorHAnsi"/>
              </w:rPr>
              <w:t>T</w:t>
            </w:r>
            <w:r w:rsidR="0035401C" w:rsidRPr="0035401C">
              <w:rPr>
                <w:rFonts w:asciiTheme="majorHAnsi" w:hAnsiTheme="majorHAnsi" w:cstheme="majorHAnsi"/>
              </w:rPr>
              <w:t>he Government of the Republic</w:t>
            </w:r>
            <w:r w:rsidR="00F2072D">
              <w:rPr>
                <w:rFonts w:asciiTheme="majorHAnsi" w:hAnsiTheme="majorHAnsi" w:cstheme="majorHAnsi"/>
              </w:rPr>
              <w:t xml:space="preserve"> of Kazakhstan has planned KZT158</w:t>
            </w:r>
            <w:r w:rsidR="0035401C" w:rsidRPr="0035401C">
              <w:rPr>
                <w:rFonts w:asciiTheme="majorHAnsi" w:hAnsiTheme="majorHAnsi" w:cstheme="majorHAnsi"/>
              </w:rPr>
              <w:t xml:space="preserve"> billion for 2023-2025 to invest in the TB national response, w</w:t>
            </w:r>
            <w:r w:rsidR="00F2072D">
              <w:rPr>
                <w:rFonts w:asciiTheme="majorHAnsi" w:hAnsiTheme="majorHAnsi" w:cstheme="majorHAnsi"/>
              </w:rPr>
              <w:t>hich is KZT6.</w:t>
            </w:r>
            <w:r w:rsidR="00252BEB">
              <w:rPr>
                <w:rFonts w:asciiTheme="majorHAnsi" w:hAnsiTheme="majorHAnsi" w:cstheme="majorHAnsi"/>
              </w:rPr>
              <w:t>3</w:t>
            </w:r>
            <w:r>
              <w:rPr>
                <w:rFonts w:asciiTheme="majorHAnsi" w:hAnsiTheme="majorHAnsi" w:cstheme="majorHAnsi"/>
              </w:rPr>
              <w:t xml:space="preserve"> billion</w:t>
            </w:r>
            <w:r w:rsidR="00F2072D">
              <w:rPr>
                <w:rFonts w:asciiTheme="majorHAnsi" w:hAnsiTheme="majorHAnsi" w:cstheme="majorHAnsi"/>
              </w:rPr>
              <w:t xml:space="preserve"> (US$15.1</w:t>
            </w:r>
            <w:r w:rsidR="0015158A">
              <w:rPr>
                <w:rFonts w:asciiTheme="majorHAnsi" w:hAnsiTheme="majorHAnsi" w:cstheme="majorHAnsi"/>
              </w:rPr>
              <w:t xml:space="preserve"> million)</w:t>
            </w:r>
            <w:r w:rsidR="0007776F">
              <w:rPr>
                <w:rFonts w:asciiTheme="majorHAnsi" w:hAnsiTheme="majorHAnsi" w:cstheme="majorHAnsi"/>
              </w:rPr>
              <w:t xml:space="preserve"> </w:t>
            </w:r>
            <w:r>
              <w:rPr>
                <w:rFonts w:asciiTheme="majorHAnsi" w:hAnsiTheme="majorHAnsi" w:cstheme="majorHAnsi"/>
              </w:rPr>
              <w:t xml:space="preserve">or </w:t>
            </w:r>
            <w:r w:rsidR="00252BEB">
              <w:rPr>
                <w:rFonts w:asciiTheme="majorHAnsi" w:hAnsiTheme="majorHAnsi" w:cstheme="majorHAnsi"/>
              </w:rPr>
              <w:t>by 4.24</w:t>
            </w:r>
            <w:r w:rsidR="0035401C" w:rsidRPr="0035401C">
              <w:rPr>
                <w:rFonts w:asciiTheme="majorHAnsi" w:hAnsiTheme="majorHAnsi" w:cstheme="majorHAnsi"/>
              </w:rPr>
              <w:t>% more t</w:t>
            </w:r>
            <w:r w:rsidR="00F540F9">
              <w:rPr>
                <w:rFonts w:asciiTheme="majorHAnsi" w:hAnsiTheme="majorHAnsi" w:cstheme="majorHAnsi"/>
              </w:rPr>
              <w:t>han in the previous three years (Table 39).</w:t>
            </w:r>
            <w:r w:rsidR="0015158A">
              <w:rPr>
                <w:rFonts w:asciiTheme="majorHAnsi" w:hAnsiTheme="majorHAnsi" w:cstheme="majorHAnsi"/>
              </w:rPr>
              <w:t xml:space="preserve"> </w:t>
            </w:r>
          </w:p>
          <w:p w14:paraId="0A7B5C48" w14:textId="77777777" w:rsidR="004F282A" w:rsidRDefault="004F282A" w:rsidP="0007776F">
            <w:pPr>
              <w:spacing w:after="0" w:line="240" w:lineRule="auto"/>
              <w:jc w:val="both"/>
              <w:rPr>
                <w:rFonts w:asciiTheme="majorHAnsi" w:hAnsiTheme="majorHAnsi" w:cstheme="majorHAnsi"/>
              </w:rPr>
            </w:pPr>
          </w:p>
          <w:p w14:paraId="754340D1" w14:textId="2229733E" w:rsidR="00797D58" w:rsidRDefault="00170AD6" w:rsidP="0007776F">
            <w:pPr>
              <w:spacing w:after="0" w:line="240" w:lineRule="auto"/>
              <w:rPr>
                <w:rFonts w:asciiTheme="majorHAnsi" w:hAnsiTheme="majorHAnsi" w:cstheme="majorHAnsi"/>
                <w:b/>
              </w:rPr>
            </w:pPr>
            <w:r w:rsidRPr="00EE1A17">
              <w:rPr>
                <w:rFonts w:asciiTheme="majorHAnsi" w:hAnsiTheme="majorHAnsi" w:cstheme="majorHAnsi"/>
                <w:b/>
              </w:rPr>
              <w:t>Figure</w:t>
            </w:r>
            <w:r w:rsidR="00EE1A17" w:rsidRPr="00EE1A17">
              <w:rPr>
                <w:rFonts w:asciiTheme="majorHAnsi" w:hAnsiTheme="majorHAnsi" w:cstheme="majorHAnsi"/>
                <w:b/>
              </w:rPr>
              <w:t xml:space="preserve"> 39. </w:t>
            </w:r>
            <w:r w:rsidR="00EE1A17">
              <w:rPr>
                <w:rFonts w:asciiTheme="majorHAnsi" w:hAnsiTheme="majorHAnsi" w:cstheme="majorHAnsi"/>
                <w:b/>
              </w:rPr>
              <w:t>Government co-financing commitments</w:t>
            </w:r>
          </w:p>
          <w:p w14:paraId="48F488C9" w14:textId="77777777" w:rsidR="00F363B2" w:rsidRPr="00EE1A17" w:rsidRDefault="00F363B2" w:rsidP="0007776F">
            <w:pPr>
              <w:spacing w:after="0" w:line="240" w:lineRule="auto"/>
              <w:rPr>
                <w:rFonts w:asciiTheme="majorHAnsi" w:hAnsiTheme="majorHAnsi" w:cstheme="majorHAnsi"/>
                <w:b/>
              </w:rPr>
            </w:pPr>
          </w:p>
          <w:p w14:paraId="5BF5EAC0" w14:textId="37FFD900" w:rsidR="00060248" w:rsidRDefault="00332199" w:rsidP="00067A97">
            <w:pPr>
              <w:rPr>
                <w:rFonts w:asciiTheme="majorHAnsi" w:hAnsiTheme="majorHAnsi" w:cstheme="majorHAnsi"/>
              </w:rPr>
            </w:pPr>
            <w:r>
              <w:rPr>
                <w:noProof/>
              </w:rPr>
              <w:drawing>
                <wp:inline distT="0" distB="0" distL="0" distR="0" wp14:anchorId="6D34B79A" wp14:editId="7C381B14">
                  <wp:extent cx="6515100" cy="2730500"/>
                  <wp:effectExtent l="0" t="0" r="12700"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73932EB" w14:textId="4A79BAD5" w:rsidR="00ED391D" w:rsidRDefault="008610B9" w:rsidP="00F2072D">
            <w:pPr>
              <w:spacing w:before="120" w:after="0" w:line="240" w:lineRule="auto"/>
              <w:jc w:val="both"/>
              <w:rPr>
                <w:rFonts w:asciiTheme="majorHAnsi" w:hAnsiTheme="majorHAnsi" w:cstheme="majorHAnsi"/>
              </w:rPr>
            </w:pPr>
            <w:r w:rsidRPr="008610B9">
              <w:rPr>
                <w:rFonts w:asciiTheme="majorHAnsi" w:hAnsiTheme="majorHAnsi" w:cstheme="majorHAnsi"/>
              </w:rPr>
              <w:t xml:space="preserve">The funds will be </w:t>
            </w:r>
            <w:r>
              <w:rPr>
                <w:rFonts w:asciiTheme="majorHAnsi" w:hAnsiTheme="majorHAnsi" w:cstheme="majorHAnsi"/>
              </w:rPr>
              <w:t>used to reform and rationalize the TB Service</w:t>
            </w:r>
            <w:r w:rsidR="008418DD">
              <w:rPr>
                <w:rFonts w:asciiTheme="majorHAnsi" w:hAnsiTheme="majorHAnsi" w:cstheme="majorHAnsi"/>
              </w:rPr>
              <w:t xml:space="preserve"> further, guarantee</w:t>
            </w:r>
            <w:r w:rsidRPr="008610B9">
              <w:rPr>
                <w:rFonts w:asciiTheme="majorHAnsi" w:hAnsiTheme="majorHAnsi" w:cstheme="majorHAnsi"/>
              </w:rPr>
              <w:t xml:space="preserve"> access to effective modern technologies for diagnos</w:t>
            </w:r>
            <w:r>
              <w:rPr>
                <w:rFonts w:asciiTheme="majorHAnsi" w:hAnsiTheme="majorHAnsi" w:cstheme="majorHAnsi"/>
              </w:rPr>
              <w:t xml:space="preserve">is and treatment approaches, strengthen </w:t>
            </w:r>
            <w:r w:rsidR="00B74615">
              <w:rPr>
                <w:rFonts w:asciiTheme="majorHAnsi" w:hAnsiTheme="majorHAnsi" w:cstheme="majorHAnsi"/>
              </w:rPr>
              <w:t xml:space="preserve">aDSM, </w:t>
            </w:r>
            <w:r>
              <w:rPr>
                <w:rFonts w:asciiTheme="majorHAnsi" w:hAnsiTheme="majorHAnsi" w:cstheme="majorHAnsi"/>
              </w:rPr>
              <w:t xml:space="preserve">monitoring and evaluation </w:t>
            </w:r>
            <w:r w:rsidRPr="008610B9">
              <w:rPr>
                <w:rFonts w:asciiTheme="majorHAnsi" w:hAnsiTheme="majorHAnsi" w:cstheme="majorHAnsi"/>
              </w:rPr>
              <w:t>and feedback provisi</w:t>
            </w:r>
            <w:r w:rsidR="00DD6709">
              <w:rPr>
                <w:rFonts w:asciiTheme="majorHAnsi" w:hAnsiTheme="majorHAnsi" w:cstheme="majorHAnsi"/>
              </w:rPr>
              <w:t>on systems as well as enhance community-based services.</w:t>
            </w:r>
            <w:r w:rsidR="004A2D0A">
              <w:rPr>
                <w:rFonts w:asciiTheme="majorHAnsi" w:hAnsiTheme="majorHAnsi" w:cstheme="majorHAnsi"/>
              </w:rPr>
              <w:t xml:space="preserve"> More specifically </w:t>
            </w:r>
            <w:r w:rsidR="00355FD3">
              <w:rPr>
                <w:rFonts w:asciiTheme="majorHAnsi" w:hAnsiTheme="majorHAnsi" w:cstheme="majorHAnsi"/>
              </w:rPr>
              <w:t>the Government finances:</w:t>
            </w:r>
          </w:p>
          <w:p w14:paraId="45CBAB5C" w14:textId="50F04978" w:rsidR="005C0BCA" w:rsidRPr="00A42819" w:rsidRDefault="004C3853" w:rsidP="005C0BCA">
            <w:pPr>
              <w:pStyle w:val="affff3"/>
              <w:numPr>
                <w:ilvl w:val="0"/>
                <w:numId w:val="49"/>
              </w:numPr>
              <w:jc w:val="both"/>
              <w:rPr>
                <w:rFonts w:asciiTheme="majorHAnsi" w:hAnsiTheme="majorHAnsi" w:cstheme="majorHAnsi"/>
              </w:rPr>
            </w:pPr>
            <w:r>
              <w:rPr>
                <w:rFonts w:asciiTheme="majorHAnsi" w:hAnsiTheme="majorHAnsi" w:cstheme="majorHAnsi"/>
              </w:rPr>
              <w:t xml:space="preserve">enhancing integrated into PHC TB </w:t>
            </w:r>
            <w:proofErr w:type="gramStart"/>
            <w:r>
              <w:rPr>
                <w:rFonts w:asciiTheme="majorHAnsi" w:hAnsiTheme="majorHAnsi" w:cstheme="majorHAnsi"/>
              </w:rPr>
              <w:t>care;</w:t>
            </w:r>
            <w:proofErr w:type="gramEnd"/>
          </w:p>
          <w:p w14:paraId="3179BA18" w14:textId="77777777" w:rsidR="005C0BCA" w:rsidRPr="00A42819" w:rsidRDefault="005C0BCA" w:rsidP="005C0BCA">
            <w:pPr>
              <w:pStyle w:val="affff3"/>
              <w:numPr>
                <w:ilvl w:val="0"/>
                <w:numId w:val="49"/>
              </w:numPr>
              <w:jc w:val="both"/>
              <w:rPr>
                <w:rFonts w:asciiTheme="majorHAnsi" w:hAnsiTheme="majorHAnsi" w:cstheme="majorHAnsi"/>
              </w:rPr>
            </w:pPr>
            <w:r w:rsidRPr="00A42819">
              <w:rPr>
                <w:rFonts w:asciiTheme="majorHAnsi" w:hAnsiTheme="majorHAnsi" w:cstheme="majorHAnsi"/>
              </w:rPr>
              <w:t xml:space="preserve">prevention, including procurement of tuberculin, BCG vaccines, Diaskin </w:t>
            </w:r>
            <w:proofErr w:type="gramStart"/>
            <w:r w:rsidRPr="00A42819">
              <w:rPr>
                <w:rFonts w:asciiTheme="majorHAnsi" w:hAnsiTheme="majorHAnsi" w:cstheme="majorHAnsi"/>
              </w:rPr>
              <w:t>tests;</w:t>
            </w:r>
            <w:proofErr w:type="gramEnd"/>
          </w:p>
          <w:p w14:paraId="25E5041C" w14:textId="77777777" w:rsidR="005C0BCA" w:rsidRPr="00A42819" w:rsidRDefault="005C0BCA" w:rsidP="005C0BCA">
            <w:pPr>
              <w:pStyle w:val="affff3"/>
              <w:numPr>
                <w:ilvl w:val="0"/>
                <w:numId w:val="49"/>
              </w:numPr>
              <w:jc w:val="both"/>
              <w:rPr>
                <w:rFonts w:asciiTheme="majorHAnsi" w:hAnsiTheme="majorHAnsi" w:cstheme="majorHAnsi"/>
              </w:rPr>
            </w:pPr>
            <w:r w:rsidRPr="00A42819">
              <w:rPr>
                <w:rFonts w:asciiTheme="majorHAnsi" w:hAnsiTheme="majorHAnsi" w:cstheme="majorHAnsi"/>
              </w:rPr>
              <w:t xml:space="preserve">diagnostics, scaling up new technologies, including cartridges, reagents, and supplies procurement for rapid molecular testing for TB and bacteriological diagnostics of the </w:t>
            </w:r>
            <w:proofErr w:type="gramStart"/>
            <w:r w:rsidRPr="00A42819">
              <w:rPr>
                <w:rFonts w:asciiTheme="majorHAnsi" w:hAnsiTheme="majorHAnsi" w:cstheme="majorHAnsi"/>
              </w:rPr>
              <w:t>disease;</w:t>
            </w:r>
            <w:proofErr w:type="gramEnd"/>
          </w:p>
          <w:p w14:paraId="5DDB7465" w14:textId="77777777" w:rsidR="005C0BCA" w:rsidRPr="00A42819" w:rsidRDefault="005C0BCA" w:rsidP="005C0BCA">
            <w:pPr>
              <w:pStyle w:val="affff3"/>
              <w:numPr>
                <w:ilvl w:val="0"/>
                <w:numId w:val="49"/>
              </w:numPr>
              <w:jc w:val="both"/>
              <w:rPr>
                <w:rFonts w:asciiTheme="majorHAnsi" w:hAnsiTheme="majorHAnsi" w:cstheme="majorHAnsi"/>
              </w:rPr>
            </w:pPr>
            <w:r w:rsidRPr="00A42819">
              <w:rPr>
                <w:rFonts w:asciiTheme="majorHAnsi" w:hAnsiTheme="majorHAnsi" w:cstheme="majorHAnsi"/>
              </w:rPr>
              <w:t xml:space="preserve">providing treatment, including medicines procurement for DS-TB, MDR/XDR-TB, and LTBI patients, as well as for TB drugs’ side effects </w:t>
            </w:r>
            <w:proofErr w:type="gramStart"/>
            <w:r w:rsidRPr="00A42819">
              <w:rPr>
                <w:rFonts w:asciiTheme="majorHAnsi" w:hAnsiTheme="majorHAnsi" w:cstheme="majorHAnsi"/>
              </w:rPr>
              <w:t>therapy;</w:t>
            </w:r>
            <w:proofErr w:type="gramEnd"/>
          </w:p>
          <w:p w14:paraId="470D38CF" w14:textId="77777777" w:rsidR="005C0BCA" w:rsidRDefault="005C0BCA" w:rsidP="005C0BCA">
            <w:pPr>
              <w:pStyle w:val="affff3"/>
              <w:numPr>
                <w:ilvl w:val="0"/>
                <w:numId w:val="49"/>
              </w:numPr>
              <w:jc w:val="both"/>
              <w:rPr>
                <w:rFonts w:asciiTheme="majorHAnsi" w:hAnsiTheme="majorHAnsi" w:cstheme="majorHAnsi"/>
              </w:rPr>
            </w:pPr>
            <w:r w:rsidRPr="00A42819">
              <w:rPr>
                <w:rFonts w:asciiTheme="majorHAnsi" w:hAnsiTheme="majorHAnsi" w:cstheme="majorHAnsi"/>
              </w:rPr>
              <w:t xml:space="preserve">providing psychosocial support to TB </w:t>
            </w:r>
            <w:proofErr w:type="gramStart"/>
            <w:r w:rsidRPr="00A42819">
              <w:rPr>
                <w:rFonts w:asciiTheme="majorHAnsi" w:hAnsiTheme="majorHAnsi" w:cstheme="majorHAnsi"/>
              </w:rPr>
              <w:t>patients;</w:t>
            </w:r>
            <w:proofErr w:type="gramEnd"/>
            <w:r w:rsidRPr="00A42819">
              <w:rPr>
                <w:rFonts w:asciiTheme="majorHAnsi" w:hAnsiTheme="majorHAnsi" w:cstheme="majorHAnsi"/>
              </w:rPr>
              <w:t xml:space="preserve"> </w:t>
            </w:r>
          </w:p>
          <w:p w14:paraId="5691006B" w14:textId="1B408FF6" w:rsidR="003F1911" w:rsidRPr="00A42819" w:rsidRDefault="00355FD3" w:rsidP="005C0BCA">
            <w:pPr>
              <w:pStyle w:val="affff3"/>
              <w:numPr>
                <w:ilvl w:val="0"/>
                <w:numId w:val="49"/>
              </w:numPr>
              <w:jc w:val="both"/>
              <w:rPr>
                <w:rFonts w:asciiTheme="majorHAnsi" w:hAnsiTheme="majorHAnsi" w:cstheme="majorHAnsi"/>
              </w:rPr>
            </w:pPr>
            <w:r>
              <w:rPr>
                <w:rFonts w:asciiTheme="majorHAnsi" w:hAnsiTheme="majorHAnsi" w:cstheme="majorHAnsi"/>
              </w:rPr>
              <w:t xml:space="preserve">providing follow-up care and rehabilitation </w:t>
            </w:r>
            <w:proofErr w:type="gramStart"/>
            <w:r>
              <w:rPr>
                <w:rFonts w:asciiTheme="majorHAnsi" w:hAnsiTheme="majorHAnsi" w:cstheme="majorHAnsi"/>
              </w:rPr>
              <w:t>services;</w:t>
            </w:r>
            <w:proofErr w:type="gramEnd"/>
          </w:p>
          <w:p w14:paraId="20DEC11E" w14:textId="77777777" w:rsidR="005C0BCA" w:rsidRDefault="005C0BCA" w:rsidP="005C0BCA">
            <w:pPr>
              <w:pStyle w:val="affff3"/>
              <w:numPr>
                <w:ilvl w:val="0"/>
                <w:numId w:val="49"/>
              </w:numPr>
              <w:jc w:val="both"/>
              <w:rPr>
                <w:rFonts w:asciiTheme="majorHAnsi" w:hAnsiTheme="majorHAnsi" w:cstheme="majorHAnsi"/>
              </w:rPr>
            </w:pPr>
            <w:r w:rsidRPr="00A42819">
              <w:rPr>
                <w:rFonts w:asciiTheme="majorHAnsi" w:hAnsiTheme="majorHAnsi" w:cstheme="majorHAnsi"/>
              </w:rPr>
              <w:t xml:space="preserve">enhancing the role of NGO in TB control, scaling up ACSM activities, and strengthening monitoring and evaluation and feedback provision </w:t>
            </w:r>
            <w:proofErr w:type="gramStart"/>
            <w:r w:rsidRPr="00A42819">
              <w:rPr>
                <w:rFonts w:asciiTheme="majorHAnsi" w:hAnsiTheme="majorHAnsi" w:cstheme="majorHAnsi"/>
              </w:rPr>
              <w:t>mechanisms;</w:t>
            </w:r>
            <w:proofErr w:type="gramEnd"/>
          </w:p>
          <w:p w14:paraId="6B461523" w14:textId="705692B7" w:rsidR="005C0BCA" w:rsidRPr="005C0BCA" w:rsidRDefault="00F16FD8" w:rsidP="005C0BCA">
            <w:pPr>
              <w:pStyle w:val="affff3"/>
              <w:numPr>
                <w:ilvl w:val="0"/>
                <w:numId w:val="49"/>
              </w:numPr>
              <w:jc w:val="both"/>
              <w:rPr>
                <w:rFonts w:asciiTheme="majorHAnsi" w:hAnsiTheme="majorHAnsi" w:cstheme="majorHAnsi"/>
              </w:rPr>
            </w:pPr>
            <w:r>
              <w:rPr>
                <w:rFonts w:asciiTheme="majorHAnsi" w:hAnsiTheme="majorHAnsi" w:cstheme="majorHAnsi"/>
              </w:rPr>
              <w:t xml:space="preserve">servicing and </w:t>
            </w:r>
            <w:r w:rsidR="005C0BCA" w:rsidRPr="005C0BCA">
              <w:rPr>
                <w:rFonts w:asciiTheme="majorHAnsi" w:hAnsiTheme="majorHAnsi" w:cstheme="majorHAnsi"/>
              </w:rPr>
              <w:t>maintenance of TB Centers.</w:t>
            </w:r>
          </w:p>
        </w:tc>
      </w:tr>
    </w:tbl>
    <w:p w14:paraId="269126AA" w14:textId="3161523B" w:rsidR="00007BFF" w:rsidRDefault="00007BFF" w:rsidP="00485066">
      <w:pPr>
        <w:pStyle w:val="affff3"/>
        <w:spacing w:after="0" w:line="240" w:lineRule="auto"/>
        <w:ind w:left="0"/>
        <w:jc w:val="both"/>
        <w:rPr>
          <w:rFonts w:asciiTheme="majorHAnsi" w:eastAsia="Times New Roman" w:hAnsiTheme="majorHAnsi" w:cstheme="majorHAnsi"/>
        </w:rPr>
      </w:pPr>
    </w:p>
    <w:p w14:paraId="7D9C7A85" w14:textId="5E63E212" w:rsidR="00007BFF" w:rsidRDefault="00007BFF">
      <w:pPr>
        <w:spacing w:after="160" w:line="0" w:lineRule="auto"/>
        <w:rPr>
          <w:rFonts w:asciiTheme="majorHAnsi" w:eastAsia="Times New Roman" w:hAnsiTheme="majorHAnsi" w:cstheme="majorHAnsi"/>
        </w:rPr>
      </w:pPr>
      <w:r>
        <w:rPr>
          <w:rFonts w:asciiTheme="majorHAnsi" w:eastAsia="Times New Roman" w:hAnsiTheme="majorHAnsi" w:cstheme="majorHAnsi"/>
        </w:rPr>
        <w:br w:type="page"/>
      </w:r>
    </w:p>
    <w:p w14:paraId="29850E31" w14:textId="7D6E57BE" w:rsidR="00007BFF" w:rsidRPr="0018557F" w:rsidRDefault="00007BFF" w:rsidP="002B4EA3">
      <w:pPr>
        <w:pStyle w:val="affff3"/>
        <w:numPr>
          <w:ilvl w:val="0"/>
          <w:numId w:val="19"/>
        </w:numPr>
        <w:spacing w:after="0" w:line="260" w:lineRule="atLeast"/>
        <w:ind w:left="360"/>
        <w:jc w:val="both"/>
        <w:rPr>
          <w:b/>
        </w:rPr>
      </w:pPr>
      <w:r>
        <w:rPr>
          <w:rFonts w:asciiTheme="majorHAnsi" w:eastAsia="Times New Roman" w:hAnsiTheme="majorHAnsi" w:cstheme="majorHAnsi"/>
        </w:rPr>
        <w:t>Summarize</w:t>
      </w:r>
      <w:r w:rsidRPr="005305D5">
        <w:t xml:space="preserve"> the </w:t>
      </w:r>
      <w:r w:rsidRPr="0096146C">
        <w:rPr>
          <w:b/>
        </w:rPr>
        <w:t>programmatic areas</w:t>
      </w:r>
      <w:r w:rsidRPr="005305D5">
        <w:t xml:space="preserve"> to be supported by domestic co-financing in the </w:t>
      </w:r>
      <w:r>
        <w:t>next</w:t>
      </w:r>
      <w:r w:rsidRPr="005305D5">
        <w:t xml:space="preserve"> </w:t>
      </w:r>
      <w:r>
        <w:t>allocation period</w:t>
      </w:r>
      <w:r w:rsidRPr="005305D5">
        <w:t>. In particular:</w:t>
      </w:r>
    </w:p>
    <w:p w14:paraId="73CA0F2F" w14:textId="0D29065E" w:rsidR="00007BFF" w:rsidRPr="005305D5" w:rsidRDefault="00007BFF" w:rsidP="00850EF3">
      <w:pPr>
        <w:pStyle w:val="affff3"/>
        <w:spacing w:after="0" w:line="260" w:lineRule="atLeast"/>
        <w:ind w:left="900" w:hanging="180"/>
      </w:pPr>
      <w:r>
        <w:t xml:space="preserve">i. The financing of key program costs of national disease plans and/or health </w:t>
      </w:r>
      <w:proofErr w:type="gramStart"/>
      <w:r>
        <w:t>systems;</w:t>
      </w:r>
      <w:proofErr w:type="gramEnd"/>
      <w:r>
        <w:t xml:space="preserve"> </w:t>
      </w:r>
    </w:p>
    <w:p w14:paraId="29B56E3E" w14:textId="6E5238D1" w:rsidR="00007BFF" w:rsidRDefault="00007BFF" w:rsidP="00850EF3">
      <w:pPr>
        <w:pStyle w:val="affff3"/>
        <w:spacing w:after="160" w:line="260" w:lineRule="atLeast"/>
        <w:ind w:left="900" w:hanging="180"/>
      </w:pPr>
      <w:r>
        <w:t>ii. The planned uptake of interventions currently funded by the Global Fund.</w:t>
      </w:r>
    </w:p>
    <w:p w14:paraId="6EB1F60E" w14:textId="54A01EEC" w:rsidR="00007BFF" w:rsidRPr="00B271DB" w:rsidRDefault="00007BFF" w:rsidP="00172EDE">
      <w:pPr>
        <w:pStyle w:val="affff3"/>
        <w:spacing w:after="0" w:line="260" w:lineRule="atLeast"/>
        <w:ind w:left="360"/>
        <w:jc w:val="both"/>
      </w:pPr>
    </w:p>
    <w:tbl>
      <w:tblPr>
        <w:tblStyle w:val="aa"/>
        <w:tblW w:w="0" w:type="auto"/>
        <w:tblLayout w:type="fixed"/>
        <w:tblLook w:val="04A0" w:firstRow="1" w:lastRow="0" w:firstColumn="1" w:lastColumn="0" w:noHBand="0" w:noVBand="1"/>
      </w:tblPr>
      <w:tblGrid>
        <w:gridCol w:w="10790"/>
      </w:tblGrid>
      <w:tr w:rsidR="00007BFF" w:rsidRPr="00B271DB" w14:paraId="7E3DB7D8" w14:textId="77777777" w:rsidTr="00B74E53">
        <w:tc>
          <w:tcPr>
            <w:tcW w:w="10790" w:type="dxa"/>
          </w:tcPr>
          <w:p w14:paraId="2CF21CF1" w14:textId="739ADE99" w:rsidR="00192FF1" w:rsidRDefault="001B423F" w:rsidP="00DA08C8">
            <w:pPr>
              <w:spacing w:before="120" w:after="0" w:line="240" w:lineRule="auto"/>
              <w:jc w:val="both"/>
              <w:rPr>
                <w:rFonts w:asciiTheme="majorHAnsi" w:eastAsia="SimSun" w:hAnsiTheme="majorHAnsi" w:cstheme="majorHAnsi"/>
                <w:lang w:eastAsia="zh-CN"/>
              </w:rPr>
            </w:pPr>
            <w:r w:rsidRPr="001B423F">
              <w:rPr>
                <w:rFonts w:asciiTheme="majorHAnsi" w:eastAsia="SimSun" w:hAnsiTheme="majorHAnsi" w:cstheme="majorHAnsi"/>
                <w:lang w:eastAsia="zh-CN"/>
              </w:rPr>
              <w:t xml:space="preserve">The international assistance network </w:t>
            </w:r>
            <w:r>
              <w:rPr>
                <w:rFonts w:asciiTheme="majorHAnsi" w:eastAsia="SimSun" w:hAnsiTheme="majorHAnsi" w:cstheme="majorHAnsi"/>
                <w:lang w:eastAsia="zh-CN"/>
              </w:rPr>
              <w:t xml:space="preserve">in TB control in the </w:t>
            </w:r>
            <w:r w:rsidR="005D080D">
              <w:rPr>
                <w:rFonts w:asciiTheme="majorHAnsi" w:eastAsia="SimSun" w:hAnsiTheme="majorHAnsi" w:cstheme="majorHAnsi"/>
                <w:lang w:eastAsia="zh-CN"/>
              </w:rPr>
              <w:t xml:space="preserve">country </w:t>
            </w:r>
            <w:r w:rsidRPr="001B423F">
              <w:rPr>
                <w:rFonts w:asciiTheme="majorHAnsi" w:eastAsia="SimSun" w:hAnsiTheme="majorHAnsi" w:cstheme="majorHAnsi"/>
                <w:lang w:eastAsia="zh-CN"/>
              </w:rPr>
              <w:t>is limited and represe</w:t>
            </w:r>
            <w:r w:rsidR="005D080D">
              <w:rPr>
                <w:rFonts w:asciiTheme="majorHAnsi" w:eastAsia="SimSun" w:hAnsiTheme="majorHAnsi" w:cstheme="majorHAnsi"/>
                <w:lang w:eastAsia="zh-CN"/>
              </w:rPr>
              <w:t>nted</w:t>
            </w:r>
            <w:r w:rsidRPr="001B423F">
              <w:rPr>
                <w:rFonts w:asciiTheme="majorHAnsi" w:eastAsia="SimSun" w:hAnsiTheme="majorHAnsi" w:cstheme="majorHAnsi"/>
                <w:lang w:eastAsia="zh-CN"/>
              </w:rPr>
              <w:t xml:space="preserve"> an a</w:t>
            </w:r>
            <w:r w:rsidR="005D080D">
              <w:rPr>
                <w:rFonts w:asciiTheme="majorHAnsi" w:eastAsia="SimSun" w:hAnsiTheme="majorHAnsi" w:cstheme="majorHAnsi"/>
                <w:lang w:eastAsia="zh-CN"/>
              </w:rPr>
              <w:t xml:space="preserve">nnual average of </w:t>
            </w:r>
            <w:r w:rsidR="005D080D" w:rsidRPr="000309E8">
              <w:rPr>
                <w:rFonts w:asciiTheme="majorHAnsi" w:eastAsia="SimSun" w:hAnsiTheme="majorHAnsi" w:cstheme="majorHAnsi"/>
                <w:lang w:eastAsia="zh-CN"/>
              </w:rPr>
              <w:t>4.4</w:t>
            </w:r>
            <w:r w:rsidRPr="000309E8">
              <w:rPr>
                <w:rFonts w:asciiTheme="majorHAnsi" w:eastAsia="SimSun" w:hAnsiTheme="majorHAnsi" w:cstheme="majorHAnsi"/>
                <w:lang w:eastAsia="zh-CN"/>
              </w:rPr>
              <w:t>%</w:t>
            </w:r>
            <w:r w:rsidRPr="001B423F">
              <w:rPr>
                <w:rFonts w:asciiTheme="majorHAnsi" w:eastAsia="SimSun" w:hAnsiTheme="majorHAnsi" w:cstheme="majorHAnsi"/>
                <w:lang w:eastAsia="zh-CN"/>
              </w:rPr>
              <w:t xml:space="preserve"> of the tota</w:t>
            </w:r>
            <w:r w:rsidR="005D080D">
              <w:rPr>
                <w:rFonts w:asciiTheme="majorHAnsi" w:eastAsia="SimSun" w:hAnsiTheme="majorHAnsi" w:cstheme="majorHAnsi"/>
                <w:lang w:eastAsia="zh-CN"/>
              </w:rPr>
              <w:t xml:space="preserve">l spending on TB service </w:t>
            </w:r>
            <w:r w:rsidR="005D080D" w:rsidRPr="009E7BD0">
              <w:rPr>
                <w:rFonts w:asciiTheme="majorHAnsi" w:eastAsia="SimSun" w:hAnsiTheme="majorHAnsi" w:cstheme="majorHAnsi"/>
                <w:lang w:eastAsia="zh-CN"/>
              </w:rPr>
              <w:t>in 2019</w:t>
            </w:r>
            <w:r w:rsidRPr="009E7BD0">
              <w:rPr>
                <w:rFonts w:asciiTheme="majorHAnsi" w:eastAsia="SimSun" w:hAnsiTheme="majorHAnsi" w:cstheme="majorHAnsi"/>
                <w:lang w:eastAsia="zh-CN"/>
              </w:rPr>
              <w:t>-2021</w:t>
            </w:r>
            <w:r w:rsidR="000309E8" w:rsidRPr="009E7BD0">
              <w:rPr>
                <w:rFonts w:asciiTheme="majorHAnsi" w:eastAsia="SimSun" w:hAnsiTheme="majorHAnsi" w:cstheme="majorHAnsi"/>
                <w:lang w:eastAsia="zh-CN"/>
              </w:rPr>
              <w:t xml:space="preserve"> </w:t>
            </w:r>
            <w:r w:rsidR="000952E6" w:rsidRPr="009E7BD0">
              <w:rPr>
                <w:rFonts w:asciiTheme="majorHAnsi" w:eastAsia="SimSun" w:hAnsiTheme="majorHAnsi" w:cstheme="majorHAnsi"/>
                <w:lang w:eastAsia="zh-CN"/>
              </w:rPr>
              <w:t>for funding complementary and</w:t>
            </w:r>
            <w:r w:rsidR="00723D43" w:rsidRPr="009E7BD0">
              <w:rPr>
                <w:rFonts w:asciiTheme="majorHAnsi" w:eastAsia="SimSun" w:hAnsiTheme="majorHAnsi" w:cstheme="majorHAnsi"/>
                <w:lang w:eastAsia="zh-CN"/>
              </w:rPr>
              <w:t>/or</w:t>
            </w:r>
            <w:r w:rsidR="00192FF1" w:rsidRPr="009E7BD0">
              <w:rPr>
                <w:rFonts w:asciiTheme="majorHAnsi" w:eastAsia="SimSun" w:hAnsiTheme="majorHAnsi" w:cstheme="majorHAnsi"/>
                <w:lang w:eastAsia="zh-CN"/>
              </w:rPr>
              <w:t xml:space="preserve"> supplementary services</w:t>
            </w:r>
            <w:r w:rsidRPr="009E7BD0">
              <w:rPr>
                <w:rFonts w:asciiTheme="majorHAnsi" w:eastAsia="SimSun" w:hAnsiTheme="majorHAnsi" w:cstheme="majorHAnsi"/>
                <w:lang w:eastAsia="zh-CN"/>
              </w:rPr>
              <w:t>.</w:t>
            </w:r>
            <w:r>
              <w:rPr>
                <w:rFonts w:asciiTheme="majorHAnsi" w:eastAsia="SimSun" w:hAnsiTheme="majorHAnsi" w:cstheme="majorHAnsi"/>
                <w:lang w:eastAsia="zh-CN"/>
              </w:rPr>
              <w:t xml:space="preserve"> </w:t>
            </w:r>
          </w:p>
          <w:p w14:paraId="38175A2B" w14:textId="61807B04" w:rsidR="005D0CB5" w:rsidRDefault="00202C66" w:rsidP="00DA08C8">
            <w:pPr>
              <w:spacing w:before="120" w:after="0" w:line="240" w:lineRule="auto"/>
              <w:jc w:val="both"/>
              <w:rPr>
                <w:rFonts w:asciiTheme="majorHAnsi" w:eastAsia="SimSun" w:hAnsiTheme="majorHAnsi" w:cstheme="majorHAnsi"/>
                <w:lang w:eastAsia="zh-CN"/>
              </w:rPr>
            </w:pPr>
            <w:r>
              <w:rPr>
                <w:rFonts w:asciiTheme="minorHAnsi" w:hAnsiTheme="minorHAnsi" w:cstheme="minorHAnsi"/>
              </w:rPr>
              <w:t xml:space="preserve">In Kazakhstan, the </w:t>
            </w:r>
            <w:r w:rsidRPr="00382D8B">
              <w:rPr>
                <w:rFonts w:asciiTheme="minorHAnsi" w:hAnsiTheme="minorHAnsi" w:cstheme="minorHAnsi"/>
              </w:rPr>
              <w:t>medical care for tuberculosis i</w:t>
            </w:r>
            <w:r>
              <w:rPr>
                <w:rFonts w:asciiTheme="minorHAnsi" w:hAnsiTheme="minorHAnsi" w:cstheme="minorHAnsi"/>
              </w:rPr>
              <w:t xml:space="preserve">s provided within the frame </w:t>
            </w:r>
            <w:r w:rsidRPr="00382D8B">
              <w:rPr>
                <w:rFonts w:asciiTheme="minorHAnsi" w:hAnsiTheme="minorHAnsi" w:cstheme="minorHAnsi"/>
              </w:rPr>
              <w:t xml:space="preserve">of the guaranteed volume of free medical care. </w:t>
            </w:r>
            <w:r w:rsidR="00E674A5" w:rsidRPr="00E674A5">
              <w:rPr>
                <w:rFonts w:asciiTheme="majorHAnsi" w:eastAsia="SimSun" w:hAnsiTheme="majorHAnsi" w:cstheme="majorHAnsi"/>
                <w:lang w:eastAsia="zh-CN"/>
              </w:rPr>
              <w:t>The government investments are aligned with the co-financing incentive requirements for the 2020-2022 allocation and will be focused on enhancing</w:t>
            </w:r>
            <w:r w:rsidR="00426574">
              <w:rPr>
                <w:rFonts w:asciiTheme="majorHAnsi" w:eastAsia="SimSun" w:hAnsiTheme="majorHAnsi" w:cstheme="majorHAnsi"/>
                <w:lang w:eastAsia="zh-CN"/>
              </w:rPr>
              <w:t xml:space="preserve"> Phthisiopulmonological Service;</w:t>
            </w:r>
            <w:r w:rsidR="00E674A5" w:rsidRPr="00E674A5">
              <w:rPr>
                <w:rFonts w:asciiTheme="majorHAnsi" w:eastAsia="SimSun" w:hAnsiTheme="majorHAnsi" w:cstheme="majorHAnsi"/>
                <w:lang w:eastAsia="zh-CN"/>
              </w:rPr>
              <w:t xml:space="preserve"> improving the availability of effective modern technologies for the diagnosis and treat</w:t>
            </w:r>
            <w:r w:rsidR="00426574">
              <w:rPr>
                <w:rFonts w:asciiTheme="majorHAnsi" w:eastAsia="SimSun" w:hAnsiTheme="majorHAnsi" w:cstheme="majorHAnsi"/>
                <w:lang w:eastAsia="zh-CN"/>
              </w:rPr>
              <w:t>ment of TB and M/XDR-TB;</w:t>
            </w:r>
            <w:r w:rsidR="00DB3A83">
              <w:rPr>
                <w:rFonts w:asciiTheme="majorHAnsi" w:eastAsia="SimSun" w:hAnsiTheme="majorHAnsi" w:cstheme="majorHAnsi"/>
                <w:lang w:eastAsia="zh-CN"/>
              </w:rPr>
              <w:t xml:space="preserve"> </w:t>
            </w:r>
            <w:r w:rsidR="00E674A5" w:rsidRPr="00E674A5">
              <w:rPr>
                <w:rFonts w:asciiTheme="majorHAnsi" w:eastAsia="SimSun" w:hAnsiTheme="majorHAnsi" w:cstheme="majorHAnsi"/>
                <w:lang w:eastAsia="zh-CN"/>
              </w:rPr>
              <w:t>psychosocial assistance to TB patients; procurement of anti-tuberculosis drugs, including new and repurposed medicines, and medical devices (e.g., cartridges for molecular methods in rapid diagnosis of tuberculosis);</w:t>
            </w:r>
            <w:r w:rsidR="00DB3A83">
              <w:rPr>
                <w:rFonts w:asciiTheme="majorHAnsi" w:eastAsia="SimSun" w:hAnsiTheme="majorHAnsi" w:cstheme="majorHAnsi"/>
                <w:lang w:eastAsia="zh-CN"/>
              </w:rPr>
              <w:t xml:space="preserve"> medicines for PTP;</w:t>
            </w:r>
            <w:r w:rsidR="00E674A5" w:rsidRPr="00E674A5">
              <w:rPr>
                <w:rFonts w:asciiTheme="majorHAnsi" w:eastAsia="SimSun" w:hAnsiTheme="majorHAnsi" w:cstheme="majorHAnsi"/>
                <w:lang w:eastAsia="zh-CN"/>
              </w:rPr>
              <w:t xml:space="preserve"> further addressing barriers in access to and streamlining the payment approaches for in</w:t>
            </w:r>
            <w:r w:rsidR="002D43A8">
              <w:rPr>
                <w:rFonts w:asciiTheme="majorHAnsi" w:eastAsia="SimSun" w:hAnsiTheme="majorHAnsi" w:cstheme="majorHAnsi"/>
                <w:lang w:eastAsia="zh-CN"/>
              </w:rPr>
              <w:t xml:space="preserve">tegrated TB services, including </w:t>
            </w:r>
            <w:r w:rsidR="00E674A5" w:rsidRPr="00E674A5">
              <w:rPr>
                <w:rFonts w:asciiTheme="majorHAnsi" w:eastAsia="SimSun" w:hAnsiTheme="majorHAnsi" w:cstheme="majorHAnsi"/>
                <w:lang w:eastAsia="zh-CN"/>
              </w:rPr>
              <w:t xml:space="preserve">prevention; enhancing infection control systems; </w:t>
            </w:r>
            <w:r w:rsidR="00941A18">
              <w:rPr>
                <w:rFonts w:asciiTheme="majorHAnsi" w:eastAsia="SimSun" w:hAnsiTheme="majorHAnsi" w:cstheme="majorHAnsi"/>
                <w:lang w:eastAsia="zh-CN"/>
              </w:rPr>
              <w:t xml:space="preserve">further </w:t>
            </w:r>
            <w:r w:rsidR="00F6539F">
              <w:rPr>
                <w:rFonts w:asciiTheme="majorHAnsi" w:eastAsia="SimSun" w:hAnsiTheme="majorHAnsi" w:cstheme="majorHAnsi"/>
                <w:lang w:eastAsia="zh-CN"/>
              </w:rPr>
              <w:t>strengthening</w:t>
            </w:r>
            <w:r w:rsidR="00E674A5" w:rsidRPr="00E674A5">
              <w:rPr>
                <w:rFonts w:asciiTheme="majorHAnsi" w:eastAsia="SimSun" w:hAnsiTheme="majorHAnsi" w:cstheme="majorHAnsi"/>
                <w:lang w:eastAsia="zh-CN"/>
              </w:rPr>
              <w:t xml:space="preserve"> the role of NGOs in TB control</w:t>
            </w:r>
            <w:r w:rsidR="00E1235F">
              <w:rPr>
                <w:rFonts w:asciiTheme="majorHAnsi" w:eastAsia="SimSun" w:hAnsiTheme="majorHAnsi" w:cstheme="majorHAnsi"/>
                <w:lang w:eastAsia="zh-CN"/>
              </w:rPr>
              <w:t>; and strengthening human resources and their capacities</w:t>
            </w:r>
            <w:r w:rsidR="00CE5CFA">
              <w:rPr>
                <w:rFonts w:asciiTheme="majorHAnsi" w:eastAsia="SimSun" w:hAnsiTheme="majorHAnsi" w:cstheme="majorHAnsi"/>
                <w:lang w:eastAsia="zh-CN"/>
              </w:rPr>
              <w:t xml:space="preserve"> (Table 18)</w:t>
            </w:r>
            <w:r w:rsidR="00E1235F">
              <w:rPr>
                <w:rFonts w:asciiTheme="majorHAnsi" w:eastAsia="SimSun" w:hAnsiTheme="majorHAnsi" w:cstheme="majorHAnsi"/>
                <w:lang w:eastAsia="zh-CN"/>
              </w:rPr>
              <w:t xml:space="preserve">. </w:t>
            </w:r>
            <w:r w:rsidR="00426574">
              <w:rPr>
                <w:rFonts w:asciiTheme="majorHAnsi" w:eastAsia="SimSun" w:hAnsiTheme="majorHAnsi" w:cstheme="majorHAnsi"/>
                <w:lang w:eastAsia="zh-CN"/>
              </w:rPr>
              <w:t xml:space="preserve"> </w:t>
            </w:r>
          </w:p>
          <w:p w14:paraId="2A4F1834" w14:textId="621418A7" w:rsidR="00BB76C1" w:rsidRDefault="00426574" w:rsidP="00DA08C8">
            <w:pPr>
              <w:spacing w:before="120" w:after="0" w:line="240" w:lineRule="auto"/>
              <w:jc w:val="both"/>
              <w:rPr>
                <w:rFonts w:asciiTheme="minorHAnsi" w:hAnsiTheme="minorHAnsi" w:cstheme="minorHAnsi"/>
                <w:b/>
              </w:rPr>
            </w:pPr>
            <w:r>
              <w:rPr>
                <w:rFonts w:asciiTheme="minorHAnsi" w:hAnsiTheme="minorHAnsi" w:cstheme="minorHAnsi"/>
                <w:b/>
              </w:rPr>
              <w:t>Table 18. Key programmatic ar</w:t>
            </w:r>
            <w:r w:rsidR="00564C7B">
              <w:rPr>
                <w:rFonts w:asciiTheme="minorHAnsi" w:hAnsiTheme="minorHAnsi" w:cstheme="minorHAnsi"/>
                <w:b/>
              </w:rPr>
              <w:t>eas to be supported by domestic</w:t>
            </w:r>
            <w:r>
              <w:rPr>
                <w:rFonts w:asciiTheme="minorHAnsi" w:hAnsiTheme="minorHAnsi" w:cstheme="minorHAnsi"/>
                <w:b/>
              </w:rPr>
              <w:t xml:space="preserve"> co-financing in </w:t>
            </w:r>
            <w:r w:rsidR="00D91C86">
              <w:rPr>
                <w:rFonts w:asciiTheme="minorHAnsi" w:hAnsiTheme="minorHAnsi" w:cstheme="minorHAnsi"/>
                <w:b/>
              </w:rPr>
              <w:t>2023-2025</w:t>
            </w:r>
          </w:p>
          <w:p w14:paraId="572373EE" w14:textId="77777777" w:rsidR="00426574" w:rsidRDefault="00426574" w:rsidP="00426574">
            <w:pPr>
              <w:spacing w:after="0" w:line="240" w:lineRule="auto"/>
              <w:jc w:val="both"/>
              <w:rPr>
                <w:rFonts w:asciiTheme="minorHAnsi" w:hAnsiTheme="minorHAnsi" w:cstheme="minorHAnsi"/>
                <w:b/>
              </w:rPr>
            </w:pPr>
          </w:p>
          <w:tbl>
            <w:tblPr>
              <w:tblStyle w:val="aa"/>
              <w:tblW w:w="0" w:type="auto"/>
              <w:tblLayout w:type="fixed"/>
              <w:tblLook w:val="04A0" w:firstRow="1" w:lastRow="0" w:firstColumn="1" w:lastColumn="0" w:noHBand="0" w:noVBand="1"/>
            </w:tblPr>
            <w:tblGrid>
              <w:gridCol w:w="7338"/>
              <w:gridCol w:w="2296"/>
            </w:tblGrid>
            <w:tr w:rsidR="008920F9" w14:paraId="395C6E70" w14:textId="77777777" w:rsidTr="00B74E53">
              <w:tc>
                <w:tcPr>
                  <w:tcW w:w="7338" w:type="dxa"/>
                </w:tcPr>
                <w:p w14:paraId="620DDE95" w14:textId="06235CD6" w:rsidR="008920F9" w:rsidRPr="00E826E0" w:rsidRDefault="008920F9" w:rsidP="00542A97">
                  <w:pPr>
                    <w:spacing w:before="120" w:line="240" w:lineRule="auto"/>
                    <w:rPr>
                      <w:rFonts w:asciiTheme="majorHAnsi" w:hAnsiTheme="majorHAnsi" w:cstheme="majorHAnsi"/>
                      <w:b/>
                    </w:rPr>
                  </w:pPr>
                  <w:r w:rsidRPr="00E826E0">
                    <w:rPr>
                      <w:rFonts w:asciiTheme="majorHAnsi" w:hAnsiTheme="majorHAnsi" w:cstheme="majorHAnsi"/>
                      <w:b/>
                    </w:rPr>
                    <w:t>Priority areas</w:t>
                  </w:r>
                </w:p>
              </w:tc>
              <w:tc>
                <w:tcPr>
                  <w:tcW w:w="2296" w:type="dxa"/>
                </w:tcPr>
                <w:p w14:paraId="65C670FC" w14:textId="77777777" w:rsidR="008920F9" w:rsidRDefault="006C38BC" w:rsidP="00542A97">
                  <w:pPr>
                    <w:spacing w:before="120" w:line="240" w:lineRule="auto"/>
                    <w:jc w:val="center"/>
                    <w:rPr>
                      <w:rFonts w:asciiTheme="majorHAnsi" w:hAnsiTheme="majorHAnsi" w:cstheme="majorHAnsi"/>
                      <w:b/>
                    </w:rPr>
                  </w:pPr>
                  <w:r>
                    <w:rPr>
                      <w:rFonts w:asciiTheme="majorHAnsi" w:hAnsiTheme="majorHAnsi" w:cstheme="majorHAnsi"/>
                      <w:b/>
                    </w:rPr>
                    <w:t>D</w:t>
                  </w:r>
                  <w:r w:rsidR="008920F9" w:rsidRPr="00E826E0">
                    <w:rPr>
                      <w:rFonts w:asciiTheme="majorHAnsi" w:hAnsiTheme="majorHAnsi" w:cstheme="majorHAnsi"/>
                      <w:b/>
                    </w:rPr>
                    <w:t>omestic</w:t>
                  </w:r>
                  <w:r w:rsidR="00BA0033" w:rsidRPr="00E826E0">
                    <w:rPr>
                      <w:rFonts w:asciiTheme="majorHAnsi" w:hAnsiTheme="majorHAnsi" w:cstheme="majorHAnsi"/>
                      <w:b/>
                    </w:rPr>
                    <w:t xml:space="preserve"> funding</w:t>
                  </w:r>
                </w:p>
                <w:p w14:paraId="4920E98C" w14:textId="13571899" w:rsidR="006C38BC" w:rsidRPr="00E826E0" w:rsidRDefault="006C38BC" w:rsidP="00542A97">
                  <w:pPr>
                    <w:spacing w:before="120" w:line="240" w:lineRule="auto"/>
                    <w:jc w:val="center"/>
                    <w:rPr>
                      <w:rFonts w:asciiTheme="majorHAnsi" w:hAnsiTheme="majorHAnsi" w:cstheme="majorHAnsi"/>
                      <w:b/>
                    </w:rPr>
                  </w:pPr>
                  <w:r>
                    <w:rPr>
                      <w:rFonts w:asciiTheme="majorHAnsi" w:hAnsiTheme="majorHAnsi" w:cstheme="majorHAnsi"/>
                      <w:b/>
                    </w:rPr>
                    <w:t>(estimation)</w:t>
                  </w:r>
                </w:p>
              </w:tc>
            </w:tr>
            <w:tr w:rsidR="00BC29F0" w14:paraId="5E0FCF4F" w14:textId="77777777" w:rsidTr="00B74E53">
              <w:tc>
                <w:tcPr>
                  <w:tcW w:w="7338" w:type="dxa"/>
                </w:tcPr>
                <w:p w14:paraId="733F4C1A" w14:textId="5211E017" w:rsidR="00BC29F0" w:rsidRPr="00C97C39" w:rsidRDefault="00C97C39" w:rsidP="005F0EEF">
                  <w:pPr>
                    <w:spacing w:after="0" w:line="240" w:lineRule="auto"/>
                    <w:rPr>
                      <w:rFonts w:asciiTheme="majorHAnsi" w:hAnsiTheme="majorHAnsi" w:cstheme="majorHAnsi"/>
                      <w:color w:val="000000"/>
                    </w:rPr>
                  </w:pPr>
                  <w:r>
                    <w:rPr>
                      <w:rFonts w:asciiTheme="majorHAnsi" w:hAnsiTheme="majorHAnsi" w:cstheme="majorHAnsi"/>
                      <w:color w:val="000000"/>
                    </w:rPr>
                    <w:t>M</w:t>
                  </w:r>
                  <w:r w:rsidR="00BC29F0" w:rsidRPr="00E826E0">
                    <w:rPr>
                      <w:rFonts w:asciiTheme="majorHAnsi" w:hAnsiTheme="majorHAnsi" w:cstheme="majorHAnsi"/>
                      <w:color w:val="000000"/>
                    </w:rPr>
                    <w:t>odernizing TB Service.</w:t>
                  </w:r>
                  <w:r>
                    <w:rPr>
                      <w:rFonts w:asciiTheme="majorHAnsi" w:hAnsiTheme="majorHAnsi" w:cstheme="majorHAnsi"/>
                      <w:color w:val="000000"/>
                    </w:rPr>
                    <w:t xml:space="preserve"> Reforming through e</w:t>
                  </w:r>
                  <w:r w:rsidR="000F46AE">
                    <w:rPr>
                      <w:rFonts w:asciiTheme="majorHAnsi" w:hAnsiTheme="majorHAnsi" w:cstheme="majorHAnsi"/>
                      <w:color w:val="000000"/>
                    </w:rPr>
                    <w:t>xpansion of PHC</w:t>
                  </w:r>
                  <w:r w:rsidR="005F0EEF">
                    <w:rPr>
                      <w:rFonts w:asciiTheme="majorHAnsi" w:hAnsiTheme="majorHAnsi" w:cstheme="majorHAnsi"/>
                      <w:color w:val="000000"/>
                    </w:rPr>
                    <w:t xml:space="preserve"> services.</w:t>
                  </w:r>
                </w:p>
              </w:tc>
              <w:tc>
                <w:tcPr>
                  <w:tcW w:w="2296" w:type="dxa"/>
                </w:tcPr>
                <w:p w14:paraId="5E57817F" w14:textId="2B3C3DFD" w:rsidR="00BC29F0" w:rsidRPr="00E826E0" w:rsidRDefault="00BC29F0" w:rsidP="00AB74CB">
                  <w:pPr>
                    <w:spacing w:after="0" w:line="240" w:lineRule="auto"/>
                    <w:rPr>
                      <w:rFonts w:asciiTheme="majorHAnsi" w:hAnsiTheme="majorHAnsi" w:cstheme="majorHAnsi"/>
                    </w:rPr>
                  </w:pPr>
                  <w:r w:rsidRPr="00E826E0">
                    <w:rPr>
                      <w:rFonts w:asciiTheme="majorHAnsi" w:hAnsiTheme="majorHAnsi" w:cstheme="majorHAnsi"/>
                    </w:rPr>
                    <w:t>KZT</w:t>
                  </w:r>
                  <w:r w:rsidR="003E78F3">
                    <w:rPr>
                      <w:rFonts w:asciiTheme="majorHAnsi" w:hAnsiTheme="majorHAnsi" w:cstheme="majorHAnsi"/>
                    </w:rPr>
                    <w:t>7,819,393,779</w:t>
                  </w:r>
                </w:p>
              </w:tc>
            </w:tr>
            <w:tr w:rsidR="008920F9" w14:paraId="09B9083C" w14:textId="77777777" w:rsidTr="00B74E53">
              <w:tc>
                <w:tcPr>
                  <w:tcW w:w="7338" w:type="dxa"/>
                </w:tcPr>
                <w:p w14:paraId="6AEDC2F9" w14:textId="171D810C" w:rsidR="00BC29F0" w:rsidRPr="00E826E0" w:rsidRDefault="006D0588" w:rsidP="00AB74CB">
                  <w:pPr>
                    <w:spacing w:after="0" w:line="240" w:lineRule="auto"/>
                    <w:rPr>
                      <w:rFonts w:asciiTheme="majorHAnsi" w:eastAsia="SimSun" w:hAnsiTheme="majorHAnsi" w:cstheme="majorHAnsi"/>
                      <w:lang w:eastAsia="zh-CN"/>
                    </w:rPr>
                  </w:pPr>
                  <w:r>
                    <w:rPr>
                      <w:rFonts w:asciiTheme="majorHAnsi" w:eastAsia="SimSun" w:hAnsiTheme="majorHAnsi" w:cstheme="majorHAnsi"/>
                      <w:lang w:eastAsia="zh-CN"/>
                    </w:rPr>
                    <w:t>Improving a</w:t>
                  </w:r>
                  <w:r w:rsidR="008920F9" w:rsidRPr="00E826E0">
                    <w:rPr>
                      <w:rFonts w:asciiTheme="majorHAnsi" w:eastAsia="SimSun" w:hAnsiTheme="majorHAnsi" w:cstheme="majorHAnsi"/>
                      <w:lang w:eastAsia="zh-CN"/>
                    </w:rPr>
                    <w:t>vailability of effective modern te</w:t>
                  </w:r>
                  <w:r>
                    <w:rPr>
                      <w:rFonts w:asciiTheme="majorHAnsi" w:eastAsia="SimSun" w:hAnsiTheme="majorHAnsi" w:cstheme="majorHAnsi"/>
                      <w:lang w:eastAsia="zh-CN"/>
                    </w:rPr>
                    <w:t>chnologies and medical devices for d</w:t>
                  </w:r>
                  <w:r w:rsidR="000F46AE">
                    <w:rPr>
                      <w:rFonts w:asciiTheme="majorHAnsi" w:eastAsia="SimSun" w:hAnsiTheme="majorHAnsi" w:cstheme="majorHAnsi"/>
                      <w:lang w:eastAsia="zh-CN"/>
                    </w:rPr>
                    <w:t xml:space="preserve">iagnosis, </w:t>
                  </w:r>
                  <w:proofErr w:type="gramStart"/>
                  <w:r w:rsidR="008920F9" w:rsidRPr="00E826E0">
                    <w:rPr>
                      <w:rFonts w:asciiTheme="majorHAnsi" w:eastAsia="SimSun" w:hAnsiTheme="majorHAnsi" w:cstheme="majorHAnsi"/>
                      <w:lang w:eastAsia="zh-CN"/>
                    </w:rPr>
                    <w:t>treatment</w:t>
                  </w:r>
                  <w:proofErr w:type="gramEnd"/>
                  <w:r w:rsidR="008920F9" w:rsidRPr="00E826E0">
                    <w:rPr>
                      <w:rFonts w:asciiTheme="majorHAnsi" w:eastAsia="SimSun" w:hAnsiTheme="majorHAnsi" w:cstheme="majorHAnsi"/>
                      <w:lang w:eastAsia="zh-CN"/>
                    </w:rPr>
                    <w:t xml:space="preserve"> and rehabilitation care.</w:t>
                  </w:r>
                </w:p>
                <w:p w14:paraId="2A0596BB" w14:textId="70F4F7F3" w:rsidR="008920F9" w:rsidRPr="00E826E0" w:rsidRDefault="00BC29F0" w:rsidP="00AB74CB">
                  <w:pPr>
                    <w:spacing w:after="0" w:line="240" w:lineRule="auto"/>
                    <w:rPr>
                      <w:rFonts w:asciiTheme="majorHAnsi" w:eastAsia="SimSun" w:hAnsiTheme="majorHAnsi" w:cstheme="majorHAnsi"/>
                      <w:lang w:eastAsia="zh-CN"/>
                    </w:rPr>
                  </w:pPr>
                  <w:r w:rsidRPr="00E826E0">
                    <w:rPr>
                      <w:rFonts w:asciiTheme="majorHAnsi" w:eastAsia="SimSun" w:hAnsiTheme="majorHAnsi" w:cstheme="majorHAnsi"/>
                      <w:lang w:eastAsia="zh-CN"/>
                    </w:rPr>
                    <w:t>H</w:t>
                  </w:r>
                  <w:r w:rsidR="008920F9" w:rsidRPr="00E826E0">
                    <w:rPr>
                      <w:rFonts w:asciiTheme="majorHAnsi" w:eastAsia="SimSun" w:hAnsiTheme="majorHAnsi" w:cstheme="majorHAnsi"/>
                      <w:lang w:eastAsia="zh-CN"/>
                    </w:rPr>
                    <w:t>uman res</w:t>
                  </w:r>
                  <w:r w:rsidR="00542A97">
                    <w:rPr>
                      <w:rFonts w:asciiTheme="majorHAnsi" w:eastAsia="SimSun" w:hAnsiTheme="majorHAnsi" w:cstheme="majorHAnsi"/>
                      <w:lang w:eastAsia="zh-CN"/>
                    </w:rPr>
                    <w:t xml:space="preserve">ources for TB control </w:t>
                  </w:r>
                  <w:r w:rsidRPr="00E826E0">
                    <w:rPr>
                      <w:rFonts w:asciiTheme="majorHAnsi" w:eastAsia="SimSun" w:hAnsiTheme="majorHAnsi" w:cstheme="majorHAnsi"/>
                      <w:lang w:eastAsia="zh-CN"/>
                    </w:rPr>
                    <w:t xml:space="preserve">strengthened </w:t>
                  </w:r>
                  <w:r w:rsidR="008920F9" w:rsidRPr="00E826E0">
                    <w:rPr>
                      <w:rFonts w:asciiTheme="majorHAnsi" w:eastAsia="SimSun" w:hAnsiTheme="majorHAnsi" w:cstheme="majorHAnsi"/>
                      <w:lang w:eastAsia="zh-CN"/>
                    </w:rPr>
                    <w:t>capacities</w:t>
                  </w:r>
                  <w:r w:rsidRPr="00E826E0">
                    <w:rPr>
                      <w:rFonts w:asciiTheme="majorHAnsi" w:eastAsia="SimSun" w:hAnsiTheme="majorHAnsi" w:cstheme="majorHAnsi"/>
                      <w:lang w:eastAsia="zh-CN"/>
                    </w:rPr>
                    <w:t>, including M&amp;E.</w:t>
                  </w:r>
                </w:p>
              </w:tc>
              <w:tc>
                <w:tcPr>
                  <w:tcW w:w="2296" w:type="dxa"/>
                </w:tcPr>
                <w:p w14:paraId="3BC04597" w14:textId="41E77D16" w:rsidR="0066424E" w:rsidRPr="00E826E0" w:rsidRDefault="00157C4A" w:rsidP="00AB74CB">
                  <w:pPr>
                    <w:spacing w:after="0" w:line="240" w:lineRule="auto"/>
                    <w:rPr>
                      <w:rFonts w:asciiTheme="majorHAnsi" w:hAnsiTheme="majorHAnsi" w:cstheme="majorHAnsi"/>
                    </w:rPr>
                  </w:pPr>
                  <w:r>
                    <w:rPr>
                      <w:rFonts w:asciiTheme="majorHAnsi" w:eastAsia="Times New Roman" w:hAnsiTheme="majorHAnsi" w:cstheme="majorHAnsi"/>
                      <w:color w:val="000000"/>
                    </w:rPr>
                    <w:t>KZT</w:t>
                  </w:r>
                  <w:r w:rsidR="00B74E53">
                    <w:rPr>
                      <w:rFonts w:asciiTheme="majorHAnsi" w:eastAsia="Times New Roman" w:hAnsiTheme="majorHAnsi" w:cstheme="majorHAnsi"/>
                      <w:color w:val="000000"/>
                    </w:rPr>
                    <w:t>126,688,774,527</w:t>
                  </w:r>
                </w:p>
                <w:p w14:paraId="21F65910" w14:textId="657B4354" w:rsidR="008920F9" w:rsidRPr="00E826E0" w:rsidRDefault="008920F9" w:rsidP="00AB74CB">
                  <w:pPr>
                    <w:spacing w:after="0" w:line="240" w:lineRule="auto"/>
                    <w:rPr>
                      <w:rFonts w:asciiTheme="majorHAnsi" w:hAnsiTheme="majorHAnsi" w:cstheme="majorHAnsi"/>
                    </w:rPr>
                  </w:pPr>
                </w:p>
              </w:tc>
            </w:tr>
            <w:tr w:rsidR="008920F9" w14:paraId="462BD43F" w14:textId="77777777" w:rsidTr="00B74E53">
              <w:tc>
                <w:tcPr>
                  <w:tcW w:w="7338" w:type="dxa"/>
                </w:tcPr>
                <w:p w14:paraId="074F6DB3" w14:textId="1D02A33E" w:rsidR="003C55C9" w:rsidRPr="00E826E0" w:rsidRDefault="008920F9" w:rsidP="00AB74CB">
                  <w:pPr>
                    <w:spacing w:after="0" w:line="240" w:lineRule="auto"/>
                    <w:rPr>
                      <w:rFonts w:asciiTheme="majorHAnsi" w:eastAsia="SimSun" w:hAnsiTheme="majorHAnsi" w:cstheme="majorHAnsi"/>
                      <w:lang w:eastAsia="zh-CN"/>
                    </w:rPr>
                  </w:pPr>
                  <w:r w:rsidRPr="00E826E0">
                    <w:rPr>
                      <w:rFonts w:asciiTheme="majorHAnsi" w:eastAsia="SimSun" w:hAnsiTheme="majorHAnsi" w:cstheme="majorHAnsi"/>
                      <w:lang w:eastAsia="zh-CN"/>
                    </w:rPr>
                    <w:t>Psychosocial assistance to TB patients</w:t>
                  </w:r>
                  <w:r w:rsidR="003C55C9" w:rsidRPr="00E826E0">
                    <w:rPr>
                      <w:rFonts w:asciiTheme="majorHAnsi" w:eastAsia="SimSun" w:hAnsiTheme="majorHAnsi" w:cstheme="majorHAnsi"/>
                      <w:lang w:eastAsia="zh-CN"/>
                    </w:rPr>
                    <w:t>.</w:t>
                  </w:r>
                </w:p>
                <w:p w14:paraId="1A7D99BA" w14:textId="26211D89" w:rsidR="008920F9" w:rsidRPr="00E826E0" w:rsidRDefault="006D0588" w:rsidP="00AB74CB">
                  <w:pPr>
                    <w:spacing w:after="0" w:line="240" w:lineRule="auto"/>
                    <w:rPr>
                      <w:rFonts w:asciiTheme="majorHAnsi" w:eastAsia="SimSun" w:hAnsiTheme="majorHAnsi" w:cstheme="majorHAnsi"/>
                      <w:lang w:eastAsia="zh-CN"/>
                    </w:rPr>
                  </w:pPr>
                  <w:r>
                    <w:rPr>
                      <w:rFonts w:asciiTheme="majorHAnsi" w:eastAsia="SimSun" w:hAnsiTheme="majorHAnsi" w:cstheme="majorHAnsi"/>
                      <w:lang w:eastAsia="zh-CN"/>
                    </w:rPr>
                    <w:t xml:space="preserve">Strengthening role of </w:t>
                  </w:r>
                  <w:r w:rsidR="003C55C9" w:rsidRPr="00E826E0">
                    <w:rPr>
                      <w:rFonts w:asciiTheme="majorHAnsi" w:eastAsia="SimSun" w:hAnsiTheme="majorHAnsi" w:cstheme="majorHAnsi"/>
                      <w:lang w:eastAsia="zh-CN"/>
                    </w:rPr>
                    <w:t>NGOs in TB control</w:t>
                  </w:r>
                  <w:r w:rsidR="009C5050" w:rsidRPr="00E826E0">
                    <w:rPr>
                      <w:rFonts w:asciiTheme="majorHAnsi" w:eastAsia="SimSun" w:hAnsiTheme="majorHAnsi" w:cstheme="majorHAnsi"/>
                      <w:lang w:eastAsia="zh-CN"/>
                    </w:rPr>
                    <w:t>.</w:t>
                  </w:r>
                </w:p>
              </w:tc>
              <w:tc>
                <w:tcPr>
                  <w:tcW w:w="2296" w:type="dxa"/>
                </w:tcPr>
                <w:p w14:paraId="6138D80E" w14:textId="64A00DBB" w:rsidR="008920F9" w:rsidRPr="00E826E0" w:rsidRDefault="00E17783" w:rsidP="00AB74CB">
                  <w:pPr>
                    <w:spacing w:after="0" w:line="240" w:lineRule="auto"/>
                    <w:rPr>
                      <w:rFonts w:asciiTheme="majorHAnsi" w:eastAsia="Times New Roman" w:hAnsiTheme="majorHAnsi" w:cstheme="majorHAnsi"/>
                      <w:color w:val="000000"/>
                    </w:rPr>
                  </w:pPr>
                  <w:r w:rsidRPr="00E826E0">
                    <w:rPr>
                      <w:rFonts w:asciiTheme="majorHAnsi" w:eastAsia="Times New Roman" w:hAnsiTheme="majorHAnsi" w:cstheme="majorHAnsi"/>
                      <w:color w:val="000000"/>
                    </w:rPr>
                    <w:t>KZT6,100,431,522</w:t>
                  </w:r>
                </w:p>
                <w:p w14:paraId="5F7F2353" w14:textId="425F6880" w:rsidR="00E17783" w:rsidRPr="00E826E0" w:rsidRDefault="00E17783" w:rsidP="00AB74CB">
                  <w:pPr>
                    <w:spacing w:after="0" w:line="240" w:lineRule="auto"/>
                    <w:rPr>
                      <w:rFonts w:asciiTheme="majorHAnsi" w:eastAsia="Times New Roman" w:hAnsiTheme="majorHAnsi" w:cstheme="majorHAnsi"/>
                      <w:color w:val="000000"/>
                    </w:rPr>
                  </w:pPr>
                </w:p>
              </w:tc>
            </w:tr>
            <w:tr w:rsidR="008920F9" w14:paraId="704B345E" w14:textId="77777777" w:rsidTr="00B74E53">
              <w:tc>
                <w:tcPr>
                  <w:tcW w:w="7338" w:type="dxa"/>
                </w:tcPr>
                <w:p w14:paraId="1A7A6103" w14:textId="648DD231" w:rsidR="008920F9" w:rsidRPr="00E826E0" w:rsidRDefault="008920F9" w:rsidP="00485133">
                  <w:pPr>
                    <w:spacing w:after="0" w:line="240" w:lineRule="auto"/>
                    <w:rPr>
                      <w:rFonts w:asciiTheme="majorHAnsi" w:hAnsiTheme="majorHAnsi" w:cstheme="majorHAnsi"/>
                      <w:b/>
                    </w:rPr>
                  </w:pPr>
                  <w:r w:rsidRPr="00E826E0">
                    <w:rPr>
                      <w:rFonts w:asciiTheme="majorHAnsi" w:eastAsia="SimSun" w:hAnsiTheme="majorHAnsi" w:cstheme="majorHAnsi"/>
                      <w:lang w:eastAsia="zh-CN"/>
                    </w:rPr>
                    <w:t>Procurement of anti-tuberculosis drugs, including new and repurposed medicines.</w:t>
                  </w:r>
                  <w:r w:rsidR="00833D2C">
                    <w:rPr>
                      <w:rFonts w:asciiTheme="majorHAnsi" w:eastAsia="SimSun" w:hAnsiTheme="majorHAnsi" w:cstheme="majorHAnsi"/>
                      <w:lang w:eastAsia="zh-CN"/>
                    </w:rPr>
                    <w:t xml:space="preserve"> LTBI treatment.</w:t>
                  </w:r>
                  <w:r w:rsidR="001F76EF">
                    <w:rPr>
                      <w:rFonts w:asciiTheme="majorHAnsi" w:eastAsia="SimSun" w:hAnsiTheme="majorHAnsi" w:cstheme="majorHAnsi"/>
                      <w:lang w:eastAsia="zh-CN"/>
                    </w:rPr>
                    <w:t xml:space="preserve"> </w:t>
                  </w:r>
                  <w:r w:rsidR="001F76EF" w:rsidRPr="001F76EF">
                    <w:rPr>
                      <w:rFonts w:asciiTheme="majorHAnsi" w:eastAsia="SimSun" w:hAnsiTheme="majorHAnsi" w:cstheme="majorHAnsi"/>
                      <w:lang w:eastAsia="zh-CN"/>
                    </w:rPr>
                    <w:t xml:space="preserve">Improving drug </w:t>
                  </w:r>
                  <w:r w:rsidR="00833D2C">
                    <w:rPr>
                      <w:rFonts w:asciiTheme="majorHAnsi" w:eastAsia="SimSun" w:hAnsiTheme="majorHAnsi" w:cstheme="majorHAnsi"/>
                      <w:lang w:eastAsia="zh-CN"/>
                    </w:rPr>
                    <w:t>supply management and aDSM.</w:t>
                  </w:r>
                  <w:r w:rsidR="00485133">
                    <w:rPr>
                      <w:rFonts w:asciiTheme="majorHAnsi" w:eastAsia="SimSun" w:hAnsiTheme="majorHAnsi" w:cstheme="majorHAnsi"/>
                      <w:lang w:eastAsia="zh-CN"/>
                    </w:rPr>
                    <w:t xml:space="preserve"> </w:t>
                  </w:r>
                </w:p>
              </w:tc>
              <w:tc>
                <w:tcPr>
                  <w:tcW w:w="2296" w:type="dxa"/>
                </w:tcPr>
                <w:p w14:paraId="1E7D2F2F" w14:textId="552E6D7B" w:rsidR="00A6282C" w:rsidRPr="00E826E0" w:rsidRDefault="00A6282C" w:rsidP="00AB74CB">
                  <w:pPr>
                    <w:spacing w:after="0" w:line="240" w:lineRule="auto"/>
                    <w:rPr>
                      <w:rFonts w:asciiTheme="majorHAnsi" w:eastAsia="Times New Roman" w:hAnsiTheme="majorHAnsi" w:cstheme="majorHAnsi"/>
                      <w:color w:val="000000"/>
                    </w:rPr>
                  </w:pPr>
                  <w:r w:rsidRPr="00E826E0">
                    <w:rPr>
                      <w:rFonts w:asciiTheme="majorHAnsi" w:eastAsia="Times New Roman" w:hAnsiTheme="majorHAnsi" w:cstheme="majorHAnsi"/>
                      <w:color w:val="000000"/>
                    </w:rPr>
                    <w:t>KZT</w:t>
                  </w:r>
                  <w:r w:rsidR="00B74E53">
                    <w:rPr>
                      <w:rFonts w:asciiTheme="majorHAnsi" w:eastAsia="Times New Roman" w:hAnsiTheme="majorHAnsi" w:cstheme="majorHAnsi"/>
                      <w:color w:val="000000"/>
                    </w:rPr>
                    <w:t>17,407,331,473</w:t>
                  </w:r>
                </w:p>
                <w:p w14:paraId="63E867AF" w14:textId="77777777" w:rsidR="008920F9" w:rsidRPr="00E826E0" w:rsidRDefault="008920F9" w:rsidP="00AB74CB">
                  <w:pPr>
                    <w:spacing w:after="0" w:line="240" w:lineRule="auto"/>
                    <w:rPr>
                      <w:rFonts w:asciiTheme="majorHAnsi" w:hAnsiTheme="majorHAnsi" w:cstheme="majorHAnsi"/>
                      <w:b/>
                    </w:rPr>
                  </w:pPr>
                </w:p>
              </w:tc>
            </w:tr>
            <w:tr w:rsidR="008920F9" w:rsidRPr="00D91C86" w14:paraId="33DBA6E9" w14:textId="77777777" w:rsidTr="00B74E53">
              <w:tc>
                <w:tcPr>
                  <w:tcW w:w="7338" w:type="dxa"/>
                </w:tcPr>
                <w:p w14:paraId="76370D1B" w14:textId="093D3FB8" w:rsidR="008920F9" w:rsidRPr="00B74E53" w:rsidRDefault="008920F9" w:rsidP="00B74E53">
                  <w:pPr>
                    <w:spacing w:after="0" w:line="240" w:lineRule="auto"/>
                    <w:rPr>
                      <w:rFonts w:asciiTheme="majorHAnsi" w:eastAsia="Times New Roman" w:hAnsiTheme="majorHAnsi" w:cstheme="majorHAnsi"/>
                      <w:b/>
                      <w:color w:val="000000"/>
                    </w:rPr>
                  </w:pPr>
                  <w:r w:rsidRPr="00B74E53">
                    <w:rPr>
                      <w:rFonts w:asciiTheme="majorHAnsi" w:eastAsia="Times New Roman" w:hAnsiTheme="majorHAnsi" w:cstheme="majorHAnsi"/>
                      <w:b/>
                      <w:color w:val="000000"/>
                    </w:rPr>
                    <w:t>TOTAL</w:t>
                  </w:r>
                </w:p>
              </w:tc>
              <w:tc>
                <w:tcPr>
                  <w:tcW w:w="2296" w:type="dxa"/>
                </w:tcPr>
                <w:p w14:paraId="12578DE4" w14:textId="72B660DE" w:rsidR="00B74E53" w:rsidRPr="00B74E53" w:rsidRDefault="00333C13" w:rsidP="00B74E53">
                  <w:pPr>
                    <w:spacing w:after="0" w:line="240" w:lineRule="auto"/>
                    <w:rPr>
                      <w:rFonts w:asciiTheme="majorHAnsi" w:eastAsia="Times New Roman" w:hAnsiTheme="majorHAnsi" w:cstheme="majorHAnsi"/>
                      <w:b/>
                      <w:color w:val="000000"/>
                    </w:rPr>
                  </w:pPr>
                  <w:r w:rsidRPr="00B74E53">
                    <w:rPr>
                      <w:rFonts w:asciiTheme="majorHAnsi" w:eastAsia="Times New Roman" w:hAnsiTheme="majorHAnsi" w:cstheme="majorHAnsi"/>
                      <w:b/>
                      <w:color w:val="000000"/>
                    </w:rPr>
                    <w:t>KZT</w:t>
                  </w:r>
                  <w:r w:rsidR="003E78F3">
                    <w:rPr>
                      <w:rFonts w:asciiTheme="majorHAnsi" w:eastAsia="Times New Roman" w:hAnsiTheme="majorHAnsi" w:cstheme="majorHAnsi"/>
                      <w:b/>
                      <w:color w:val="000000"/>
                    </w:rPr>
                    <w:t>158,015,931,301</w:t>
                  </w:r>
                </w:p>
                <w:p w14:paraId="38FEBCEB" w14:textId="62EB4CF3" w:rsidR="008920F9" w:rsidRPr="00B74E53" w:rsidRDefault="008920F9" w:rsidP="00B74E53">
                  <w:pPr>
                    <w:spacing w:after="0" w:line="240" w:lineRule="auto"/>
                    <w:rPr>
                      <w:rFonts w:asciiTheme="majorHAnsi" w:eastAsia="Times New Roman" w:hAnsiTheme="majorHAnsi" w:cstheme="majorHAnsi"/>
                      <w:b/>
                      <w:color w:val="000000"/>
                    </w:rPr>
                  </w:pPr>
                </w:p>
              </w:tc>
            </w:tr>
          </w:tbl>
          <w:p w14:paraId="5A2460DF" w14:textId="77777777" w:rsidR="00F25EDD" w:rsidRDefault="00F25EDD" w:rsidP="00020467">
            <w:pPr>
              <w:spacing w:line="240" w:lineRule="auto"/>
              <w:jc w:val="both"/>
              <w:rPr>
                <w:rFonts w:ascii="Times New Roman" w:hAnsi="Times New Roman" w:cs="Times New Roman"/>
                <w:sz w:val="24"/>
                <w:szCs w:val="24"/>
              </w:rPr>
            </w:pPr>
          </w:p>
          <w:p w14:paraId="2223103A" w14:textId="3CAC9A0E" w:rsidR="00666FCA" w:rsidRPr="00666FCA" w:rsidRDefault="00666FCA" w:rsidP="00666FCA">
            <w:pPr>
              <w:spacing w:line="240" w:lineRule="auto"/>
              <w:jc w:val="both"/>
              <w:rPr>
                <w:rFonts w:asciiTheme="majorHAnsi" w:hAnsiTheme="majorHAnsi" w:cstheme="majorHAnsi"/>
              </w:rPr>
            </w:pPr>
            <w:r w:rsidRPr="00666FCA">
              <w:rPr>
                <w:rFonts w:asciiTheme="majorHAnsi" w:hAnsiTheme="majorHAnsi" w:cstheme="majorHAnsi"/>
              </w:rPr>
              <w:t>For sustainable transition to t</w:t>
            </w:r>
            <w:r w:rsidR="00BA0033">
              <w:rPr>
                <w:rFonts w:asciiTheme="majorHAnsi" w:hAnsiTheme="majorHAnsi" w:cstheme="majorHAnsi"/>
              </w:rPr>
              <w:t>he full funding from domestic re</w:t>
            </w:r>
            <w:r w:rsidRPr="00666FCA">
              <w:rPr>
                <w:rFonts w:asciiTheme="majorHAnsi" w:hAnsiTheme="majorHAnsi" w:cstheme="majorHAnsi"/>
              </w:rPr>
              <w:t xml:space="preserve">sources for effective TB control, the authorities commit to gradual uptake of the activities as described in the country </w:t>
            </w:r>
            <w:r w:rsidRPr="002D43A8">
              <w:rPr>
                <w:rFonts w:asciiTheme="majorHAnsi" w:hAnsiTheme="majorHAnsi" w:cstheme="majorHAnsi"/>
                <w:i/>
              </w:rPr>
              <w:t>Transition Plan</w:t>
            </w:r>
            <w:r w:rsidRPr="00666FCA">
              <w:rPr>
                <w:rFonts w:asciiTheme="majorHAnsi" w:hAnsiTheme="majorHAnsi" w:cstheme="majorHAnsi"/>
              </w:rPr>
              <w:t xml:space="preserve"> and </w:t>
            </w:r>
            <w:r w:rsidRPr="002D43A8">
              <w:rPr>
                <w:rFonts w:asciiTheme="majorHAnsi" w:hAnsiTheme="majorHAnsi" w:cstheme="majorHAnsi"/>
                <w:i/>
              </w:rPr>
              <w:t>Appendix 1a</w:t>
            </w:r>
            <w:r w:rsidRPr="00666FCA">
              <w:rPr>
                <w:rFonts w:asciiTheme="majorHAnsi" w:hAnsiTheme="majorHAnsi" w:cstheme="majorHAnsi"/>
              </w:rPr>
              <w:t xml:space="preserve"> on the status update, including:</w:t>
            </w:r>
          </w:p>
          <w:p w14:paraId="0BC130FE" w14:textId="77777777" w:rsidR="00666FCA" w:rsidRDefault="00666FCA" w:rsidP="006A0E08">
            <w:pPr>
              <w:pStyle w:val="affff3"/>
              <w:numPr>
                <w:ilvl w:val="0"/>
                <w:numId w:val="46"/>
              </w:numPr>
              <w:spacing w:line="240" w:lineRule="auto"/>
              <w:jc w:val="both"/>
              <w:rPr>
                <w:rFonts w:asciiTheme="majorHAnsi" w:hAnsiTheme="majorHAnsi" w:cstheme="majorHAnsi"/>
              </w:rPr>
            </w:pPr>
            <w:r w:rsidRPr="00666FCA">
              <w:rPr>
                <w:rFonts w:asciiTheme="majorHAnsi" w:hAnsiTheme="majorHAnsi" w:cstheme="majorHAnsi"/>
              </w:rPr>
              <w:t>Procurement and uninterrupted supply of new and repurposed TB drugs, rapid TB diagnostic tests for the penitentiary system through international mechanisms at preferential prices.</w:t>
            </w:r>
          </w:p>
          <w:p w14:paraId="028F03AD" w14:textId="77777777" w:rsidR="00666FCA" w:rsidRDefault="00666FCA" w:rsidP="006A0E08">
            <w:pPr>
              <w:pStyle w:val="affff3"/>
              <w:numPr>
                <w:ilvl w:val="0"/>
                <w:numId w:val="46"/>
              </w:numPr>
              <w:spacing w:line="240" w:lineRule="auto"/>
              <w:jc w:val="both"/>
              <w:rPr>
                <w:rFonts w:asciiTheme="majorHAnsi" w:hAnsiTheme="majorHAnsi" w:cstheme="majorHAnsi"/>
              </w:rPr>
            </w:pPr>
            <w:r w:rsidRPr="00666FCA">
              <w:rPr>
                <w:rFonts w:asciiTheme="majorHAnsi" w:hAnsiTheme="majorHAnsi" w:cstheme="majorHAnsi"/>
              </w:rPr>
              <w:t>Maintenance of laboratory equipment and ventilation systems in bacteriological reference laboratories</w:t>
            </w:r>
            <w:r>
              <w:rPr>
                <w:rFonts w:asciiTheme="majorHAnsi" w:hAnsiTheme="majorHAnsi" w:cstheme="majorHAnsi"/>
              </w:rPr>
              <w:t xml:space="preserve"> and high biological risk areas.</w:t>
            </w:r>
          </w:p>
          <w:p w14:paraId="4DE63ABE" w14:textId="62F35B4A" w:rsidR="00666FCA" w:rsidRDefault="00666FCA" w:rsidP="006A0E08">
            <w:pPr>
              <w:pStyle w:val="affff3"/>
              <w:numPr>
                <w:ilvl w:val="0"/>
                <w:numId w:val="46"/>
              </w:numPr>
              <w:spacing w:line="240" w:lineRule="auto"/>
              <w:jc w:val="both"/>
              <w:rPr>
                <w:rFonts w:asciiTheme="majorHAnsi" w:hAnsiTheme="majorHAnsi" w:cstheme="majorHAnsi"/>
              </w:rPr>
            </w:pPr>
            <w:r w:rsidRPr="00666FCA">
              <w:rPr>
                <w:rFonts w:asciiTheme="majorHAnsi" w:hAnsiTheme="majorHAnsi" w:cstheme="majorHAnsi"/>
              </w:rPr>
              <w:t xml:space="preserve">Training </w:t>
            </w:r>
            <w:r w:rsidR="009B1A12">
              <w:rPr>
                <w:rFonts w:asciiTheme="majorHAnsi" w:hAnsiTheme="majorHAnsi" w:cstheme="majorHAnsi"/>
              </w:rPr>
              <w:t xml:space="preserve">of </w:t>
            </w:r>
            <w:r w:rsidRPr="00666FCA">
              <w:rPr>
                <w:rFonts w:asciiTheme="majorHAnsi" w:hAnsiTheme="majorHAnsi" w:cstheme="majorHAnsi"/>
              </w:rPr>
              <w:t xml:space="preserve">PHC specialists in TB and DR-TB management, including penitentiary system staff, and representatives of the medical academies and universities, after adopting the latest technical partners' recommendations. </w:t>
            </w:r>
          </w:p>
          <w:p w14:paraId="76EF9672" w14:textId="1E5960B5" w:rsidR="00666FCA" w:rsidRDefault="00666FCA" w:rsidP="006A0E08">
            <w:pPr>
              <w:pStyle w:val="affff3"/>
              <w:numPr>
                <w:ilvl w:val="0"/>
                <w:numId w:val="46"/>
              </w:numPr>
              <w:spacing w:line="240" w:lineRule="auto"/>
              <w:jc w:val="both"/>
              <w:rPr>
                <w:rFonts w:asciiTheme="majorHAnsi" w:hAnsiTheme="majorHAnsi" w:cstheme="majorHAnsi"/>
              </w:rPr>
            </w:pPr>
            <w:r w:rsidRPr="00666FCA">
              <w:rPr>
                <w:rFonts w:asciiTheme="majorHAnsi" w:hAnsiTheme="majorHAnsi" w:cstheme="majorHAnsi"/>
              </w:rPr>
              <w:t xml:space="preserve">Maintenance and operation of the Center for Clinical Mentoring </w:t>
            </w:r>
            <w:r w:rsidR="00AF1C8E">
              <w:rPr>
                <w:rFonts w:asciiTheme="majorHAnsi" w:hAnsiTheme="majorHAnsi" w:cstheme="majorHAnsi"/>
              </w:rPr>
              <w:t>and Advanced Training at the NS</w:t>
            </w:r>
            <w:r w:rsidRPr="00666FCA">
              <w:rPr>
                <w:rFonts w:asciiTheme="majorHAnsi" w:hAnsiTheme="majorHAnsi" w:cstheme="majorHAnsi"/>
              </w:rPr>
              <w:t>C</w:t>
            </w:r>
            <w:r w:rsidR="00AF1C8E">
              <w:rPr>
                <w:rFonts w:asciiTheme="majorHAnsi" w:hAnsiTheme="majorHAnsi" w:cstheme="majorHAnsi"/>
              </w:rPr>
              <w:t>P</w:t>
            </w:r>
            <w:r w:rsidRPr="00666FCA">
              <w:rPr>
                <w:rFonts w:asciiTheme="majorHAnsi" w:hAnsiTheme="majorHAnsi" w:cstheme="majorHAnsi"/>
              </w:rPr>
              <w:t xml:space="preserve"> using remote technologies to provide high-quality care and treatment services for TB and DR-TB patients after adopting the latest technical partners' recommendations in the training modules. </w:t>
            </w:r>
          </w:p>
          <w:p w14:paraId="733B4A63" w14:textId="77777777" w:rsidR="00666FCA" w:rsidRDefault="00666FCA" w:rsidP="006A0E08">
            <w:pPr>
              <w:pStyle w:val="affff3"/>
              <w:numPr>
                <w:ilvl w:val="0"/>
                <w:numId w:val="46"/>
              </w:numPr>
              <w:spacing w:line="240" w:lineRule="auto"/>
              <w:jc w:val="both"/>
              <w:rPr>
                <w:rFonts w:asciiTheme="majorHAnsi" w:hAnsiTheme="majorHAnsi" w:cstheme="majorHAnsi"/>
              </w:rPr>
            </w:pPr>
            <w:r w:rsidRPr="00666FCA">
              <w:rPr>
                <w:rFonts w:asciiTheme="majorHAnsi" w:hAnsiTheme="majorHAnsi" w:cstheme="majorHAnsi"/>
              </w:rPr>
              <w:t>Maintenance of the national electronic TB information system, after amending the respective modules to be aligned with the WHO recommended cases definitions and reporting.</w:t>
            </w:r>
          </w:p>
          <w:p w14:paraId="2A9C6E3C" w14:textId="77777777" w:rsidR="00666FCA" w:rsidRDefault="00666FCA" w:rsidP="006A0E08">
            <w:pPr>
              <w:pStyle w:val="affff3"/>
              <w:numPr>
                <w:ilvl w:val="0"/>
                <w:numId w:val="46"/>
              </w:numPr>
              <w:spacing w:line="240" w:lineRule="auto"/>
              <w:jc w:val="both"/>
              <w:rPr>
                <w:rFonts w:asciiTheme="majorHAnsi" w:hAnsiTheme="majorHAnsi" w:cstheme="majorHAnsi"/>
              </w:rPr>
            </w:pPr>
            <w:r w:rsidRPr="00666FCA">
              <w:rPr>
                <w:rFonts w:asciiTheme="majorHAnsi" w:hAnsiTheme="majorHAnsi" w:cstheme="majorHAnsi"/>
              </w:rPr>
              <w:t xml:space="preserve">NGO-led interventions in the vulnerable and hard-to-reach population group after the services standardization, tools development, and the new funding mechanism piloting. </w:t>
            </w:r>
          </w:p>
          <w:p w14:paraId="209DF34E" w14:textId="77777777" w:rsidR="00666FCA" w:rsidRDefault="00666FCA" w:rsidP="006A0E08">
            <w:pPr>
              <w:pStyle w:val="affff3"/>
              <w:numPr>
                <w:ilvl w:val="0"/>
                <w:numId w:val="46"/>
              </w:numPr>
              <w:spacing w:line="240" w:lineRule="auto"/>
              <w:jc w:val="both"/>
              <w:rPr>
                <w:rFonts w:asciiTheme="majorHAnsi" w:hAnsiTheme="majorHAnsi" w:cstheme="majorHAnsi"/>
              </w:rPr>
            </w:pPr>
            <w:r w:rsidRPr="00666FCA">
              <w:rPr>
                <w:rFonts w:asciiTheme="majorHAnsi" w:hAnsiTheme="majorHAnsi" w:cstheme="majorHAnsi"/>
              </w:rPr>
              <w:t xml:space="preserve">NTP M&amp;E and aDSM activities after being strengthened and rationalized to align with technical partners' recommendations and costed. </w:t>
            </w:r>
          </w:p>
          <w:p w14:paraId="03A223A2" w14:textId="5F7A3C20" w:rsidR="00811BFC" w:rsidRPr="00655ACA" w:rsidRDefault="00666FCA" w:rsidP="00655ACA">
            <w:pPr>
              <w:pStyle w:val="affff3"/>
              <w:numPr>
                <w:ilvl w:val="0"/>
                <w:numId w:val="46"/>
              </w:numPr>
              <w:spacing w:line="240" w:lineRule="auto"/>
              <w:jc w:val="both"/>
              <w:rPr>
                <w:rFonts w:asciiTheme="majorHAnsi" w:hAnsiTheme="majorHAnsi" w:cstheme="majorHAnsi"/>
              </w:rPr>
            </w:pPr>
            <w:r w:rsidRPr="00666FCA">
              <w:rPr>
                <w:rFonts w:asciiTheme="majorHAnsi" w:hAnsiTheme="majorHAnsi" w:cstheme="majorHAnsi"/>
              </w:rPr>
              <w:t>Further TB Service rationalization and addressing barriers in access to integrated TB services.</w:t>
            </w:r>
          </w:p>
        </w:tc>
      </w:tr>
    </w:tbl>
    <w:p w14:paraId="635A9B97" w14:textId="438CC363" w:rsidR="00007BFF" w:rsidRDefault="00007BFF" w:rsidP="007B1F00">
      <w:pPr>
        <w:spacing w:after="0" w:line="260" w:lineRule="atLeast"/>
      </w:pPr>
    </w:p>
    <w:p w14:paraId="1EC4B881" w14:textId="51861001" w:rsidR="00007BFF" w:rsidRDefault="00007BFF">
      <w:pPr>
        <w:spacing w:after="160" w:line="0" w:lineRule="auto"/>
        <w:rPr>
          <w:rFonts w:cs="Arial"/>
          <w:b/>
        </w:rPr>
      </w:pPr>
    </w:p>
    <w:p w14:paraId="642F358F" w14:textId="54035445" w:rsidR="00007BFF" w:rsidRPr="00824D66" w:rsidRDefault="00007BFF" w:rsidP="00824D66">
      <w:pPr>
        <w:shd w:val="clear" w:color="auto" w:fill="D9D9D9" w:themeFill="background1" w:themeFillShade="D9"/>
        <w:spacing w:after="0" w:line="260" w:lineRule="atLeast"/>
        <w:rPr>
          <w:rFonts w:cs="Arial"/>
          <w:b/>
        </w:rPr>
      </w:pPr>
      <w:r>
        <w:rPr>
          <w:rFonts w:cs="Arial"/>
          <w:b/>
        </w:rPr>
        <w:t xml:space="preserve">3.2 </w:t>
      </w:r>
      <w:r w:rsidRPr="00824D66">
        <w:rPr>
          <w:rFonts w:cs="Arial"/>
          <w:b/>
        </w:rPr>
        <w:t>Sustainability and Transition</w:t>
      </w:r>
    </w:p>
    <w:p w14:paraId="02269AED" w14:textId="77777777" w:rsidR="00007BFF" w:rsidRPr="00B271DB" w:rsidRDefault="00007BFF" w:rsidP="00485066">
      <w:pPr>
        <w:pStyle w:val="af0"/>
      </w:pPr>
    </w:p>
    <w:p w14:paraId="3BD3EFF8" w14:textId="77777777" w:rsidR="00007BFF" w:rsidRPr="00B74DAA" w:rsidRDefault="00007BFF" w:rsidP="002B4EA3">
      <w:pPr>
        <w:pStyle w:val="affff3"/>
        <w:numPr>
          <w:ilvl w:val="0"/>
          <w:numId w:val="22"/>
        </w:numPr>
        <w:spacing w:after="160" w:line="260" w:lineRule="atLeast"/>
        <w:jc w:val="both"/>
      </w:pPr>
      <w:r>
        <w:rPr>
          <w:rFonts w:cs="Arial"/>
        </w:rPr>
        <w:t xml:space="preserve">Based on the analysis in the </w:t>
      </w:r>
      <w:r w:rsidRPr="00B74DAA">
        <w:rPr>
          <w:rFonts w:cs="Arial"/>
          <w:b/>
        </w:rPr>
        <w:t>Funding Landscape Table(s),</w:t>
      </w:r>
      <w:r>
        <w:rPr>
          <w:rFonts w:cs="Arial"/>
        </w:rPr>
        <w:t xml:space="preserve"> describe the funding need and anticipated</w:t>
      </w:r>
      <w:r w:rsidRPr="00B271DB">
        <w:rPr>
          <w:rFonts w:cs="Arial"/>
        </w:rPr>
        <w:t xml:space="preserve"> funding, </w:t>
      </w:r>
      <w:r>
        <w:rPr>
          <w:rFonts w:cs="Arial"/>
        </w:rPr>
        <w:t>highlighting</w:t>
      </w:r>
      <w:r w:rsidRPr="00B271DB">
        <w:rPr>
          <w:rFonts w:cs="Arial"/>
        </w:rPr>
        <w:t xml:space="preserve"> gaps for major program areas in the </w:t>
      </w:r>
      <w:r>
        <w:rPr>
          <w:rFonts w:cs="Arial"/>
        </w:rPr>
        <w:t>next</w:t>
      </w:r>
      <w:r w:rsidRPr="00B271DB">
        <w:rPr>
          <w:rFonts w:cs="Arial"/>
        </w:rPr>
        <w:t xml:space="preserve"> allocation period. </w:t>
      </w:r>
    </w:p>
    <w:p w14:paraId="1E121FC3" w14:textId="00160960" w:rsidR="00007BFF" w:rsidRPr="00BE0F0C" w:rsidRDefault="00007BFF" w:rsidP="00B74DAA">
      <w:pPr>
        <w:pStyle w:val="affff3"/>
        <w:spacing w:after="160" w:line="260" w:lineRule="atLeast"/>
        <w:ind w:left="360"/>
        <w:jc w:val="both"/>
      </w:pPr>
      <w:r w:rsidRPr="00B271DB">
        <w:rPr>
          <w:rFonts w:cs="Arial"/>
        </w:rPr>
        <w:t>Also</w:t>
      </w:r>
      <w:r>
        <w:rPr>
          <w:rFonts w:cs="Arial"/>
        </w:rPr>
        <w:t>,</w:t>
      </w:r>
      <w:r w:rsidRPr="00B271DB">
        <w:rPr>
          <w:rFonts w:cs="Arial"/>
        </w:rPr>
        <w:t xml:space="preserve"> describe how</w:t>
      </w:r>
      <w:r>
        <w:rPr>
          <w:rFonts w:cs="Arial"/>
        </w:rPr>
        <w:t xml:space="preserve"> </w:t>
      </w:r>
      <w:r w:rsidRPr="00411CF4">
        <w:rPr>
          <w:rFonts w:cs="Arial"/>
        </w:rPr>
        <w:t>(i)</w:t>
      </w:r>
      <w:r w:rsidRPr="0096146C">
        <w:rPr>
          <w:rFonts w:cs="Arial"/>
          <w:b/>
        </w:rPr>
        <w:t xml:space="preserve"> </w:t>
      </w:r>
      <w:r w:rsidRPr="00B271DB">
        <w:rPr>
          <w:rFonts w:cs="Arial"/>
        </w:rPr>
        <w:t xml:space="preserve">national authorities will work to secure additional funding or new sources of </w:t>
      </w:r>
      <w:r>
        <w:rPr>
          <w:rFonts w:cs="Arial"/>
        </w:rPr>
        <w:t>funding</w:t>
      </w:r>
      <w:r w:rsidRPr="00B271DB">
        <w:rPr>
          <w:rFonts w:cs="Arial"/>
        </w:rPr>
        <w:t>, and</w:t>
      </w:r>
      <w:r>
        <w:rPr>
          <w:rFonts w:cs="Arial"/>
        </w:rPr>
        <w:t>/or</w:t>
      </w:r>
      <w:r w:rsidRPr="00B271DB">
        <w:rPr>
          <w:rFonts w:cs="Arial"/>
        </w:rPr>
        <w:t xml:space="preserve"> </w:t>
      </w:r>
      <w:r w:rsidRPr="00411CF4">
        <w:rPr>
          <w:rFonts w:cs="Arial"/>
        </w:rPr>
        <w:t>(ii)</w:t>
      </w:r>
      <w:r w:rsidRPr="0096146C">
        <w:rPr>
          <w:rFonts w:cs="Arial"/>
          <w:b/>
        </w:rPr>
        <w:t xml:space="preserve"> </w:t>
      </w:r>
      <w:r>
        <w:rPr>
          <w:rFonts w:cs="Arial"/>
        </w:rPr>
        <w:t>pursue efficiencies</w:t>
      </w:r>
      <w:r w:rsidRPr="00B271DB">
        <w:rPr>
          <w:rFonts w:cs="Arial"/>
        </w:rPr>
        <w:t xml:space="preserve"> to ensure sufficient support for key interventions, particularly those currently </w:t>
      </w:r>
      <w:r>
        <w:rPr>
          <w:rFonts w:cs="Arial"/>
        </w:rPr>
        <w:t>funded</w:t>
      </w:r>
      <w:r w:rsidRPr="00B271DB">
        <w:rPr>
          <w:rFonts w:cs="Arial"/>
        </w:rPr>
        <w:t xml:space="preserve"> by the Global Fund</w:t>
      </w:r>
      <w:r>
        <w:rPr>
          <w:rFonts w:cs="Arial"/>
        </w:rPr>
        <w:t>.</w:t>
      </w:r>
    </w:p>
    <w:p w14:paraId="63CE6929" w14:textId="77777777" w:rsidR="00007BFF" w:rsidRPr="00B271DB" w:rsidRDefault="00007BFF" w:rsidP="00882DC3">
      <w:pPr>
        <w:pStyle w:val="affff3"/>
        <w:spacing w:after="0" w:line="260" w:lineRule="atLeast"/>
        <w:ind w:left="360"/>
        <w:jc w:val="both"/>
      </w:pPr>
    </w:p>
    <w:tbl>
      <w:tblPr>
        <w:tblStyle w:val="aa"/>
        <w:tblW w:w="0" w:type="auto"/>
        <w:tblLook w:val="04A0" w:firstRow="1" w:lastRow="0" w:firstColumn="1" w:lastColumn="0" w:noHBand="0" w:noVBand="1"/>
      </w:tblPr>
      <w:tblGrid>
        <w:gridCol w:w="10682"/>
      </w:tblGrid>
      <w:tr w:rsidR="00007BFF" w:rsidRPr="00B271DB" w14:paraId="19E52BCF" w14:textId="77777777" w:rsidTr="005279BC">
        <w:tc>
          <w:tcPr>
            <w:tcW w:w="10790" w:type="dxa"/>
          </w:tcPr>
          <w:p w14:paraId="1371F7D4" w14:textId="3C3E58F1" w:rsidR="00720E3D" w:rsidRPr="00720E3D" w:rsidRDefault="00720E3D" w:rsidP="00720E3D">
            <w:pPr>
              <w:spacing w:after="0" w:line="240" w:lineRule="auto"/>
              <w:jc w:val="both"/>
              <w:textAlignment w:val="baseline"/>
              <w:rPr>
                <w:rFonts w:asciiTheme="majorHAnsi" w:hAnsiTheme="majorHAnsi" w:cstheme="majorHAnsi"/>
              </w:rPr>
            </w:pPr>
            <w:r w:rsidRPr="00720E3D">
              <w:rPr>
                <w:rFonts w:asciiTheme="majorHAnsi" w:hAnsiTheme="majorHAnsi" w:cstheme="majorHAnsi"/>
              </w:rPr>
              <w:t>Based on TB services domestic financing data and information from Partners' survey, the funding landscape tables were compiled to highlight the gaps for programmatic areas to mobilize additional resources needed to enhance and sustain core services for key population groups</w:t>
            </w:r>
            <w:r w:rsidR="00B568E7">
              <w:rPr>
                <w:rFonts w:asciiTheme="majorHAnsi" w:hAnsiTheme="majorHAnsi" w:cstheme="majorHAnsi"/>
              </w:rPr>
              <w:t>.</w:t>
            </w:r>
            <w:r w:rsidRPr="00720E3D">
              <w:rPr>
                <w:rFonts w:asciiTheme="majorHAnsi" w:hAnsiTheme="majorHAnsi" w:cstheme="majorHAnsi"/>
              </w:rPr>
              <w:t xml:space="preserve"> </w:t>
            </w:r>
          </w:p>
          <w:p w14:paraId="163D28DB" w14:textId="77777777" w:rsidR="00720E3D" w:rsidRPr="00720E3D" w:rsidRDefault="00720E3D" w:rsidP="00720E3D">
            <w:pPr>
              <w:spacing w:after="0" w:line="240" w:lineRule="auto"/>
              <w:jc w:val="both"/>
              <w:textAlignment w:val="baseline"/>
              <w:rPr>
                <w:rFonts w:asciiTheme="majorHAnsi" w:hAnsiTheme="majorHAnsi" w:cstheme="majorHAnsi"/>
              </w:rPr>
            </w:pPr>
          </w:p>
          <w:p w14:paraId="43550CCF" w14:textId="11FDD1C0" w:rsidR="00720E3D" w:rsidRPr="00720E3D" w:rsidRDefault="00720E3D" w:rsidP="00720E3D">
            <w:pPr>
              <w:spacing w:after="0" w:line="240" w:lineRule="auto"/>
              <w:jc w:val="both"/>
              <w:textAlignment w:val="baseline"/>
              <w:rPr>
                <w:rFonts w:asciiTheme="majorHAnsi" w:hAnsiTheme="majorHAnsi" w:cstheme="majorHAnsi"/>
              </w:rPr>
            </w:pPr>
            <w:r w:rsidRPr="00720E3D">
              <w:rPr>
                <w:rFonts w:asciiTheme="majorHAnsi" w:hAnsiTheme="majorHAnsi" w:cstheme="majorHAnsi"/>
              </w:rPr>
              <w:t>The U</w:t>
            </w:r>
            <w:r w:rsidR="00B568E7">
              <w:rPr>
                <w:rFonts w:asciiTheme="majorHAnsi" w:hAnsiTheme="majorHAnsi" w:cstheme="majorHAnsi"/>
              </w:rPr>
              <w:t>.</w:t>
            </w:r>
            <w:r w:rsidRPr="00720E3D">
              <w:rPr>
                <w:rFonts w:asciiTheme="majorHAnsi" w:hAnsiTheme="majorHAnsi" w:cstheme="majorHAnsi"/>
              </w:rPr>
              <w:t>S</w:t>
            </w:r>
            <w:r w:rsidR="00B568E7">
              <w:rPr>
                <w:rFonts w:asciiTheme="majorHAnsi" w:hAnsiTheme="majorHAnsi" w:cstheme="majorHAnsi"/>
              </w:rPr>
              <w:t xml:space="preserve">. </w:t>
            </w:r>
            <w:r w:rsidRPr="00720E3D">
              <w:rPr>
                <w:rFonts w:asciiTheme="majorHAnsi" w:hAnsiTheme="majorHAnsi" w:cstheme="majorHAnsi"/>
              </w:rPr>
              <w:t>A</w:t>
            </w:r>
            <w:r w:rsidR="00B568E7">
              <w:rPr>
                <w:rFonts w:asciiTheme="majorHAnsi" w:hAnsiTheme="majorHAnsi" w:cstheme="majorHAnsi"/>
              </w:rPr>
              <w:t xml:space="preserve">gency for </w:t>
            </w:r>
            <w:r w:rsidRPr="00720E3D">
              <w:rPr>
                <w:rFonts w:asciiTheme="majorHAnsi" w:hAnsiTheme="majorHAnsi" w:cstheme="majorHAnsi"/>
              </w:rPr>
              <w:t>I</w:t>
            </w:r>
            <w:r w:rsidR="00B568E7">
              <w:rPr>
                <w:rFonts w:asciiTheme="majorHAnsi" w:hAnsiTheme="majorHAnsi" w:cstheme="majorHAnsi"/>
              </w:rPr>
              <w:t xml:space="preserve">nternational </w:t>
            </w:r>
            <w:r w:rsidRPr="00720E3D">
              <w:rPr>
                <w:rFonts w:asciiTheme="majorHAnsi" w:hAnsiTheme="majorHAnsi" w:cstheme="majorHAnsi"/>
              </w:rPr>
              <w:t>D</w:t>
            </w:r>
            <w:r w:rsidR="00B568E7">
              <w:rPr>
                <w:rFonts w:asciiTheme="majorHAnsi" w:hAnsiTheme="majorHAnsi" w:cstheme="majorHAnsi"/>
              </w:rPr>
              <w:t>evelopment</w:t>
            </w:r>
            <w:r w:rsidRPr="00720E3D">
              <w:rPr>
                <w:rFonts w:asciiTheme="majorHAnsi" w:hAnsiTheme="majorHAnsi" w:cstheme="majorHAnsi"/>
              </w:rPr>
              <w:t xml:space="preserve"> has contributed to building the na</w:t>
            </w:r>
            <w:r w:rsidR="00B568E7">
              <w:rPr>
                <w:rFonts w:asciiTheme="majorHAnsi" w:hAnsiTheme="majorHAnsi" w:cstheme="majorHAnsi"/>
              </w:rPr>
              <w:t>tional TB response capacity. Through the</w:t>
            </w:r>
            <w:r w:rsidRPr="00720E3D">
              <w:rPr>
                <w:rFonts w:asciiTheme="majorHAnsi" w:hAnsiTheme="majorHAnsi" w:cstheme="majorHAnsi"/>
              </w:rPr>
              <w:t xml:space="preserve"> Global Accelerator to End TB </w:t>
            </w:r>
            <w:r w:rsidR="00B568E7">
              <w:rPr>
                <w:rFonts w:asciiTheme="majorHAnsi" w:hAnsiTheme="majorHAnsi" w:cstheme="majorHAnsi"/>
              </w:rPr>
              <w:t xml:space="preserve">it </w:t>
            </w:r>
            <w:r w:rsidRPr="00720E3D">
              <w:rPr>
                <w:rFonts w:asciiTheme="majorHAnsi" w:hAnsiTheme="majorHAnsi" w:cstheme="majorHAnsi"/>
              </w:rPr>
              <w:t xml:space="preserve">helped the country scale up the roll-out of GeneXpert diagnostic. Through its implementing partners, the USAID is assisting the country in enhancing the laboratory system and TB drug supply management capacities, strengthening the pharmacovigilance, monitoring and the role of community-based in TB control activities, and enabling financing mechanisms. The expenses are totaled to approximately US$3.87 million in 2020-2022; however, the data on spending categories was not fully available. It is expected to spend an annual average of US$1.26 million in the mid-term, subject to funds availability. </w:t>
            </w:r>
          </w:p>
          <w:p w14:paraId="30D94455" w14:textId="77777777" w:rsidR="00720E3D" w:rsidRPr="00720E3D" w:rsidRDefault="00720E3D" w:rsidP="00720E3D">
            <w:pPr>
              <w:spacing w:after="0" w:line="240" w:lineRule="auto"/>
              <w:jc w:val="both"/>
              <w:textAlignment w:val="baseline"/>
              <w:rPr>
                <w:rFonts w:asciiTheme="majorHAnsi" w:hAnsiTheme="majorHAnsi" w:cstheme="majorHAnsi"/>
              </w:rPr>
            </w:pPr>
          </w:p>
          <w:p w14:paraId="1A1F3045" w14:textId="77777777" w:rsidR="00720E3D" w:rsidRPr="00720E3D" w:rsidRDefault="00720E3D" w:rsidP="00720E3D">
            <w:pPr>
              <w:spacing w:after="0" w:line="240" w:lineRule="auto"/>
              <w:jc w:val="both"/>
              <w:textAlignment w:val="baseline"/>
              <w:rPr>
                <w:rFonts w:asciiTheme="majorHAnsi" w:hAnsiTheme="majorHAnsi" w:cstheme="majorHAnsi"/>
              </w:rPr>
            </w:pPr>
            <w:r w:rsidRPr="00720E3D">
              <w:rPr>
                <w:rFonts w:asciiTheme="majorHAnsi" w:hAnsiTheme="majorHAnsi" w:cstheme="majorHAnsi"/>
              </w:rPr>
              <w:t>For the 2020-2024 period, Partners in Health has allocated funds of US$2.72 for Kazakhstan on the EndTB project aiming to expand access to new and repurposed anti-TB drugs and on the StamTB project to study modified short-term MDR-TB treatment regimens. Moreover, the funds were used on the ManyVoices project to provide psychosocial support to TB patients in Almaty and Karaganda region.</w:t>
            </w:r>
          </w:p>
          <w:p w14:paraId="398B942B" w14:textId="77777777" w:rsidR="00720E3D" w:rsidRPr="00720E3D" w:rsidRDefault="00720E3D" w:rsidP="00720E3D">
            <w:pPr>
              <w:spacing w:after="0" w:line="240" w:lineRule="auto"/>
              <w:jc w:val="both"/>
              <w:textAlignment w:val="baseline"/>
              <w:rPr>
                <w:rFonts w:asciiTheme="majorHAnsi" w:hAnsiTheme="majorHAnsi" w:cstheme="majorHAnsi"/>
              </w:rPr>
            </w:pPr>
          </w:p>
          <w:p w14:paraId="3AC00BF0" w14:textId="77777777" w:rsidR="00720E3D" w:rsidRPr="00720E3D" w:rsidRDefault="00720E3D" w:rsidP="00720E3D">
            <w:pPr>
              <w:spacing w:after="0" w:line="240" w:lineRule="auto"/>
              <w:jc w:val="both"/>
              <w:textAlignment w:val="baseline"/>
              <w:rPr>
                <w:rFonts w:asciiTheme="majorHAnsi" w:hAnsiTheme="majorHAnsi" w:cstheme="majorHAnsi"/>
              </w:rPr>
            </w:pPr>
            <w:r w:rsidRPr="00720E3D">
              <w:rPr>
                <w:rFonts w:asciiTheme="majorHAnsi" w:hAnsiTheme="majorHAnsi" w:cstheme="majorHAnsi"/>
              </w:rPr>
              <w:t xml:space="preserve">The KNCV Kazakhstan has spent nearly US$0.4 million during the reporting period on projects financed by Dr. C. de Langen Foundation for Global TB control and TBA &amp; KOICA (TB Alliance/Korea International Cooperation Agency). </w:t>
            </w:r>
            <w:proofErr w:type="gramStart"/>
            <w:r w:rsidRPr="00720E3D">
              <w:rPr>
                <w:rFonts w:asciiTheme="majorHAnsi" w:hAnsiTheme="majorHAnsi" w:cstheme="majorHAnsi"/>
              </w:rPr>
              <w:t>In  2020</w:t>
            </w:r>
            <w:proofErr w:type="gramEnd"/>
            <w:r w:rsidRPr="00720E3D">
              <w:rPr>
                <w:rFonts w:asciiTheme="majorHAnsi" w:hAnsiTheme="majorHAnsi" w:cstheme="majorHAnsi"/>
              </w:rPr>
              <w:t xml:space="preserve">-2021 the KNCV provided technical support for the planning and implementing the BPaL regimen for the treatment of pre- XDR-TB. Since January 2021, it has been implementing the project "Decentralization of ECG monitoring using a mobile device for patients with drug-resistant tuberculosis on an outpatient basis in Kazakhstan." </w:t>
            </w:r>
          </w:p>
          <w:p w14:paraId="7496D99D" w14:textId="77777777" w:rsidR="00720E3D" w:rsidRPr="00720E3D" w:rsidRDefault="00720E3D" w:rsidP="00720E3D">
            <w:pPr>
              <w:spacing w:after="0" w:line="240" w:lineRule="auto"/>
              <w:jc w:val="both"/>
              <w:textAlignment w:val="baseline"/>
              <w:rPr>
                <w:rFonts w:asciiTheme="majorHAnsi" w:hAnsiTheme="majorHAnsi" w:cstheme="majorHAnsi"/>
              </w:rPr>
            </w:pPr>
          </w:p>
          <w:p w14:paraId="5A275DA9" w14:textId="77777777" w:rsidR="00720E3D" w:rsidRPr="00720E3D" w:rsidRDefault="00720E3D" w:rsidP="00720E3D">
            <w:pPr>
              <w:spacing w:after="0" w:line="240" w:lineRule="auto"/>
              <w:jc w:val="both"/>
              <w:textAlignment w:val="baseline"/>
              <w:rPr>
                <w:rFonts w:asciiTheme="majorHAnsi" w:hAnsiTheme="majorHAnsi" w:cstheme="majorHAnsi"/>
              </w:rPr>
            </w:pPr>
            <w:r w:rsidRPr="00720E3D">
              <w:rPr>
                <w:rFonts w:asciiTheme="majorHAnsi" w:hAnsiTheme="majorHAnsi" w:cstheme="majorHAnsi"/>
              </w:rPr>
              <w:t xml:space="preserve">Through external technical support, the Center for Health Policies and Studies/GFATM spent approximately US$0.2 million to adapt the innovative tools for the community-based monitoring and performed NGOs assessment exercise in Kazakhstan. The amount includes small grant programs assessing barriers to diagnostic and care of TB affected among key population groups and patient' path analysis. </w:t>
            </w:r>
          </w:p>
          <w:p w14:paraId="3340FF87" w14:textId="77777777" w:rsidR="00720E3D" w:rsidRPr="00720E3D" w:rsidRDefault="00720E3D" w:rsidP="00720E3D">
            <w:pPr>
              <w:spacing w:after="0" w:line="240" w:lineRule="auto"/>
              <w:jc w:val="both"/>
              <w:textAlignment w:val="baseline"/>
              <w:rPr>
                <w:rFonts w:asciiTheme="majorHAnsi" w:hAnsiTheme="majorHAnsi" w:cstheme="majorHAnsi"/>
              </w:rPr>
            </w:pPr>
          </w:p>
          <w:p w14:paraId="104DF40B" w14:textId="77777777" w:rsidR="00F2072D" w:rsidRDefault="00AF3FA1" w:rsidP="000D327D">
            <w:pPr>
              <w:jc w:val="both"/>
              <w:rPr>
                <w:rFonts w:asciiTheme="majorHAnsi" w:hAnsiTheme="majorHAnsi" w:cstheme="majorHAnsi"/>
              </w:rPr>
            </w:pPr>
            <w:r>
              <w:rPr>
                <w:rFonts w:asciiTheme="majorHAnsi" w:hAnsiTheme="majorHAnsi" w:cstheme="majorHAnsi"/>
              </w:rPr>
              <w:t>The amounts reported under the d</w:t>
            </w:r>
            <w:r w:rsidR="00720E3D" w:rsidRPr="00720E3D">
              <w:rPr>
                <w:rFonts w:asciiTheme="majorHAnsi" w:hAnsiTheme="majorHAnsi" w:cstheme="majorHAnsi"/>
              </w:rPr>
              <w:t>omestic spending are expected allocations to the NTP from the republican and local budgets. The costs of the activities in the draft 2022-2026 Comprehensive P</w:t>
            </w:r>
            <w:r>
              <w:rPr>
                <w:rFonts w:asciiTheme="majorHAnsi" w:hAnsiTheme="majorHAnsi" w:cstheme="majorHAnsi"/>
              </w:rPr>
              <w:t>lan, findings of the assessment and costing studies</w:t>
            </w:r>
            <w:r w:rsidR="00720E3D" w:rsidRPr="00720E3D">
              <w:rPr>
                <w:rFonts w:asciiTheme="majorHAnsi" w:hAnsiTheme="majorHAnsi" w:cstheme="majorHAnsi"/>
              </w:rPr>
              <w:t xml:space="preserve"> were used to define the funding needs. The landscape tables provide a detailed breakdown of estimated funding planned locally and the amount secured from alternative and additional sources, including the GF allocation for 2023-2025. </w:t>
            </w:r>
          </w:p>
          <w:p w14:paraId="37915861" w14:textId="1997FC93" w:rsidR="00B20828" w:rsidRDefault="00720E3D" w:rsidP="000D327D">
            <w:pPr>
              <w:jc w:val="both"/>
              <w:rPr>
                <w:rFonts w:asciiTheme="majorHAnsi" w:hAnsiTheme="majorHAnsi" w:cstheme="majorHAnsi"/>
              </w:rPr>
            </w:pPr>
            <w:r w:rsidRPr="00720E3D">
              <w:rPr>
                <w:rFonts w:asciiTheme="majorHAnsi" w:hAnsiTheme="majorHAnsi" w:cstheme="majorHAnsi"/>
              </w:rPr>
              <w:t xml:space="preserve">The budget areas </w:t>
            </w:r>
            <w:r w:rsidR="00AF3FA1">
              <w:rPr>
                <w:rFonts w:asciiTheme="majorHAnsi" w:hAnsiTheme="majorHAnsi" w:cstheme="majorHAnsi"/>
              </w:rPr>
              <w:t xml:space="preserve">with funding shortfalls </w:t>
            </w:r>
            <w:r w:rsidRPr="00720E3D">
              <w:rPr>
                <w:rFonts w:asciiTheme="majorHAnsi" w:hAnsiTheme="majorHAnsi" w:cstheme="majorHAnsi"/>
              </w:rPr>
              <w:t xml:space="preserve">include projected needs to sustain universal access to quality DS and DR-TB prevention, diagnosis, treatment, and community-based activities amounted to US$3,6million over three years. More specifically, it covers estimated costs for treating patients in the penitentiary sector and </w:t>
            </w:r>
            <w:r w:rsidR="00AF3FA1">
              <w:rPr>
                <w:rFonts w:asciiTheme="majorHAnsi" w:hAnsiTheme="majorHAnsi" w:cstheme="majorHAnsi"/>
              </w:rPr>
              <w:t>ACSM and M&amp;E additional expenditures</w:t>
            </w:r>
            <w:r w:rsidRPr="00720E3D">
              <w:rPr>
                <w:rFonts w:asciiTheme="majorHAnsi" w:hAnsiTheme="majorHAnsi" w:cstheme="majorHAnsi"/>
              </w:rPr>
              <w:t>. As it was mentioned in the earlier paragraphs, the coun</w:t>
            </w:r>
            <w:r w:rsidR="00AF3FA1">
              <w:rPr>
                <w:rFonts w:asciiTheme="majorHAnsi" w:hAnsiTheme="majorHAnsi" w:cstheme="majorHAnsi"/>
              </w:rPr>
              <w:t xml:space="preserve">try plans the transition of </w:t>
            </w:r>
            <w:r w:rsidRPr="00720E3D">
              <w:rPr>
                <w:rFonts w:asciiTheme="majorHAnsi" w:hAnsiTheme="majorHAnsi" w:cstheme="majorHAnsi"/>
              </w:rPr>
              <w:t>the penitentiary system</w:t>
            </w:r>
            <w:r w:rsidR="00AF3FA1">
              <w:rPr>
                <w:rFonts w:asciiTheme="majorHAnsi" w:hAnsiTheme="majorHAnsi" w:cstheme="majorHAnsi"/>
              </w:rPr>
              <w:t>’</w:t>
            </w:r>
            <w:r w:rsidRPr="00720E3D">
              <w:rPr>
                <w:rFonts w:asciiTheme="majorHAnsi" w:hAnsiTheme="majorHAnsi" w:cstheme="majorHAnsi"/>
              </w:rPr>
              <w:t xml:space="preserve"> </w:t>
            </w:r>
            <w:r w:rsidR="00AF3FA1" w:rsidRPr="00720E3D">
              <w:rPr>
                <w:rFonts w:asciiTheme="majorHAnsi" w:hAnsiTheme="majorHAnsi" w:cstheme="majorHAnsi"/>
              </w:rPr>
              <w:t xml:space="preserve">medical service </w:t>
            </w:r>
            <w:r w:rsidRPr="00720E3D">
              <w:rPr>
                <w:rFonts w:asciiTheme="majorHAnsi" w:hAnsiTheme="majorHAnsi" w:cstheme="majorHAnsi"/>
              </w:rPr>
              <w:t xml:space="preserve">to the health sector under the MoH. This will proceed by adaption of respective legislative acts to ensure a phased handover of the functions from the Committee of the </w:t>
            </w:r>
            <w:proofErr w:type="gramStart"/>
            <w:r w:rsidRPr="00720E3D">
              <w:rPr>
                <w:rFonts w:asciiTheme="majorHAnsi" w:hAnsiTheme="majorHAnsi" w:cstheme="majorHAnsi"/>
              </w:rPr>
              <w:t>criminally-executive</w:t>
            </w:r>
            <w:proofErr w:type="gramEnd"/>
            <w:r w:rsidRPr="00720E3D">
              <w:rPr>
                <w:rFonts w:asciiTheme="majorHAnsi" w:hAnsiTheme="majorHAnsi" w:cstheme="majorHAnsi"/>
              </w:rPr>
              <w:t xml:space="preserve"> system at the Ministry of Internal Affairs to the MoH. And, then the transfer of medical institutions from the penitentiary system to the health sector will follow </w:t>
            </w:r>
            <w:r w:rsidR="00AF3FA1">
              <w:rPr>
                <w:rFonts w:asciiTheme="majorHAnsi" w:hAnsiTheme="majorHAnsi" w:cstheme="majorHAnsi"/>
              </w:rPr>
              <w:t>along with</w:t>
            </w:r>
            <w:r w:rsidRPr="00720E3D">
              <w:rPr>
                <w:rFonts w:asciiTheme="majorHAnsi" w:hAnsiTheme="majorHAnsi" w:cstheme="majorHAnsi"/>
              </w:rPr>
              <w:t xml:space="preserve"> allocations from the government budgets. </w:t>
            </w:r>
            <w:r w:rsidR="00CE53CD" w:rsidRPr="00CE53CD">
              <w:rPr>
                <w:rFonts w:asciiTheme="majorHAnsi" w:hAnsiTheme="majorHAnsi" w:cstheme="majorHAnsi"/>
              </w:rPr>
              <w:t xml:space="preserve">Moreover, the work is underway to estimate the normative costs of orgmethod activities, ACSM, and M&amp;E following SOPs to advocate for increased funding. </w:t>
            </w:r>
          </w:p>
          <w:p w14:paraId="0E4FF24E" w14:textId="7B39BE3B" w:rsidR="005F25F5" w:rsidRDefault="005F25F5" w:rsidP="00111F64">
            <w:pPr>
              <w:rPr>
                <w:rFonts w:asciiTheme="majorHAnsi" w:hAnsiTheme="majorHAnsi" w:cstheme="majorHAnsi"/>
              </w:rPr>
            </w:pPr>
            <w:r>
              <w:rPr>
                <w:rFonts w:asciiTheme="majorHAnsi" w:hAnsiTheme="majorHAnsi" w:cstheme="majorHAnsi"/>
              </w:rPr>
              <w:t>The g</w:t>
            </w:r>
            <w:r w:rsidRPr="005F25F5">
              <w:rPr>
                <w:rFonts w:asciiTheme="majorHAnsi" w:hAnsiTheme="majorHAnsi" w:cstheme="majorHAnsi"/>
              </w:rPr>
              <w:t>overnment will finance nearly 95% of inv</w:t>
            </w:r>
            <w:r>
              <w:rPr>
                <w:rFonts w:asciiTheme="majorHAnsi" w:hAnsiTheme="majorHAnsi" w:cstheme="majorHAnsi"/>
              </w:rPr>
              <w:t>estment needs (Figure 40) and the</w:t>
            </w:r>
            <w:r w:rsidRPr="005F25F5">
              <w:rPr>
                <w:rFonts w:asciiTheme="majorHAnsi" w:hAnsiTheme="majorHAnsi" w:cstheme="majorHAnsi"/>
              </w:rPr>
              <w:t xml:space="preserve"> requested amoun</w:t>
            </w:r>
            <w:r>
              <w:rPr>
                <w:rFonts w:asciiTheme="majorHAnsi" w:hAnsiTheme="majorHAnsi" w:cstheme="majorHAnsi"/>
              </w:rPr>
              <w:t xml:space="preserve">t will cover 77% of the </w:t>
            </w:r>
            <w:r w:rsidRPr="005F25F5">
              <w:rPr>
                <w:rFonts w:asciiTheme="majorHAnsi" w:hAnsiTheme="majorHAnsi" w:cstheme="majorHAnsi"/>
              </w:rPr>
              <w:t xml:space="preserve">funding gap. </w:t>
            </w:r>
          </w:p>
          <w:p w14:paraId="5D6865A8" w14:textId="77777777" w:rsidR="005D63F8" w:rsidRDefault="005D63F8" w:rsidP="00111F64">
            <w:pPr>
              <w:rPr>
                <w:rFonts w:asciiTheme="majorHAnsi" w:hAnsiTheme="majorHAnsi" w:cstheme="majorHAnsi"/>
              </w:rPr>
            </w:pPr>
          </w:p>
          <w:p w14:paraId="42F208DE" w14:textId="77777777" w:rsidR="00292B4C" w:rsidRDefault="00EC7D5E" w:rsidP="00390951">
            <w:pPr>
              <w:rPr>
                <w:rFonts w:asciiTheme="majorHAnsi" w:hAnsiTheme="majorHAnsi" w:cstheme="majorHAnsi"/>
                <w:b/>
              </w:rPr>
            </w:pPr>
            <w:r>
              <w:rPr>
                <w:rFonts w:asciiTheme="majorHAnsi" w:hAnsiTheme="majorHAnsi" w:cstheme="majorHAnsi"/>
                <w:b/>
              </w:rPr>
              <w:t>Figure 40. A</w:t>
            </w:r>
            <w:r w:rsidR="00111F64">
              <w:rPr>
                <w:rFonts w:asciiTheme="majorHAnsi" w:hAnsiTheme="majorHAnsi" w:cstheme="majorHAnsi"/>
                <w:b/>
              </w:rPr>
              <w:t>ctivities</w:t>
            </w:r>
            <w:r>
              <w:rPr>
                <w:rFonts w:asciiTheme="majorHAnsi" w:hAnsiTheme="majorHAnsi" w:cstheme="majorHAnsi"/>
                <w:b/>
              </w:rPr>
              <w:t>’</w:t>
            </w:r>
            <w:r w:rsidR="00111F64">
              <w:rPr>
                <w:rFonts w:asciiTheme="majorHAnsi" w:hAnsiTheme="majorHAnsi" w:cstheme="majorHAnsi"/>
                <w:b/>
              </w:rPr>
              <w:t xml:space="preserve"> f</w:t>
            </w:r>
            <w:r w:rsidR="00111F64" w:rsidRPr="00111F64">
              <w:rPr>
                <w:rFonts w:asciiTheme="majorHAnsi" w:hAnsiTheme="majorHAnsi" w:cstheme="majorHAnsi"/>
                <w:b/>
              </w:rPr>
              <w:t>unding s</w:t>
            </w:r>
            <w:r w:rsidR="00111F64">
              <w:rPr>
                <w:rFonts w:asciiTheme="majorHAnsi" w:hAnsiTheme="majorHAnsi" w:cstheme="majorHAnsi"/>
                <w:b/>
              </w:rPr>
              <w:t xml:space="preserve">ources </w:t>
            </w:r>
          </w:p>
          <w:p w14:paraId="04B92FB5" w14:textId="5A4B11A7" w:rsidR="00007BFF" w:rsidRPr="00390951" w:rsidRDefault="00736551" w:rsidP="00390951">
            <w:pPr>
              <w:rPr>
                <w:rFonts w:asciiTheme="majorHAnsi" w:hAnsiTheme="majorHAnsi" w:cstheme="majorHAnsi"/>
              </w:rPr>
            </w:pPr>
            <w:r>
              <w:rPr>
                <w:noProof/>
              </w:rPr>
              <w:drawing>
                <wp:inline distT="0" distB="0" distL="0" distR="0" wp14:anchorId="1860AE3E" wp14:editId="4A661843">
                  <wp:extent cx="6515100" cy="3416300"/>
                  <wp:effectExtent l="0" t="0" r="12700" b="12700"/>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14:paraId="07CE579B" w14:textId="77777777" w:rsidR="00007BFF" w:rsidRPr="00B271DB" w:rsidRDefault="00007BFF" w:rsidP="00485066">
      <w:pPr>
        <w:spacing w:after="0"/>
        <w:jc w:val="both"/>
        <w:rPr>
          <w:rFonts w:eastAsia="Times New Roman" w:cs="Arial"/>
        </w:rPr>
      </w:pPr>
    </w:p>
    <w:p w14:paraId="2FCAC622" w14:textId="645E18EA" w:rsidR="00007BFF" w:rsidRDefault="00007BFF" w:rsidP="002B4EA3">
      <w:pPr>
        <w:pStyle w:val="affff3"/>
        <w:numPr>
          <w:ilvl w:val="0"/>
          <w:numId w:val="22"/>
        </w:numPr>
        <w:spacing w:after="0" w:line="260" w:lineRule="atLeast"/>
        <w:jc w:val="both"/>
      </w:pPr>
      <w:r w:rsidRPr="00B271DB">
        <w:t xml:space="preserve">Highlight </w:t>
      </w:r>
      <w:r w:rsidRPr="0096146C">
        <w:rPr>
          <w:b/>
        </w:rPr>
        <w:t>challenges</w:t>
      </w:r>
      <w:r w:rsidRPr="00B271DB">
        <w:t xml:space="preserve"> related to sustainability</w:t>
      </w:r>
      <w:r>
        <w:t xml:space="preserve"> (see indicative list in the </w:t>
      </w:r>
      <w:r w:rsidRPr="00B2724B">
        <w:rPr>
          <w:i/>
        </w:rPr>
        <w:t>Instructions</w:t>
      </w:r>
      <w:r>
        <w:t>)</w:t>
      </w:r>
      <w:r w:rsidRPr="00B271DB">
        <w:t>.</w:t>
      </w:r>
      <w:r w:rsidRPr="00A76BD8">
        <w:t xml:space="preserve"> </w:t>
      </w:r>
      <w:r>
        <w:t>Explain how these challenges will be addressed either through this funding request or other sources.</w:t>
      </w:r>
      <w:r w:rsidRPr="00B271DB">
        <w:t xml:space="preserve"> </w:t>
      </w:r>
      <w:r w:rsidRPr="005305D5">
        <w:t>If already described in the national strategy, sustainability and/or transition plan, and/or other documentation submitted with the funding request, refer to relevant sections</w:t>
      </w:r>
      <w:r>
        <w:t xml:space="preserve"> of those documents.</w:t>
      </w:r>
    </w:p>
    <w:p w14:paraId="120379A7" w14:textId="44952B9B" w:rsidR="00007BFF" w:rsidRPr="00B271DB" w:rsidRDefault="00007BFF" w:rsidP="001F7F10">
      <w:pPr>
        <w:pStyle w:val="affff3"/>
        <w:spacing w:after="0" w:line="260" w:lineRule="atLeast"/>
        <w:ind w:left="360"/>
        <w:jc w:val="both"/>
      </w:pPr>
    </w:p>
    <w:tbl>
      <w:tblPr>
        <w:tblStyle w:val="aa"/>
        <w:tblW w:w="0" w:type="auto"/>
        <w:tblLook w:val="04A0" w:firstRow="1" w:lastRow="0" w:firstColumn="1" w:lastColumn="0" w:noHBand="0" w:noVBand="1"/>
      </w:tblPr>
      <w:tblGrid>
        <w:gridCol w:w="10682"/>
      </w:tblGrid>
      <w:tr w:rsidR="00007BFF" w:rsidRPr="00B271DB" w14:paraId="7030BF11" w14:textId="77777777" w:rsidTr="005279BC">
        <w:tc>
          <w:tcPr>
            <w:tcW w:w="10790" w:type="dxa"/>
          </w:tcPr>
          <w:p w14:paraId="1028769C" w14:textId="40BC8EB1" w:rsidR="003A71B9" w:rsidRDefault="002C4CB8" w:rsidP="0056090F">
            <w:pPr>
              <w:spacing w:after="0" w:line="240" w:lineRule="auto"/>
              <w:jc w:val="both"/>
              <w:outlineLvl w:val="1"/>
              <w:rPr>
                <w:rFonts w:asciiTheme="minorHAnsi" w:hAnsiTheme="minorHAnsi" w:cstheme="minorHAnsi"/>
              </w:rPr>
            </w:pPr>
            <w:r w:rsidRPr="002C4CB8">
              <w:rPr>
                <w:rFonts w:asciiTheme="minorHAnsi" w:hAnsiTheme="minorHAnsi" w:cstheme="minorHAnsi"/>
              </w:rPr>
              <w:t xml:space="preserve">The country has taken bold steps towards the transition from the GF to domestic funding by annually increasing the allocations from the government budget to TB Service, as evidenced in the </w:t>
            </w:r>
            <w:r w:rsidRPr="002C4CB8">
              <w:rPr>
                <w:rFonts w:asciiTheme="minorHAnsi" w:hAnsiTheme="minorHAnsi" w:cstheme="minorHAnsi"/>
                <w:i/>
              </w:rPr>
              <w:t>co-financing commitments</w:t>
            </w:r>
            <w:r w:rsidRPr="002C4CB8">
              <w:rPr>
                <w:rFonts w:asciiTheme="minorHAnsi" w:hAnsiTheme="minorHAnsi" w:cstheme="minorHAnsi"/>
              </w:rPr>
              <w:t xml:space="preserve"> paragraph. However, a few challenges and risks may adversely affect the national response; some are detailed under </w:t>
            </w:r>
            <w:r w:rsidRPr="002C4CB8">
              <w:rPr>
                <w:rFonts w:asciiTheme="minorHAnsi" w:hAnsiTheme="minorHAnsi" w:cstheme="minorHAnsi"/>
                <w:i/>
              </w:rPr>
              <w:t>the anticipated implementation risks</w:t>
            </w:r>
            <w:r w:rsidRPr="002C4CB8">
              <w:rPr>
                <w:rFonts w:asciiTheme="minorHAnsi" w:hAnsiTheme="minorHAnsi" w:cstheme="minorHAnsi"/>
              </w:rPr>
              <w:t xml:space="preserve"> paragraph of the funding request along with the mitigation strategies. Facing new realities linked to COVID-19 virus evolution or emerging new health threats might hamper TB service provision, overburden the healthcare </w:t>
            </w:r>
            <w:proofErr w:type="gramStart"/>
            <w:r w:rsidRPr="002C4CB8">
              <w:rPr>
                <w:rFonts w:asciiTheme="minorHAnsi" w:hAnsiTheme="minorHAnsi" w:cstheme="minorHAnsi"/>
              </w:rPr>
              <w:t>system</w:t>
            </w:r>
            <w:proofErr w:type="gramEnd"/>
            <w:r w:rsidRPr="002C4CB8">
              <w:rPr>
                <w:rFonts w:asciiTheme="minorHAnsi" w:hAnsiTheme="minorHAnsi" w:cstheme="minorHAnsi"/>
              </w:rPr>
              <w:t xml:space="preserve"> and redirect financial resources needed to absorb the cost of the GF grant-support</w:t>
            </w:r>
            <w:r w:rsidR="0014243A">
              <w:rPr>
                <w:rFonts w:asciiTheme="minorHAnsi" w:hAnsiTheme="minorHAnsi" w:cstheme="minorHAnsi"/>
              </w:rPr>
              <w:t>ed TB services including fulfil</w:t>
            </w:r>
            <w:r w:rsidRPr="002C4CB8">
              <w:rPr>
                <w:rFonts w:asciiTheme="minorHAnsi" w:hAnsiTheme="minorHAnsi" w:cstheme="minorHAnsi"/>
              </w:rPr>
              <w:t xml:space="preserve">ment of co-financing commitments. The ongoing pandemic or emerging diseases may cause macroeconomic instability, impacting budget and financial assurances, including the level of funds to be allocated to the NGO-led services. </w:t>
            </w:r>
          </w:p>
          <w:p w14:paraId="6DA34F78" w14:textId="77777777" w:rsidR="003A71B9" w:rsidRDefault="003A71B9" w:rsidP="0056090F">
            <w:pPr>
              <w:spacing w:after="0" w:line="240" w:lineRule="auto"/>
              <w:jc w:val="both"/>
              <w:outlineLvl w:val="1"/>
              <w:rPr>
                <w:rFonts w:asciiTheme="minorHAnsi" w:hAnsiTheme="minorHAnsi" w:cstheme="minorHAnsi"/>
              </w:rPr>
            </w:pPr>
          </w:p>
          <w:p w14:paraId="4F67F4D7" w14:textId="7346EF30" w:rsidR="00007BFF" w:rsidRPr="00B271DB" w:rsidRDefault="002C4CB8" w:rsidP="00114895">
            <w:pPr>
              <w:spacing w:after="0" w:line="240" w:lineRule="auto"/>
              <w:jc w:val="both"/>
              <w:outlineLvl w:val="1"/>
              <w:rPr>
                <w:rFonts w:cs="Arial"/>
              </w:rPr>
            </w:pPr>
            <w:r w:rsidRPr="002C4CB8">
              <w:rPr>
                <w:rFonts w:asciiTheme="minorHAnsi" w:hAnsiTheme="minorHAnsi" w:cstheme="minorHAnsi"/>
              </w:rPr>
              <w:t>There might also be challenges with the expansion of the OneImpact Kazakhstan application introduction linked with the quality of Internet connection in some remote regions of the country, data privacy issues by adding a module on VST, and the costs associated with the application maintenance when the GF support will be end</w:t>
            </w:r>
            <w:r w:rsidR="003A71B9">
              <w:rPr>
                <w:rFonts w:asciiTheme="minorHAnsi" w:hAnsiTheme="minorHAnsi" w:cstheme="minorHAnsi"/>
              </w:rPr>
              <w:t xml:space="preserve">ed. </w:t>
            </w:r>
            <w:r w:rsidR="00114895" w:rsidRPr="00114895">
              <w:rPr>
                <w:rFonts w:asciiTheme="minorHAnsi" w:hAnsiTheme="minorHAnsi" w:cstheme="minorHAnsi"/>
              </w:rPr>
              <w:t xml:space="preserve">The NTP will use the existing mechanisms and rationalize the maintenance expenses. In parallel, the efforts will be continued to ensure that the state takes </w:t>
            </w:r>
            <w:r w:rsidR="00D92C34">
              <w:rPr>
                <w:rFonts w:asciiTheme="minorHAnsi" w:hAnsiTheme="minorHAnsi" w:cstheme="minorHAnsi"/>
              </w:rPr>
              <w:t>co-</w:t>
            </w:r>
            <w:r w:rsidR="00114895" w:rsidRPr="00114895">
              <w:rPr>
                <w:rFonts w:asciiTheme="minorHAnsi" w:hAnsiTheme="minorHAnsi" w:cstheme="minorHAnsi"/>
              </w:rPr>
              <w:t>funding responsibili</w:t>
            </w:r>
            <w:r w:rsidR="00F2072D">
              <w:rPr>
                <w:rFonts w:asciiTheme="minorHAnsi" w:hAnsiTheme="minorHAnsi" w:cstheme="minorHAnsi"/>
              </w:rPr>
              <w:t>ty for the inputs and guarantee</w:t>
            </w:r>
            <w:r w:rsidR="00114895" w:rsidRPr="00114895">
              <w:rPr>
                <w:rFonts w:asciiTheme="minorHAnsi" w:hAnsiTheme="minorHAnsi" w:cstheme="minorHAnsi"/>
              </w:rPr>
              <w:t xml:space="preserve"> interventions' sustainability.</w:t>
            </w:r>
          </w:p>
        </w:tc>
      </w:tr>
    </w:tbl>
    <w:p w14:paraId="191ED7DA" w14:textId="77777777" w:rsidR="00007BFF" w:rsidRPr="00B271DB" w:rsidRDefault="00007BFF" w:rsidP="005E6229">
      <w:pPr>
        <w:pStyle w:val="affff3"/>
        <w:ind w:left="360"/>
      </w:pPr>
    </w:p>
    <w:p w14:paraId="6228BDE3" w14:textId="14BC6B03" w:rsidR="00007BFF" w:rsidRPr="007364E8" w:rsidRDefault="00007BFF" w:rsidP="002B4EA3">
      <w:pPr>
        <w:pStyle w:val="affff3"/>
        <w:numPr>
          <w:ilvl w:val="0"/>
          <w:numId w:val="22"/>
        </w:numPr>
        <w:spacing w:after="160" w:line="260" w:lineRule="atLeast"/>
        <w:jc w:val="both"/>
      </w:pPr>
      <w:r w:rsidRPr="007364E8">
        <w:t>If you have developed and implemented a transition workplan in the current allocation cycle, provide a status</w:t>
      </w:r>
      <w:r w:rsidRPr="007364E8">
        <w:rPr>
          <w:b/>
        </w:rPr>
        <w:t xml:space="preserve"> update</w:t>
      </w:r>
      <w:r w:rsidRPr="007364E8">
        <w:t xml:space="preserve"> as to what has been achieved.</w:t>
      </w:r>
    </w:p>
    <w:p w14:paraId="0DFEC9C8" w14:textId="77777777" w:rsidR="00007BFF" w:rsidRPr="00B271DB" w:rsidRDefault="00007BFF" w:rsidP="00485066">
      <w:pPr>
        <w:pStyle w:val="affff3"/>
        <w:spacing w:before="120" w:after="0" w:line="240" w:lineRule="auto"/>
        <w:ind w:left="0"/>
        <w:jc w:val="both"/>
        <w:rPr>
          <w:rFonts w:cs="Arial"/>
          <w:bCs/>
          <w:iCs/>
        </w:rPr>
      </w:pPr>
    </w:p>
    <w:tbl>
      <w:tblPr>
        <w:tblStyle w:val="aa"/>
        <w:tblW w:w="0" w:type="auto"/>
        <w:tblLook w:val="04A0" w:firstRow="1" w:lastRow="0" w:firstColumn="1" w:lastColumn="0" w:noHBand="0" w:noVBand="1"/>
      </w:tblPr>
      <w:tblGrid>
        <w:gridCol w:w="10682"/>
      </w:tblGrid>
      <w:tr w:rsidR="00007BFF" w:rsidRPr="00B271DB" w14:paraId="6B5C2BAD" w14:textId="77777777" w:rsidTr="005279BC">
        <w:tc>
          <w:tcPr>
            <w:tcW w:w="10790" w:type="dxa"/>
          </w:tcPr>
          <w:p w14:paraId="3F611171" w14:textId="00512420" w:rsidR="00895F59" w:rsidRPr="006B618A" w:rsidRDefault="00895F59" w:rsidP="00143B29">
            <w:pPr>
              <w:spacing w:before="120" w:after="0" w:line="240" w:lineRule="auto"/>
              <w:ind w:left="6" w:right="40"/>
              <w:jc w:val="both"/>
              <w:rPr>
                <w:rFonts w:cs="Arial"/>
              </w:rPr>
            </w:pPr>
            <w:r w:rsidRPr="006B618A">
              <w:rPr>
                <w:rFonts w:cs="Arial"/>
              </w:rPr>
              <w:t xml:space="preserve">Kazakhstan TB transition plan covers 2019-2022, which is the process of completion. The country will continue improving its transition preparedness beyond 2022 and develop another plan for the next GF grant period. </w:t>
            </w:r>
            <w:r w:rsidR="00296248" w:rsidRPr="006B618A">
              <w:rPr>
                <w:rFonts w:cs="Arial"/>
              </w:rPr>
              <w:t xml:space="preserve">The 2023-2025 activities relevant to sustainability and transition will be reflected in the </w:t>
            </w:r>
            <w:r w:rsidR="0068171B" w:rsidRPr="006B618A">
              <w:rPr>
                <w:rFonts w:cs="Arial"/>
              </w:rPr>
              <w:t>roadmap</w:t>
            </w:r>
            <w:r w:rsidR="000B793D" w:rsidRPr="006B618A">
              <w:rPr>
                <w:rFonts w:cs="Arial"/>
              </w:rPr>
              <w:t xml:space="preserve"> of the TB control strategy for 2022-2026</w:t>
            </w:r>
            <w:r w:rsidR="00296248" w:rsidRPr="006B618A">
              <w:rPr>
                <w:rFonts w:cs="Arial"/>
              </w:rPr>
              <w:t>.</w:t>
            </w:r>
            <w:r w:rsidR="00315C39" w:rsidRPr="006B618A">
              <w:rPr>
                <w:rFonts w:cs="Arial"/>
              </w:rPr>
              <w:t xml:space="preserve"> </w:t>
            </w:r>
            <w:r w:rsidRPr="006B618A">
              <w:rPr>
                <w:rFonts w:cs="Arial"/>
              </w:rPr>
              <w:t xml:space="preserve">The status update on what the country has achieved since 2019 is presented in </w:t>
            </w:r>
            <w:r w:rsidR="0050082E">
              <w:rPr>
                <w:rFonts w:cs="Arial"/>
                <w:i/>
              </w:rPr>
              <w:t xml:space="preserve">Appendix </w:t>
            </w:r>
            <w:r w:rsidRPr="006B618A">
              <w:rPr>
                <w:rFonts w:cs="Arial"/>
                <w:i/>
              </w:rPr>
              <w:t>1a</w:t>
            </w:r>
            <w:r w:rsidRPr="006B618A">
              <w:rPr>
                <w:rFonts w:cs="Arial"/>
              </w:rPr>
              <w:t>, by highlighting future needs.</w:t>
            </w:r>
          </w:p>
          <w:p w14:paraId="5DF47FD0" w14:textId="77777777" w:rsidR="00895F59" w:rsidRPr="006B618A" w:rsidRDefault="00895F59" w:rsidP="00143B29">
            <w:pPr>
              <w:spacing w:after="0" w:line="240" w:lineRule="auto"/>
              <w:ind w:left="6" w:right="40"/>
              <w:jc w:val="both"/>
              <w:rPr>
                <w:rFonts w:cs="Arial"/>
              </w:rPr>
            </w:pPr>
          </w:p>
          <w:p w14:paraId="1BB93E15" w14:textId="2FF7770E" w:rsidR="00143B29" w:rsidRPr="006B618A" w:rsidRDefault="00143B29" w:rsidP="00143B29">
            <w:pPr>
              <w:spacing w:after="0" w:line="240" w:lineRule="auto"/>
              <w:jc w:val="both"/>
              <w:rPr>
                <w:rFonts w:cs="Arial"/>
              </w:rPr>
            </w:pPr>
            <w:r w:rsidRPr="006B618A">
              <w:rPr>
                <w:rFonts w:cs="Arial"/>
              </w:rPr>
              <w:t xml:space="preserve">More than half of the planned activities in the country's sustainability and preparedness Plan for the transition to domestic financing has been completed already. The remaining interventions are either in the completion stage or marked </w:t>
            </w:r>
            <w:proofErr w:type="gramStart"/>
            <w:r w:rsidRPr="006B618A">
              <w:rPr>
                <w:rFonts w:cs="Arial"/>
              </w:rPr>
              <w:t>as yet</w:t>
            </w:r>
            <w:proofErr w:type="gramEnd"/>
            <w:r w:rsidRPr="006B618A">
              <w:rPr>
                <w:rFonts w:cs="Arial"/>
              </w:rPr>
              <w:t xml:space="preserve"> ongoing. There were several needs identified, which are reflected in the funding request before full takeover to internal funding, linked primarily with the adoption of the latest recommendations of the WHO and technical partners on TB diagnosis and treatment, LTBI case management, and the need in the well-functioning system of active monitoring of the safety of medicines and the NTP capacity building. </w:t>
            </w:r>
          </w:p>
          <w:p w14:paraId="1431D59F" w14:textId="77777777" w:rsidR="00143B29" w:rsidRPr="006B618A" w:rsidRDefault="00143B29" w:rsidP="00143B29">
            <w:pPr>
              <w:spacing w:after="0" w:line="240" w:lineRule="auto"/>
              <w:jc w:val="both"/>
              <w:rPr>
                <w:rFonts w:cs="Arial"/>
              </w:rPr>
            </w:pPr>
          </w:p>
          <w:p w14:paraId="6A78CCDA" w14:textId="4B55DC99" w:rsidR="00143B29" w:rsidRPr="006B618A" w:rsidRDefault="00143B29" w:rsidP="00E62F88">
            <w:pPr>
              <w:spacing w:after="0" w:line="240" w:lineRule="auto"/>
              <w:jc w:val="both"/>
              <w:rPr>
                <w:rFonts w:cs="Arial"/>
              </w:rPr>
            </w:pPr>
            <w:r w:rsidRPr="006B618A">
              <w:rPr>
                <w:rFonts w:cs="Arial"/>
              </w:rPr>
              <w:t>Though the national legislation provides a solid basis for social contracting, the experiences are fragmented, inadequately funded, requiring further advocacy efforts and tools and mechanisms to be in place before the complete takeover to the internal financing</w:t>
            </w:r>
            <w:r w:rsidR="00E62F88" w:rsidRPr="006B618A">
              <w:rPr>
                <w:rFonts w:cs="Arial"/>
              </w:rPr>
              <w:t>. In 2020 and the beginning of 2021, the local governments have mobilized resources to provide emergency assistance to vulnerable families more impacted by the pandemic</w:t>
            </w:r>
            <w:r w:rsidR="006E2136">
              <w:rPr>
                <w:rFonts w:cs="Arial"/>
              </w:rPr>
              <w:t xml:space="preserve"> and </w:t>
            </w:r>
            <w:r w:rsidR="002E7BDE">
              <w:rPr>
                <w:rFonts w:cs="Arial"/>
              </w:rPr>
              <w:t xml:space="preserve">the local </w:t>
            </w:r>
            <w:r w:rsidR="006E2136">
              <w:rPr>
                <w:rFonts w:cs="Arial"/>
              </w:rPr>
              <w:t>COVID-19 responce</w:t>
            </w:r>
            <w:r w:rsidR="00E62F88" w:rsidRPr="006B618A">
              <w:rPr>
                <w:rFonts w:cs="Arial"/>
              </w:rPr>
              <w:t xml:space="preserve">, and limited resources were made available to fund NGO-led activities in TB or HIV control. </w:t>
            </w:r>
          </w:p>
          <w:p w14:paraId="3757BA49" w14:textId="77777777" w:rsidR="00143B29" w:rsidRPr="006B618A" w:rsidRDefault="00143B29" w:rsidP="00143B29">
            <w:pPr>
              <w:spacing w:after="0" w:line="240" w:lineRule="auto"/>
              <w:jc w:val="both"/>
              <w:rPr>
                <w:rFonts w:cs="Arial"/>
              </w:rPr>
            </w:pPr>
          </w:p>
          <w:p w14:paraId="78EE0717" w14:textId="351CAF0B" w:rsidR="00143B29" w:rsidRPr="006B618A" w:rsidRDefault="00143B29" w:rsidP="00143B29">
            <w:pPr>
              <w:spacing w:after="0" w:line="240" w:lineRule="auto"/>
              <w:jc w:val="both"/>
              <w:rPr>
                <w:rFonts w:cs="Arial"/>
              </w:rPr>
            </w:pPr>
            <w:r w:rsidRPr="006B618A">
              <w:rPr>
                <w:rFonts w:cs="Arial"/>
              </w:rPr>
              <w:t>By 2022, efforts will be directed to accomplish the objectives o</w:t>
            </w:r>
            <w:r w:rsidR="00DF642E" w:rsidRPr="006B618A">
              <w:rPr>
                <w:rFonts w:cs="Arial"/>
              </w:rPr>
              <w:t>f the present Plan, ensuring further</w:t>
            </w:r>
            <w:r w:rsidRPr="006B618A">
              <w:rPr>
                <w:rFonts w:cs="Arial"/>
              </w:rPr>
              <w:t xml:space="preserve"> development of sustainable capacities and resources. It was supposed to make amendments to the respective orders regulating and financing CCES that would allow purchasing the WHO recommended regimens for DR-TB patients from the budgetary funds allocated to the penitentiary sector. However, in 2021, the government of Kazakhstan has initiated the process of transition of the CCES Health Service from the Ministry of Internal Affairs to the civil sector under the MoH and regional health departments by assuring the budget for required medicines in 2022. It will require adapting legislative acts to ensure a phased handover of the functions from the CCES to the MoH and transferring medical institutions from the penitentiary system to the health sector.  </w:t>
            </w:r>
          </w:p>
          <w:p w14:paraId="2874165C" w14:textId="77777777" w:rsidR="00DF642E" w:rsidRPr="006B618A" w:rsidRDefault="00DF642E" w:rsidP="00143B29">
            <w:pPr>
              <w:spacing w:after="0" w:line="240" w:lineRule="auto"/>
              <w:jc w:val="both"/>
              <w:rPr>
                <w:rFonts w:cs="Arial"/>
              </w:rPr>
            </w:pPr>
          </w:p>
          <w:p w14:paraId="5FE4D16A" w14:textId="07BC6F50" w:rsidR="00A37D68" w:rsidRPr="006B618A" w:rsidRDefault="00EC5EDE" w:rsidP="00A37D68">
            <w:pPr>
              <w:spacing w:after="0" w:line="240" w:lineRule="auto"/>
              <w:jc w:val="both"/>
              <w:rPr>
                <w:rFonts w:cs="Arial"/>
              </w:rPr>
            </w:pPr>
            <w:proofErr w:type="gramStart"/>
            <w:r w:rsidRPr="006B618A">
              <w:rPr>
                <w:rFonts w:cs="Arial"/>
              </w:rPr>
              <w:t>The robust regulatory framework,</w:t>
            </w:r>
            <w:proofErr w:type="gramEnd"/>
            <w:r w:rsidRPr="006B618A">
              <w:rPr>
                <w:rFonts w:cs="Arial"/>
              </w:rPr>
              <w:t xml:space="preserve"> adopted mid-term national health and TB control strategies, substantial political will, committed financing, quality TB integrated </w:t>
            </w:r>
            <w:r w:rsidR="00DF1353" w:rsidRPr="006B618A">
              <w:rPr>
                <w:rFonts w:cs="Arial"/>
              </w:rPr>
              <w:t xml:space="preserve">services provision at the PHC, </w:t>
            </w:r>
            <w:r w:rsidRPr="006B618A">
              <w:rPr>
                <w:rFonts w:cs="Arial"/>
              </w:rPr>
              <w:t xml:space="preserve">well-developed institutional framework for NTP management and coordination, the GF effective support create a favorable environment for a smooth and sustainable transition. </w:t>
            </w:r>
          </w:p>
          <w:p w14:paraId="500988E0" w14:textId="50D03DEF" w:rsidR="00EC5EDE" w:rsidRPr="00A37D68" w:rsidRDefault="00EC5EDE" w:rsidP="00A37D68">
            <w:pPr>
              <w:spacing w:after="0" w:line="240" w:lineRule="auto"/>
              <w:jc w:val="both"/>
              <w:rPr>
                <w:rFonts w:cs="Arial"/>
                <w:color w:val="3366FF"/>
              </w:rPr>
            </w:pPr>
          </w:p>
        </w:tc>
      </w:tr>
    </w:tbl>
    <w:p w14:paraId="4A0472B9" w14:textId="77777777" w:rsidR="00007BFF" w:rsidRPr="00B271DB" w:rsidRDefault="00007BFF" w:rsidP="00485066">
      <w:pPr>
        <w:pStyle w:val="affff3"/>
        <w:ind w:left="360"/>
      </w:pPr>
    </w:p>
    <w:p w14:paraId="27B20C2F" w14:textId="77777777" w:rsidR="00007BFF" w:rsidRPr="00B271DB" w:rsidRDefault="00007BFF" w:rsidP="00485066">
      <w:pPr>
        <w:pStyle w:val="affff3"/>
        <w:spacing w:before="120" w:after="0" w:line="240" w:lineRule="auto"/>
        <w:ind w:left="0"/>
        <w:jc w:val="both"/>
        <w:rPr>
          <w:rFonts w:cs="Arial"/>
          <w:bCs/>
          <w:iCs/>
        </w:rPr>
      </w:pPr>
    </w:p>
    <w:p w14:paraId="748A2CE8" w14:textId="77777777" w:rsidR="00007BFF" w:rsidRPr="00B271DB" w:rsidRDefault="00007BFF" w:rsidP="00485066">
      <w:pPr>
        <w:pStyle w:val="affff3"/>
        <w:spacing w:before="120" w:after="0" w:line="240" w:lineRule="auto"/>
        <w:jc w:val="both"/>
        <w:rPr>
          <w:rFonts w:cs="Arial"/>
          <w:bCs/>
          <w:iCs/>
        </w:rPr>
      </w:pPr>
    </w:p>
    <w:p w14:paraId="73E9A535" w14:textId="77777777" w:rsidR="00007BFF" w:rsidRPr="00B271DB" w:rsidRDefault="00007BFF">
      <w:pPr>
        <w:spacing w:after="160" w:line="0" w:lineRule="auto"/>
        <w:rPr>
          <w:rFonts w:cs="Arial"/>
          <w:bCs/>
          <w:iCs/>
        </w:rPr>
      </w:pPr>
      <w:r w:rsidRPr="00B271DB">
        <w:rPr>
          <w:rFonts w:cs="Arial"/>
          <w:bCs/>
          <w:iCs/>
        </w:rPr>
        <w:br w:type="page"/>
      </w:r>
    </w:p>
    <w:p w14:paraId="05E80D74" w14:textId="3B69D4AF" w:rsidR="00007BFF" w:rsidRPr="00B271DB" w:rsidRDefault="00007BFF" w:rsidP="00193EB0">
      <w:pPr>
        <w:pStyle w:val="1"/>
        <w:numPr>
          <w:ilvl w:val="0"/>
          <w:numId w:val="0"/>
        </w:numPr>
        <w:pBdr>
          <w:top w:val="single" w:sz="4" w:space="0"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D9D9D9" w:themeFill="background1" w:themeFillShade="D9"/>
        <w:spacing w:before="0" w:after="0"/>
        <w:ind w:left="567" w:hanging="567"/>
        <w:rPr>
          <w:b/>
          <w:lang w:val="fr-CH"/>
        </w:rPr>
      </w:pPr>
      <w:r w:rsidRPr="00B271DB">
        <w:rPr>
          <w:b/>
          <w:lang w:val="fr-CH"/>
        </w:rPr>
        <w:t xml:space="preserve">Annex </w:t>
      </w:r>
      <w:r>
        <w:rPr>
          <w:b/>
          <w:lang w:val="fr-CH"/>
        </w:rPr>
        <w:t>1</w:t>
      </w:r>
      <w:r w:rsidRPr="00B271DB">
        <w:rPr>
          <w:b/>
          <w:lang w:val="fr-CH"/>
        </w:rPr>
        <w:t>: Documents Checklist</w:t>
      </w:r>
    </w:p>
    <w:p w14:paraId="3258BF2F" w14:textId="77777777" w:rsidR="00007BFF" w:rsidRDefault="00007BFF" w:rsidP="004619FD">
      <w:pPr>
        <w:pStyle w:val="affff3"/>
        <w:spacing w:line="360" w:lineRule="auto"/>
        <w:ind w:left="0"/>
        <w:rPr>
          <w:rFonts w:cs="Arial"/>
        </w:rPr>
      </w:pPr>
    </w:p>
    <w:p w14:paraId="1B05CBD7" w14:textId="7D8D1824" w:rsidR="00007BFF" w:rsidRDefault="00007BFF" w:rsidP="004619FD">
      <w:pPr>
        <w:pStyle w:val="affff3"/>
        <w:spacing w:line="360" w:lineRule="auto"/>
        <w:ind w:left="0"/>
        <w:rPr>
          <w:rFonts w:cs="Arial"/>
        </w:rPr>
      </w:pPr>
      <w:r w:rsidRPr="00B271DB">
        <w:rPr>
          <w:rFonts w:cs="Arial"/>
        </w:rPr>
        <w:t>Use the list below to verify the completeness of your application package:</w:t>
      </w:r>
    </w:p>
    <w:tbl>
      <w:tblPr>
        <w:tblStyle w:val="TableGrid2"/>
        <w:tblpPr w:leftFromText="180" w:rightFromText="180" w:vertAnchor="text" w:tblpY="1"/>
        <w:tblOverlap w:val="never"/>
        <w:tblW w:w="102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67"/>
        <w:gridCol w:w="9688"/>
      </w:tblGrid>
      <w:tr w:rsidR="00007BFF" w:rsidRPr="0098274C" w14:paraId="2A2CC4CD" w14:textId="77777777" w:rsidTr="006810B2">
        <w:trPr>
          <w:trHeight w:val="567"/>
        </w:trPr>
        <w:tc>
          <w:tcPr>
            <w:tcW w:w="567" w:type="dxa"/>
            <w:shd w:val="clear" w:color="auto" w:fill="auto"/>
            <w:vAlign w:val="center"/>
          </w:tcPr>
          <w:p w14:paraId="14EF1921" w14:textId="77777777" w:rsidR="00007BFF" w:rsidRPr="007B1F00" w:rsidRDefault="00226154" w:rsidP="006810B2">
            <w:pPr>
              <w:rPr>
                <w:rFonts w:asciiTheme="minorHAnsi" w:hAnsiTheme="minorHAnsi" w:cstheme="minorHAnsi"/>
                <w:sz w:val="22"/>
                <w:szCs w:val="22"/>
              </w:rPr>
            </w:pPr>
            <w:sdt>
              <w:sdtPr>
                <w:rPr>
                  <w:rFonts w:asciiTheme="minorHAnsi" w:hAnsiTheme="minorHAnsi" w:cstheme="minorHAnsi"/>
                </w:rPr>
                <w:id w:val="-180662496"/>
                <w14:checkbox>
                  <w14:checked w14:val="0"/>
                  <w14:checkedState w14:val="2612" w14:font="MS Gothic"/>
                  <w14:uncheckedState w14:val="2610" w14:font="MS Gothic"/>
                </w14:checkbox>
              </w:sdtPr>
              <w:sdtEndPr/>
              <w:sdtContent>
                <w:r w:rsidR="00007BFF" w:rsidRPr="007B1F00">
                  <w:rPr>
                    <w:rFonts w:ascii="Segoe UI Symbol" w:eastAsia="MS Gothic" w:hAnsi="Segoe UI Symbol" w:cs="Segoe UI Symbol"/>
                    <w:sz w:val="22"/>
                    <w:szCs w:val="22"/>
                  </w:rPr>
                  <w:t>☐</w:t>
                </w:r>
              </w:sdtContent>
            </w:sdt>
          </w:p>
        </w:tc>
        <w:tc>
          <w:tcPr>
            <w:tcW w:w="9688" w:type="dxa"/>
            <w:vAlign w:val="center"/>
          </w:tcPr>
          <w:p w14:paraId="33A3B392" w14:textId="77777777" w:rsidR="00007BFF" w:rsidRPr="00B74DAA" w:rsidRDefault="00007BFF" w:rsidP="006810B2">
            <w:pPr>
              <w:rPr>
                <w:rFonts w:ascii="Arial" w:hAnsi="Arial"/>
                <w:sz w:val="22"/>
                <w:szCs w:val="22"/>
              </w:rPr>
            </w:pPr>
            <w:r w:rsidRPr="00B74DAA">
              <w:rPr>
                <w:rFonts w:ascii="Arial" w:hAnsi="Arial" w:cstheme="minorBidi"/>
              </w:rPr>
              <w:t>Funding Request Form</w:t>
            </w:r>
          </w:p>
        </w:tc>
      </w:tr>
      <w:tr w:rsidR="00007BFF" w:rsidRPr="0098274C" w14:paraId="799804E6" w14:textId="77777777" w:rsidTr="006810B2">
        <w:trPr>
          <w:trHeight w:val="567"/>
        </w:trPr>
        <w:tc>
          <w:tcPr>
            <w:tcW w:w="567" w:type="dxa"/>
            <w:shd w:val="clear" w:color="auto" w:fill="auto"/>
            <w:vAlign w:val="center"/>
          </w:tcPr>
          <w:p w14:paraId="1286C15F" w14:textId="77777777" w:rsidR="00007BFF" w:rsidRPr="007B1F00" w:rsidRDefault="00226154" w:rsidP="006810B2">
            <w:pPr>
              <w:rPr>
                <w:rFonts w:asciiTheme="minorHAnsi" w:hAnsiTheme="minorHAnsi" w:cstheme="minorHAnsi"/>
                <w:sz w:val="22"/>
                <w:szCs w:val="22"/>
              </w:rPr>
            </w:pPr>
            <w:sdt>
              <w:sdtPr>
                <w:rPr>
                  <w:rFonts w:asciiTheme="minorHAnsi" w:hAnsiTheme="minorHAnsi" w:cstheme="minorHAnsi"/>
                </w:rPr>
                <w:id w:val="-797372883"/>
                <w14:checkbox>
                  <w14:checked w14:val="0"/>
                  <w14:checkedState w14:val="2612" w14:font="MS Gothic"/>
                  <w14:uncheckedState w14:val="2610" w14:font="MS Gothic"/>
                </w14:checkbox>
              </w:sdtPr>
              <w:sdtEndPr/>
              <w:sdtContent>
                <w:r w:rsidR="00007BFF" w:rsidRPr="007B1F00">
                  <w:rPr>
                    <w:rFonts w:ascii="Segoe UI Symbol" w:hAnsi="Segoe UI Symbol" w:cs="Segoe UI Symbol"/>
                    <w:sz w:val="22"/>
                    <w:szCs w:val="22"/>
                  </w:rPr>
                  <w:t>☐</w:t>
                </w:r>
              </w:sdtContent>
            </w:sdt>
          </w:p>
        </w:tc>
        <w:tc>
          <w:tcPr>
            <w:tcW w:w="9688" w:type="dxa"/>
            <w:vAlign w:val="center"/>
          </w:tcPr>
          <w:p w14:paraId="56B50545" w14:textId="77777777" w:rsidR="00007BFF" w:rsidRPr="00B74DAA" w:rsidRDefault="00007BFF" w:rsidP="006810B2">
            <w:pPr>
              <w:rPr>
                <w:rFonts w:ascii="Arial" w:hAnsi="Arial"/>
                <w:b/>
                <w:sz w:val="22"/>
                <w:szCs w:val="22"/>
              </w:rPr>
            </w:pPr>
            <w:r w:rsidRPr="00B74DAA">
              <w:rPr>
                <w:rFonts w:ascii="Arial" w:hAnsi="Arial" w:cstheme="minorBidi"/>
                <w:lang w:eastAsia="zh-CN"/>
              </w:rPr>
              <w:t>Programmatic Gap Table(s)</w:t>
            </w:r>
          </w:p>
        </w:tc>
      </w:tr>
      <w:tr w:rsidR="00007BFF" w:rsidRPr="0098274C" w14:paraId="6DCCCCFB" w14:textId="77777777" w:rsidTr="006810B2">
        <w:trPr>
          <w:trHeight w:val="567"/>
        </w:trPr>
        <w:tc>
          <w:tcPr>
            <w:tcW w:w="567" w:type="dxa"/>
            <w:shd w:val="clear" w:color="auto" w:fill="auto"/>
            <w:vAlign w:val="center"/>
          </w:tcPr>
          <w:p w14:paraId="5800EDC7" w14:textId="77777777" w:rsidR="00007BFF" w:rsidRPr="007B1F00" w:rsidRDefault="00226154" w:rsidP="006810B2">
            <w:pPr>
              <w:rPr>
                <w:rFonts w:asciiTheme="minorHAnsi" w:hAnsiTheme="minorHAnsi" w:cstheme="minorHAnsi"/>
                <w:sz w:val="22"/>
                <w:szCs w:val="22"/>
              </w:rPr>
            </w:pPr>
            <w:sdt>
              <w:sdtPr>
                <w:rPr>
                  <w:rFonts w:asciiTheme="minorHAnsi" w:hAnsiTheme="minorHAnsi" w:cstheme="minorHAnsi"/>
                </w:rPr>
                <w:id w:val="254638760"/>
                <w14:checkbox>
                  <w14:checked w14:val="0"/>
                  <w14:checkedState w14:val="2612" w14:font="MS Gothic"/>
                  <w14:uncheckedState w14:val="2610" w14:font="MS Gothic"/>
                </w14:checkbox>
              </w:sdtPr>
              <w:sdtEndPr/>
              <w:sdtContent>
                <w:r w:rsidR="00007BFF" w:rsidRPr="007B1F00">
                  <w:rPr>
                    <w:rFonts w:ascii="Segoe UI Symbol" w:hAnsi="Segoe UI Symbol" w:cs="Segoe UI Symbol"/>
                    <w:sz w:val="22"/>
                    <w:szCs w:val="22"/>
                  </w:rPr>
                  <w:t>☐</w:t>
                </w:r>
              </w:sdtContent>
            </w:sdt>
          </w:p>
        </w:tc>
        <w:tc>
          <w:tcPr>
            <w:tcW w:w="9688" w:type="dxa"/>
            <w:vAlign w:val="center"/>
          </w:tcPr>
          <w:p w14:paraId="36AEDFCF" w14:textId="77777777" w:rsidR="00007BFF" w:rsidRPr="00B74DAA" w:rsidRDefault="00007BFF" w:rsidP="006810B2">
            <w:pPr>
              <w:rPr>
                <w:rFonts w:ascii="Arial" w:hAnsi="Arial"/>
                <w:b/>
                <w:sz w:val="22"/>
                <w:szCs w:val="22"/>
              </w:rPr>
            </w:pPr>
            <w:r w:rsidRPr="00B74DAA">
              <w:rPr>
                <w:rFonts w:ascii="Arial" w:hAnsi="Arial" w:cstheme="minorBidi"/>
              </w:rPr>
              <w:t>Funding Landscape Table(s)</w:t>
            </w:r>
          </w:p>
        </w:tc>
      </w:tr>
      <w:tr w:rsidR="00007BFF" w:rsidRPr="0098274C" w14:paraId="33424CB1" w14:textId="77777777" w:rsidTr="006810B2">
        <w:trPr>
          <w:trHeight w:val="567"/>
        </w:trPr>
        <w:tc>
          <w:tcPr>
            <w:tcW w:w="567" w:type="dxa"/>
            <w:shd w:val="clear" w:color="auto" w:fill="auto"/>
            <w:vAlign w:val="center"/>
          </w:tcPr>
          <w:p w14:paraId="64E0AFA5" w14:textId="77777777" w:rsidR="00007BFF" w:rsidRPr="007B1F00" w:rsidRDefault="00226154" w:rsidP="006810B2">
            <w:pPr>
              <w:rPr>
                <w:rFonts w:asciiTheme="minorHAnsi" w:hAnsiTheme="minorHAnsi" w:cstheme="minorHAnsi"/>
                <w:sz w:val="22"/>
                <w:szCs w:val="22"/>
              </w:rPr>
            </w:pPr>
            <w:sdt>
              <w:sdtPr>
                <w:rPr>
                  <w:rFonts w:asciiTheme="minorHAnsi" w:hAnsiTheme="minorHAnsi" w:cstheme="minorHAnsi"/>
                </w:rPr>
                <w:id w:val="189352396"/>
                <w14:checkbox>
                  <w14:checked w14:val="0"/>
                  <w14:checkedState w14:val="2612" w14:font="MS Gothic"/>
                  <w14:uncheckedState w14:val="2610" w14:font="MS Gothic"/>
                </w14:checkbox>
              </w:sdtPr>
              <w:sdtEndPr/>
              <w:sdtContent>
                <w:r w:rsidR="00007BFF" w:rsidRPr="007B1F00">
                  <w:rPr>
                    <w:rFonts w:ascii="Segoe UI Symbol" w:hAnsi="Segoe UI Symbol" w:cs="Segoe UI Symbol"/>
                    <w:sz w:val="22"/>
                    <w:szCs w:val="22"/>
                  </w:rPr>
                  <w:t>☐</w:t>
                </w:r>
              </w:sdtContent>
            </w:sdt>
          </w:p>
        </w:tc>
        <w:tc>
          <w:tcPr>
            <w:tcW w:w="9688" w:type="dxa"/>
            <w:vAlign w:val="center"/>
          </w:tcPr>
          <w:p w14:paraId="1ABF2D87" w14:textId="77777777" w:rsidR="00007BFF" w:rsidRPr="00B74DAA" w:rsidRDefault="00007BFF" w:rsidP="006810B2">
            <w:pPr>
              <w:rPr>
                <w:rFonts w:ascii="Arial" w:hAnsi="Arial"/>
                <w:b/>
                <w:sz w:val="22"/>
                <w:szCs w:val="22"/>
              </w:rPr>
            </w:pPr>
            <w:r w:rsidRPr="00B74DAA">
              <w:rPr>
                <w:rFonts w:ascii="Arial" w:hAnsi="Arial" w:cstheme="minorBidi"/>
              </w:rPr>
              <w:t>Performance Framework</w:t>
            </w:r>
          </w:p>
        </w:tc>
      </w:tr>
      <w:tr w:rsidR="00007BFF" w:rsidRPr="0098274C" w14:paraId="30892731" w14:textId="77777777" w:rsidTr="006810B2">
        <w:trPr>
          <w:trHeight w:val="567"/>
        </w:trPr>
        <w:tc>
          <w:tcPr>
            <w:tcW w:w="567" w:type="dxa"/>
            <w:shd w:val="clear" w:color="auto" w:fill="auto"/>
            <w:vAlign w:val="center"/>
          </w:tcPr>
          <w:p w14:paraId="1184E211" w14:textId="77777777" w:rsidR="00007BFF" w:rsidRPr="007B1F00" w:rsidRDefault="00226154" w:rsidP="006810B2">
            <w:pPr>
              <w:rPr>
                <w:rFonts w:asciiTheme="minorHAnsi" w:hAnsiTheme="minorHAnsi" w:cstheme="minorHAnsi"/>
                <w:sz w:val="22"/>
                <w:szCs w:val="22"/>
              </w:rPr>
            </w:pPr>
            <w:sdt>
              <w:sdtPr>
                <w:rPr>
                  <w:rFonts w:asciiTheme="minorHAnsi" w:hAnsiTheme="minorHAnsi" w:cstheme="minorHAnsi"/>
                </w:rPr>
                <w:id w:val="595447511"/>
                <w14:checkbox>
                  <w14:checked w14:val="0"/>
                  <w14:checkedState w14:val="2612" w14:font="MS Gothic"/>
                  <w14:uncheckedState w14:val="2610" w14:font="MS Gothic"/>
                </w14:checkbox>
              </w:sdtPr>
              <w:sdtEndPr/>
              <w:sdtContent>
                <w:r w:rsidR="00007BFF" w:rsidRPr="007B1F00">
                  <w:rPr>
                    <w:rFonts w:ascii="Segoe UI Symbol" w:hAnsi="Segoe UI Symbol" w:cs="Segoe UI Symbol"/>
                    <w:sz w:val="22"/>
                    <w:szCs w:val="22"/>
                  </w:rPr>
                  <w:t>☐</w:t>
                </w:r>
              </w:sdtContent>
            </w:sdt>
          </w:p>
        </w:tc>
        <w:tc>
          <w:tcPr>
            <w:tcW w:w="9688" w:type="dxa"/>
            <w:shd w:val="clear" w:color="auto" w:fill="FFFFFF"/>
            <w:vAlign w:val="center"/>
          </w:tcPr>
          <w:p w14:paraId="31E16FC2" w14:textId="77777777" w:rsidR="00007BFF" w:rsidRPr="00B74DAA" w:rsidRDefault="00007BFF" w:rsidP="006810B2">
            <w:pPr>
              <w:rPr>
                <w:rFonts w:ascii="Arial" w:hAnsi="Arial"/>
                <w:sz w:val="22"/>
                <w:szCs w:val="22"/>
              </w:rPr>
            </w:pPr>
            <w:r w:rsidRPr="00B74DAA">
              <w:rPr>
                <w:rFonts w:ascii="Arial" w:hAnsi="Arial" w:cstheme="minorBidi"/>
              </w:rPr>
              <w:t>Budget</w:t>
            </w:r>
          </w:p>
        </w:tc>
      </w:tr>
      <w:tr w:rsidR="00007BFF" w:rsidRPr="0098274C" w14:paraId="5818DEE4" w14:textId="77777777" w:rsidTr="006810B2">
        <w:trPr>
          <w:trHeight w:val="567"/>
        </w:trPr>
        <w:tc>
          <w:tcPr>
            <w:tcW w:w="567" w:type="dxa"/>
            <w:shd w:val="clear" w:color="auto" w:fill="auto"/>
            <w:vAlign w:val="center"/>
          </w:tcPr>
          <w:p w14:paraId="18B141BE" w14:textId="77777777" w:rsidR="00007BFF" w:rsidRPr="007B1F00" w:rsidRDefault="00226154" w:rsidP="006810B2">
            <w:pPr>
              <w:rPr>
                <w:rFonts w:asciiTheme="minorHAnsi" w:hAnsiTheme="minorHAnsi" w:cstheme="minorHAnsi"/>
                <w:sz w:val="22"/>
                <w:szCs w:val="22"/>
              </w:rPr>
            </w:pPr>
            <w:sdt>
              <w:sdtPr>
                <w:rPr>
                  <w:rFonts w:asciiTheme="minorHAnsi" w:hAnsiTheme="minorHAnsi" w:cstheme="minorHAnsi"/>
                </w:rPr>
                <w:id w:val="-2051445561"/>
                <w14:checkbox>
                  <w14:checked w14:val="0"/>
                  <w14:checkedState w14:val="2612" w14:font="MS Gothic"/>
                  <w14:uncheckedState w14:val="2610" w14:font="MS Gothic"/>
                </w14:checkbox>
              </w:sdtPr>
              <w:sdtEndPr/>
              <w:sdtContent>
                <w:r w:rsidR="00007BFF" w:rsidRPr="007B1F00">
                  <w:rPr>
                    <w:rFonts w:ascii="Segoe UI Symbol" w:hAnsi="Segoe UI Symbol" w:cs="Segoe UI Symbol"/>
                    <w:sz w:val="22"/>
                    <w:szCs w:val="22"/>
                  </w:rPr>
                  <w:t>☐</w:t>
                </w:r>
              </w:sdtContent>
            </w:sdt>
          </w:p>
        </w:tc>
        <w:tc>
          <w:tcPr>
            <w:tcW w:w="9688" w:type="dxa"/>
            <w:vAlign w:val="center"/>
          </w:tcPr>
          <w:p w14:paraId="6333DFAD" w14:textId="77777777" w:rsidR="00007BFF" w:rsidRPr="00B74DAA" w:rsidRDefault="00007BFF" w:rsidP="006810B2">
            <w:pPr>
              <w:rPr>
                <w:rFonts w:ascii="Arial" w:hAnsi="Arial"/>
                <w:sz w:val="22"/>
                <w:szCs w:val="22"/>
              </w:rPr>
            </w:pPr>
            <w:r w:rsidRPr="00B74DAA">
              <w:rPr>
                <w:rFonts w:ascii="Arial" w:hAnsi="Arial" w:cstheme="minorBidi"/>
              </w:rPr>
              <w:t>Prioritized above allocation request (PAAR)</w:t>
            </w:r>
          </w:p>
        </w:tc>
      </w:tr>
      <w:tr w:rsidR="00007BFF" w:rsidRPr="0098274C" w14:paraId="6B993DCA" w14:textId="77777777" w:rsidTr="006810B2">
        <w:trPr>
          <w:trHeight w:val="567"/>
        </w:trPr>
        <w:tc>
          <w:tcPr>
            <w:tcW w:w="567" w:type="dxa"/>
            <w:shd w:val="clear" w:color="auto" w:fill="auto"/>
            <w:vAlign w:val="center"/>
          </w:tcPr>
          <w:p w14:paraId="3C0AA115" w14:textId="103B3457" w:rsidR="00007BFF" w:rsidRPr="007B1F00" w:rsidRDefault="00226154" w:rsidP="00D33288">
            <w:pPr>
              <w:rPr>
                <w:rFonts w:asciiTheme="minorHAnsi" w:hAnsiTheme="minorHAnsi" w:cstheme="minorHAnsi"/>
                <w:sz w:val="22"/>
                <w:szCs w:val="22"/>
              </w:rPr>
            </w:pPr>
            <w:sdt>
              <w:sdtPr>
                <w:rPr>
                  <w:rFonts w:asciiTheme="minorHAnsi" w:hAnsiTheme="minorHAnsi" w:cstheme="minorHAnsi"/>
                </w:rPr>
                <w:id w:val="-216817733"/>
                <w14:checkbox>
                  <w14:checked w14:val="0"/>
                  <w14:checkedState w14:val="2612" w14:font="MS Gothic"/>
                  <w14:uncheckedState w14:val="2610" w14:font="MS Gothic"/>
                </w14:checkbox>
              </w:sdtPr>
              <w:sdtEndPr/>
              <w:sdtContent>
                <w:r w:rsidR="00007BFF" w:rsidRPr="007B1F00">
                  <w:rPr>
                    <w:rFonts w:ascii="Segoe UI Symbol" w:hAnsi="Segoe UI Symbol" w:cs="Segoe UI Symbol"/>
                    <w:sz w:val="22"/>
                    <w:szCs w:val="22"/>
                  </w:rPr>
                  <w:t>☐</w:t>
                </w:r>
              </w:sdtContent>
            </w:sdt>
          </w:p>
        </w:tc>
        <w:tc>
          <w:tcPr>
            <w:tcW w:w="9688" w:type="dxa"/>
            <w:vAlign w:val="center"/>
          </w:tcPr>
          <w:p w14:paraId="7ED279D8" w14:textId="7B25F092" w:rsidR="00007BFF" w:rsidRPr="00B74DAA" w:rsidRDefault="00007BFF" w:rsidP="00D33288">
            <w:r>
              <w:rPr>
                <w:rFonts w:ascii="Arial" w:hAnsi="Arial" w:cstheme="minorBidi"/>
              </w:rPr>
              <w:t>Implementation Arrangement</w:t>
            </w:r>
            <w:r w:rsidRPr="00B74DAA">
              <w:rPr>
                <w:rFonts w:ascii="Arial" w:hAnsi="Arial" w:cstheme="minorBidi"/>
              </w:rPr>
              <w:t xml:space="preserve"> Map</w:t>
            </w:r>
            <w:r>
              <w:rPr>
                <w:rFonts w:ascii="Arial" w:hAnsi="Arial" w:cstheme="minorBidi"/>
              </w:rPr>
              <w:t>(s)</w:t>
            </w:r>
            <w:r w:rsidRPr="00B74DAA">
              <w:rPr>
                <w:rStyle w:val="af"/>
                <w:rFonts w:ascii="Arial" w:hAnsi="Arial" w:cstheme="minorBidi"/>
              </w:rPr>
              <w:footnoteReference w:id="83"/>
            </w:r>
          </w:p>
        </w:tc>
      </w:tr>
      <w:tr w:rsidR="00D33288" w:rsidRPr="0098274C" w14:paraId="688610CB" w14:textId="77777777" w:rsidTr="006810B2">
        <w:trPr>
          <w:trHeight w:val="567"/>
        </w:trPr>
        <w:tc>
          <w:tcPr>
            <w:tcW w:w="567" w:type="dxa"/>
            <w:shd w:val="clear" w:color="auto" w:fill="auto"/>
            <w:vAlign w:val="center"/>
          </w:tcPr>
          <w:p w14:paraId="5B608C89" w14:textId="3A9C6804" w:rsidR="00D33288" w:rsidRPr="007B1F00" w:rsidRDefault="00226154" w:rsidP="00D33288">
            <w:pPr>
              <w:rPr>
                <w:rFonts w:asciiTheme="minorHAnsi" w:hAnsiTheme="minorHAnsi" w:cstheme="minorHAnsi"/>
                <w:sz w:val="22"/>
                <w:szCs w:val="22"/>
              </w:rPr>
            </w:pPr>
            <w:sdt>
              <w:sdtPr>
                <w:rPr>
                  <w:rFonts w:asciiTheme="minorHAnsi" w:hAnsiTheme="minorHAnsi" w:cstheme="minorHAnsi"/>
                </w:rPr>
                <w:id w:val="-1954390594"/>
                <w14:checkbox>
                  <w14:checked w14:val="0"/>
                  <w14:checkedState w14:val="2612" w14:font="MS Gothic"/>
                  <w14:uncheckedState w14:val="2610" w14:font="MS Gothic"/>
                </w14:checkbox>
              </w:sdtPr>
              <w:sdtEndPr/>
              <w:sdtContent>
                <w:r w:rsidR="00D33288" w:rsidRPr="007B1F00">
                  <w:rPr>
                    <w:rFonts w:ascii="Segoe UI Symbol" w:hAnsi="Segoe UI Symbol" w:cs="Segoe UI Symbol"/>
                    <w:sz w:val="22"/>
                    <w:szCs w:val="22"/>
                  </w:rPr>
                  <w:t>☐</w:t>
                </w:r>
              </w:sdtContent>
            </w:sdt>
          </w:p>
        </w:tc>
        <w:tc>
          <w:tcPr>
            <w:tcW w:w="9688" w:type="dxa"/>
            <w:vAlign w:val="center"/>
          </w:tcPr>
          <w:p w14:paraId="21FC5643" w14:textId="1D4F29C4" w:rsidR="00D33288" w:rsidRDefault="00D33288" w:rsidP="00D33288">
            <w:r w:rsidRPr="00B74DAA">
              <w:rPr>
                <w:rFonts w:ascii="Arial" w:hAnsi="Arial" w:cstheme="minorBidi"/>
              </w:rPr>
              <w:t>Essential Data Tables (updated)</w:t>
            </w:r>
          </w:p>
        </w:tc>
      </w:tr>
      <w:tr w:rsidR="00D33288" w:rsidRPr="0098274C" w14:paraId="675822DB" w14:textId="77777777" w:rsidTr="006810B2">
        <w:trPr>
          <w:trHeight w:val="567"/>
        </w:trPr>
        <w:tc>
          <w:tcPr>
            <w:tcW w:w="567" w:type="dxa"/>
            <w:shd w:val="clear" w:color="auto" w:fill="auto"/>
            <w:vAlign w:val="center"/>
          </w:tcPr>
          <w:p w14:paraId="065206CC" w14:textId="05850340" w:rsidR="00D33288" w:rsidRPr="007B1F00" w:rsidRDefault="00226154" w:rsidP="00D33288">
            <w:pPr>
              <w:rPr>
                <w:rFonts w:asciiTheme="minorHAnsi" w:hAnsiTheme="minorHAnsi" w:cstheme="minorHAnsi"/>
                <w:sz w:val="22"/>
                <w:szCs w:val="22"/>
              </w:rPr>
            </w:pPr>
            <w:sdt>
              <w:sdtPr>
                <w:rPr>
                  <w:rFonts w:asciiTheme="minorHAnsi" w:hAnsiTheme="minorHAnsi" w:cstheme="minorHAnsi"/>
                </w:rPr>
                <w:id w:val="1718853472"/>
                <w14:checkbox>
                  <w14:checked w14:val="0"/>
                  <w14:checkedState w14:val="2612" w14:font="MS Gothic"/>
                  <w14:uncheckedState w14:val="2610" w14:font="MS Gothic"/>
                </w14:checkbox>
              </w:sdtPr>
              <w:sdtEndPr/>
              <w:sdtContent>
                <w:r w:rsidR="00D33288" w:rsidRPr="007B1F00">
                  <w:rPr>
                    <w:rFonts w:ascii="Segoe UI Symbol" w:eastAsia="MS Gothic" w:hAnsi="Segoe UI Symbol" w:cs="Segoe UI Symbol"/>
                    <w:sz w:val="22"/>
                    <w:szCs w:val="22"/>
                  </w:rPr>
                  <w:t>☐</w:t>
                </w:r>
              </w:sdtContent>
            </w:sdt>
          </w:p>
        </w:tc>
        <w:tc>
          <w:tcPr>
            <w:tcW w:w="9688" w:type="dxa"/>
            <w:vAlign w:val="center"/>
          </w:tcPr>
          <w:p w14:paraId="13DB83B3" w14:textId="48864ACC" w:rsidR="00D33288" w:rsidRPr="00B74DAA" w:rsidRDefault="00D33288" w:rsidP="00D33288">
            <w:pPr>
              <w:rPr>
                <w:rFonts w:ascii="Arial" w:hAnsi="Arial"/>
                <w:sz w:val="22"/>
                <w:szCs w:val="22"/>
              </w:rPr>
            </w:pPr>
            <w:r w:rsidRPr="00B74DAA">
              <w:rPr>
                <w:rFonts w:ascii="Arial" w:hAnsi="Arial" w:cstheme="minorBidi"/>
                <w:bCs/>
              </w:rPr>
              <w:t>CCM Endorsement of Funding Request</w:t>
            </w:r>
          </w:p>
        </w:tc>
      </w:tr>
      <w:tr w:rsidR="00D33288" w:rsidRPr="0098274C" w14:paraId="59C65730" w14:textId="77777777" w:rsidTr="006810B2">
        <w:trPr>
          <w:trHeight w:val="567"/>
        </w:trPr>
        <w:tc>
          <w:tcPr>
            <w:tcW w:w="567" w:type="dxa"/>
            <w:shd w:val="clear" w:color="auto" w:fill="auto"/>
            <w:vAlign w:val="center"/>
          </w:tcPr>
          <w:p w14:paraId="3B3E084D" w14:textId="62F04D59" w:rsidR="00D33288" w:rsidRPr="007B1F00" w:rsidRDefault="00226154" w:rsidP="00D33288">
            <w:pPr>
              <w:rPr>
                <w:rFonts w:asciiTheme="minorHAnsi" w:hAnsiTheme="minorHAnsi" w:cstheme="minorHAnsi"/>
                <w:sz w:val="22"/>
                <w:szCs w:val="22"/>
              </w:rPr>
            </w:pPr>
            <w:sdt>
              <w:sdtPr>
                <w:rPr>
                  <w:rFonts w:asciiTheme="minorHAnsi" w:hAnsiTheme="minorHAnsi" w:cstheme="minorHAnsi"/>
                </w:rPr>
                <w:id w:val="-910225486"/>
                <w14:checkbox>
                  <w14:checked w14:val="0"/>
                  <w14:checkedState w14:val="2612" w14:font="MS Gothic"/>
                  <w14:uncheckedState w14:val="2610" w14:font="MS Gothic"/>
                </w14:checkbox>
              </w:sdtPr>
              <w:sdtEndPr/>
              <w:sdtContent>
                <w:r w:rsidR="00D33288" w:rsidRPr="007B1F00">
                  <w:rPr>
                    <w:rFonts w:ascii="Segoe UI Symbol" w:hAnsi="Segoe UI Symbol" w:cs="Segoe UI Symbol"/>
                    <w:sz w:val="22"/>
                    <w:szCs w:val="22"/>
                  </w:rPr>
                  <w:t>☐</w:t>
                </w:r>
              </w:sdtContent>
            </w:sdt>
          </w:p>
        </w:tc>
        <w:tc>
          <w:tcPr>
            <w:tcW w:w="9688" w:type="dxa"/>
            <w:vAlign w:val="center"/>
          </w:tcPr>
          <w:p w14:paraId="55D14EBC" w14:textId="37D435FC" w:rsidR="00D33288" w:rsidRPr="00B74DAA" w:rsidRDefault="00D33288" w:rsidP="00D33288">
            <w:pPr>
              <w:rPr>
                <w:rFonts w:ascii="Arial" w:hAnsi="Arial"/>
                <w:sz w:val="22"/>
                <w:szCs w:val="22"/>
              </w:rPr>
            </w:pPr>
            <w:r w:rsidRPr="00B74DAA">
              <w:rPr>
                <w:rFonts w:ascii="Arial" w:hAnsi="Arial" w:cstheme="minorBidi"/>
              </w:rPr>
              <w:t>CCM Statement of Compliance</w:t>
            </w:r>
          </w:p>
        </w:tc>
      </w:tr>
      <w:tr w:rsidR="00D33288" w:rsidRPr="0098274C" w14:paraId="4A34B2E7" w14:textId="77777777" w:rsidTr="006810B2">
        <w:trPr>
          <w:trHeight w:val="567"/>
        </w:trPr>
        <w:tc>
          <w:tcPr>
            <w:tcW w:w="567" w:type="dxa"/>
            <w:shd w:val="clear" w:color="auto" w:fill="auto"/>
            <w:vAlign w:val="center"/>
          </w:tcPr>
          <w:p w14:paraId="290BC4ED" w14:textId="6327D88A" w:rsidR="00D33288" w:rsidRPr="007B1F00" w:rsidRDefault="00226154" w:rsidP="00D33288">
            <w:pPr>
              <w:rPr>
                <w:rFonts w:asciiTheme="minorHAnsi" w:hAnsiTheme="minorHAnsi" w:cstheme="minorHAnsi"/>
                <w:sz w:val="22"/>
                <w:szCs w:val="22"/>
              </w:rPr>
            </w:pPr>
            <w:sdt>
              <w:sdtPr>
                <w:rPr>
                  <w:rFonts w:asciiTheme="minorHAnsi" w:hAnsiTheme="minorHAnsi" w:cstheme="minorHAnsi"/>
                </w:rPr>
                <w:id w:val="-220992833"/>
                <w14:checkbox>
                  <w14:checked w14:val="0"/>
                  <w14:checkedState w14:val="2612" w14:font="MS Gothic"/>
                  <w14:uncheckedState w14:val="2610" w14:font="MS Gothic"/>
                </w14:checkbox>
              </w:sdtPr>
              <w:sdtEndPr/>
              <w:sdtContent>
                <w:r w:rsidR="00D33288" w:rsidRPr="007B1F00">
                  <w:rPr>
                    <w:rFonts w:ascii="Segoe UI Symbol" w:hAnsi="Segoe UI Symbol" w:cs="Segoe UI Symbol"/>
                    <w:sz w:val="22"/>
                    <w:szCs w:val="22"/>
                  </w:rPr>
                  <w:t>☐</w:t>
                </w:r>
              </w:sdtContent>
            </w:sdt>
          </w:p>
        </w:tc>
        <w:tc>
          <w:tcPr>
            <w:tcW w:w="9688" w:type="dxa"/>
            <w:vAlign w:val="center"/>
          </w:tcPr>
          <w:p w14:paraId="438E6E92" w14:textId="0AAB17BA" w:rsidR="00D33288" w:rsidRPr="00B74DAA" w:rsidRDefault="00D33288" w:rsidP="00D33288">
            <w:pPr>
              <w:rPr>
                <w:rFonts w:ascii="Arial" w:hAnsi="Arial"/>
                <w:sz w:val="22"/>
                <w:szCs w:val="22"/>
              </w:rPr>
            </w:pPr>
            <w:r w:rsidRPr="00B74DAA">
              <w:rPr>
                <w:rFonts w:ascii="Arial" w:hAnsi="Arial" w:cstheme="minorBidi"/>
              </w:rPr>
              <w:t xml:space="preserve">Supporting documentation to confirm meeting co-financing requirements for the current allocation period </w:t>
            </w:r>
          </w:p>
        </w:tc>
      </w:tr>
      <w:tr w:rsidR="00D33288" w:rsidRPr="0098274C" w14:paraId="21E3ED79" w14:textId="77777777" w:rsidTr="006810B2">
        <w:trPr>
          <w:trHeight w:val="567"/>
        </w:trPr>
        <w:tc>
          <w:tcPr>
            <w:tcW w:w="567" w:type="dxa"/>
            <w:shd w:val="clear" w:color="auto" w:fill="auto"/>
            <w:vAlign w:val="center"/>
          </w:tcPr>
          <w:p w14:paraId="62C015EB" w14:textId="60B9FC22" w:rsidR="00D33288" w:rsidRPr="007B1F00" w:rsidRDefault="00226154" w:rsidP="00D33288">
            <w:pPr>
              <w:rPr>
                <w:rFonts w:asciiTheme="minorHAnsi" w:hAnsiTheme="minorHAnsi" w:cstheme="minorHAnsi"/>
                <w:sz w:val="22"/>
                <w:szCs w:val="22"/>
              </w:rPr>
            </w:pPr>
            <w:sdt>
              <w:sdtPr>
                <w:rPr>
                  <w:rFonts w:asciiTheme="minorHAnsi" w:hAnsiTheme="minorHAnsi" w:cstheme="minorHAnsi"/>
                </w:rPr>
                <w:id w:val="-1023165458"/>
                <w14:checkbox>
                  <w14:checked w14:val="0"/>
                  <w14:checkedState w14:val="2612" w14:font="MS Gothic"/>
                  <w14:uncheckedState w14:val="2610" w14:font="MS Gothic"/>
                </w14:checkbox>
              </w:sdtPr>
              <w:sdtEndPr/>
              <w:sdtContent>
                <w:r w:rsidR="00D33288" w:rsidRPr="007B1F00">
                  <w:rPr>
                    <w:rFonts w:ascii="Segoe UI Symbol" w:hAnsi="Segoe UI Symbol" w:cs="Segoe UI Symbol"/>
                    <w:sz w:val="22"/>
                    <w:szCs w:val="22"/>
                  </w:rPr>
                  <w:t>☐</w:t>
                </w:r>
              </w:sdtContent>
            </w:sdt>
          </w:p>
        </w:tc>
        <w:tc>
          <w:tcPr>
            <w:tcW w:w="9688" w:type="dxa"/>
            <w:vAlign w:val="center"/>
          </w:tcPr>
          <w:p w14:paraId="7E15B594" w14:textId="5A0A7BB7" w:rsidR="00D33288" w:rsidRPr="00B74DAA" w:rsidRDefault="00D33288" w:rsidP="00D33288">
            <w:pPr>
              <w:rPr>
                <w:rFonts w:ascii="Arial" w:hAnsi="Arial"/>
                <w:sz w:val="22"/>
                <w:szCs w:val="22"/>
              </w:rPr>
            </w:pPr>
            <w:r w:rsidRPr="00B74DAA">
              <w:rPr>
                <w:rFonts w:ascii="Arial" w:hAnsi="Arial" w:cstheme="minorBidi"/>
              </w:rPr>
              <w:t xml:space="preserve">Supporting documentation for co-financing commitments for the next allocation period </w:t>
            </w:r>
          </w:p>
        </w:tc>
      </w:tr>
      <w:tr w:rsidR="00D33288" w:rsidRPr="0098274C" w14:paraId="3BC697F8" w14:textId="77777777" w:rsidTr="006810B2">
        <w:trPr>
          <w:trHeight w:val="567"/>
        </w:trPr>
        <w:tc>
          <w:tcPr>
            <w:tcW w:w="567" w:type="dxa"/>
            <w:shd w:val="clear" w:color="auto" w:fill="auto"/>
            <w:vAlign w:val="center"/>
          </w:tcPr>
          <w:p w14:paraId="4C02B429" w14:textId="43782977" w:rsidR="00D33288" w:rsidRPr="007B1F00" w:rsidRDefault="00226154" w:rsidP="00D33288">
            <w:pPr>
              <w:rPr>
                <w:rFonts w:asciiTheme="minorHAnsi" w:hAnsiTheme="minorHAnsi" w:cstheme="minorHAnsi"/>
                <w:sz w:val="22"/>
                <w:szCs w:val="22"/>
              </w:rPr>
            </w:pPr>
            <w:sdt>
              <w:sdtPr>
                <w:rPr>
                  <w:rFonts w:asciiTheme="minorHAnsi" w:hAnsiTheme="minorHAnsi" w:cstheme="minorHAnsi"/>
                </w:rPr>
                <w:id w:val="-871300088"/>
                <w14:checkbox>
                  <w14:checked w14:val="0"/>
                  <w14:checkedState w14:val="2612" w14:font="MS Gothic"/>
                  <w14:uncheckedState w14:val="2610" w14:font="MS Gothic"/>
                </w14:checkbox>
              </w:sdtPr>
              <w:sdtEndPr/>
              <w:sdtContent>
                <w:r w:rsidR="00D33288" w:rsidRPr="007B1F00">
                  <w:rPr>
                    <w:rFonts w:ascii="Segoe UI Symbol" w:eastAsia="MS Gothic" w:hAnsi="Segoe UI Symbol" w:cs="Segoe UI Symbol"/>
                    <w:sz w:val="22"/>
                    <w:szCs w:val="22"/>
                  </w:rPr>
                  <w:t>☐</w:t>
                </w:r>
              </w:sdtContent>
            </w:sdt>
          </w:p>
        </w:tc>
        <w:tc>
          <w:tcPr>
            <w:tcW w:w="9688" w:type="dxa"/>
            <w:vAlign w:val="center"/>
          </w:tcPr>
          <w:p w14:paraId="1EC662BC" w14:textId="4A398D86" w:rsidR="00D33288" w:rsidRPr="00B74DAA" w:rsidRDefault="00D33288" w:rsidP="00D33288">
            <w:pPr>
              <w:rPr>
                <w:rFonts w:ascii="Arial" w:hAnsi="Arial"/>
                <w:sz w:val="22"/>
                <w:szCs w:val="22"/>
                <w:lang w:eastAsia="zh-CN"/>
              </w:rPr>
            </w:pPr>
            <w:r w:rsidRPr="00B74DAA">
              <w:rPr>
                <w:rFonts w:ascii="Arial" w:hAnsi="Arial" w:cstheme="minorBidi"/>
              </w:rPr>
              <w:t>Transition Workplan</w:t>
            </w:r>
            <w:r w:rsidR="003844E1">
              <w:rPr>
                <w:rFonts w:ascii="Arial" w:hAnsi="Arial" w:cstheme="minorBidi"/>
              </w:rPr>
              <w:t xml:space="preserve"> (if available)</w:t>
            </w:r>
          </w:p>
        </w:tc>
      </w:tr>
      <w:tr w:rsidR="00D33288" w:rsidRPr="0098274C" w14:paraId="60E59B26" w14:textId="77777777" w:rsidTr="006810B2">
        <w:trPr>
          <w:trHeight w:val="567"/>
        </w:trPr>
        <w:tc>
          <w:tcPr>
            <w:tcW w:w="567" w:type="dxa"/>
            <w:shd w:val="clear" w:color="auto" w:fill="auto"/>
            <w:vAlign w:val="center"/>
          </w:tcPr>
          <w:p w14:paraId="3D99A533" w14:textId="47D81EB7" w:rsidR="00D33288" w:rsidRPr="007B1F00" w:rsidRDefault="00226154" w:rsidP="00D33288">
            <w:pPr>
              <w:rPr>
                <w:rFonts w:asciiTheme="minorHAnsi" w:hAnsiTheme="minorHAnsi" w:cstheme="minorHAnsi"/>
                <w:sz w:val="22"/>
                <w:szCs w:val="22"/>
              </w:rPr>
            </w:pPr>
            <w:sdt>
              <w:sdtPr>
                <w:rPr>
                  <w:rFonts w:asciiTheme="minorHAnsi" w:hAnsiTheme="minorHAnsi" w:cstheme="minorHAnsi"/>
                </w:rPr>
                <w:id w:val="-653519876"/>
                <w14:checkbox>
                  <w14:checked w14:val="0"/>
                  <w14:checkedState w14:val="2612" w14:font="MS Gothic"/>
                  <w14:uncheckedState w14:val="2610" w14:font="MS Gothic"/>
                </w14:checkbox>
              </w:sdtPr>
              <w:sdtEndPr/>
              <w:sdtContent>
                <w:r w:rsidR="00D33288" w:rsidRPr="007B1F00">
                  <w:rPr>
                    <w:rFonts w:ascii="Segoe UI Symbol" w:hAnsi="Segoe UI Symbol" w:cs="Segoe UI Symbol"/>
                    <w:sz w:val="22"/>
                    <w:szCs w:val="22"/>
                  </w:rPr>
                  <w:t>☐</w:t>
                </w:r>
              </w:sdtContent>
            </w:sdt>
          </w:p>
        </w:tc>
        <w:tc>
          <w:tcPr>
            <w:tcW w:w="9688" w:type="dxa"/>
            <w:vAlign w:val="center"/>
          </w:tcPr>
          <w:p w14:paraId="4A635CA2" w14:textId="391B6BA8" w:rsidR="00D33288" w:rsidRPr="00B74DAA" w:rsidRDefault="00D33288" w:rsidP="00B300B3">
            <w:pPr>
              <w:rPr>
                <w:rFonts w:ascii="Arial" w:hAnsi="Arial"/>
                <w:sz w:val="22"/>
                <w:szCs w:val="22"/>
              </w:rPr>
            </w:pPr>
            <w:r w:rsidRPr="00B300B3">
              <w:rPr>
                <w:rFonts w:ascii="Arial" w:hAnsi="Arial" w:cstheme="minorBidi"/>
                <w:highlight w:val="green"/>
              </w:rPr>
              <w:t xml:space="preserve">Transition </w:t>
            </w:r>
            <w:r w:rsidR="00B300B3" w:rsidRPr="00B300B3">
              <w:rPr>
                <w:rFonts w:ascii="Arial" w:hAnsi="Arial" w:cstheme="minorBidi"/>
                <w:highlight w:val="green"/>
              </w:rPr>
              <w:t>Workplan status update</w:t>
            </w:r>
            <w:r w:rsidR="00AE4354">
              <w:rPr>
                <w:rFonts w:ascii="Arial" w:hAnsi="Arial" w:cstheme="minorBidi"/>
              </w:rPr>
              <w:t xml:space="preserve"> </w:t>
            </w:r>
          </w:p>
        </w:tc>
      </w:tr>
      <w:tr w:rsidR="00D33288" w:rsidRPr="0098274C" w14:paraId="75FD2557" w14:textId="77777777" w:rsidTr="006810B2">
        <w:trPr>
          <w:trHeight w:val="567"/>
        </w:trPr>
        <w:tc>
          <w:tcPr>
            <w:tcW w:w="567" w:type="dxa"/>
            <w:shd w:val="clear" w:color="auto" w:fill="auto"/>
            <w:vAlign w:val="center"/>
          </w:tcPr>
          <w:p w14:paraId="0ED229A7" w14:textId="088554A7" w:rsidR="00D33288" w:rsidRPr="007B1F00" w:rsidRDefault="00226154" w:rsidP="00D33288">
            <w:pPr>
              <w:rPr>
                <w:rFonts w:asciiTheme="minorHAnsi" w:hAnsiTheme="minorHAnsi" w:cstheme="minorHAnsi"/>
                <w:sz w:val="22"/>
                <w:szCs w:val="22"/>
              </w:rPr>
            </w:pPr>
            <w:sdt>
              <w:sdtPr>
                <w:rPr>
                  <w:rFonts w:asciiTheme="minorHAnsi" w:hAnsiTheme="minorHAnsi" w:cstheme="minorHAnsi"/>
                </w:rPr>
                <w:id w:val="1226954297"/>
                <w14:checkbox>
                  <w14:checked w14:val="0"/>
                  <w14:checkedState w14:val="2612" w14:font="MS Gothic"/>
                  <w14:uncheckedState w14:val="2610" w14:font="MS Gothic"/>
                </w14:checkbox>
              </w:sdtPr>
              <w:sdtEndPr/>
              <w:sdtContent>
                <w:r w:rsidR="00D33288" w:rsidRPr="007B1F00">
                  <w:rPr>
                    <w:rFonts w:ascii="Segoe UI Symbol" w:hAnsi="Segoe UI Symbol" w:cs="Segoe UI Symbol"/>
                    <w:sz w:val="22"/>
                    <w:szCs w:val="22"/>
                  </w:rPr>
                  <w:t>☐</w:t>
                </w:r>
              </w:sdtContent>
            </w:sdt>
          </w:p>
        </w:tc>
        <w:tc>
          <w:tcPr>
            <w:tcW w:w="9688" w:type="dxa"/>
            <w:vAlign w:val="center"/>
          </w:tcPr>
          <w:p w14:paraId="2F94AEA8" w14:textId="7E0D3F30" w:rsidR="00D33288" w:rsidRPr="00B74DAA" w:rsidRDefault="00D33288" w:rsidP="00D33288">
            <w:pPr>
              <w:rPr>
                <w:rFonts w:ascii="Arial" w:hAnsi="Arial"/>
                <w:sz w:val="22"/>
                <w:szCs w:val="22"/>
              </w:rPr>
            </w:pPr>
            <w:r w:rsidRPr="00B74DAA">
              <w:rPr>
                <w:rFonts w:ascii="Arial" w:hAnsi="Arial" w:cstheme="minorBidi"/>
              </w:rPr>
              <w:t>National Strategic Plans (Health Sector and Disease specific)</w:t>
            </w:r>
          </w:p>
        </w:tc>
      </w:tr>
      <w:tr w:rsidR="00D33288" w:rsidRPr="0098274C" w14:paraId="0591D3E7" w14:textId="77777777" w:rsidTr="006810B2">
        <w:trPr>
          <w:trHeight w:val="567"/>
        </w:trPr>
        <w:tc>
          <w:tcPr>
            <w:tcW w:w="567" w:type="dxa"/>
            <w:shd w:val="clear" w:color="auto" w:fill="auto"/>
            <w:vAlign w:val="center"/>
          </w:tcPr>
          <w:p w14:paraId="45A7E14B" w14:textId="70C0F669" w:rsidR="00D33288" w:rsidRPr="007B1F00" w:rsidRDefault="00226154" w:rsidP="00D33288">
            <w:pPr>
              <w:rPr>
                <w:rFonts w:asciiTheme="minorHAnsi" w:hAnsiTheme="minorHAnsi" w:cstheme="minorHAnsi"/>
                <w:sz w:val="22"/>
                <w:szCs w:val="22"/>
              </w:rPr>
            </w:pPr>
            <w:sdt>
              <w:sdtPr>
                <w:rPr>
                  <w:rFonts w:asciiTheme="minorHAnsi" w:hAnsiTheme="minorHAnsi" w:cstheme="minorHAnsi"/>
                </w:rPr>
                <w:id w:val="-1163155206"/>
                <w14:checkbox>
                  <w14:checked w14:val="0"/>
                  <w14:checkedState w14:val="2612" w14:font="MS Gothic"/>
                  <w14:uncheckedState w14:val="2610" w14:font="MS Gothic"/>
                </w14:checkbox>
              </w:sdtPr>
              <w:sdtEndPr/>
              <w:sdtContent/>
            </w:sdt>
            <w:r w:rsidR="00D33288" w:rsidRPr="007B1F00">
              <w:rPr>
                <w:rFonts w:ascii="Segoe UI Symbol" w:hAnsi="Segoe UI Symbol" w:cs="Segoe UI Symbol"/>
                <w:sz w:val="22"/>
                <w:szCs w:val="22"/>
              </w:rPr>
              <w:t>☐</w:t>
            </w:r>
          </w:p>
        </w:tc>
        <w:tc>
          <w:tcPr>
            <w:tcW w:w="9688" w:type="dxa"/>
            <w:vAlign w:val="center"/>
          </w:tcPr>
          <w:p w14:paraId="547AC985" w14:textId="35BA0E22" w:rsidR="00D33288" w:rsidRPr="00B74DAA" w:rsidRDefault="00D33288" w:rsidP="00D33288">
            <w:pPr>
              <w:rPr>
                <w:rFonts w:ascii="Arial" w:hAnsi="Arial"/>
                <w:sz w:val="22"/>
                <w:szCs w:val="22"/>
              </w:rPr>
            </w:pPr>
            <w:r w:rsidRPr="00B74DAA">
              <w:rPr>
                <w:rFonts w:ascii="Arial" w:hAnsi="Arial" w:cstheme="minorBidi"/>
                <w:lang w:eastAsia="zh-CN"/>
              </w:rPr>
              <w:t>All supporting documentation referenced in the funding request</w:t>
            </w:r>
          </w:p>
        </w:tc>
      </w:tr>
      <w:tr w:rsidR="00D33288" w:rsidRPr="0098274C" w14:paraId="2529886F" w14:textId="77777777" w:rsidTr="006810B2">
        <w:trPr>
          <w:trHeight w:val="567"/>
        </w:trPr>
        <w:tc>
          <w:tcPr>
            <w:tcW w:w="567" w:type="dxa"/>
            <w:shd w:val="clear" w:color="auto" w:fill="auto"/>
            <w:vAlign w:val="center"/>
          </w:tcPr>
          <w:p w14:paraId="7B19AFA1" w14:textId="28E3001F" w:rsidR="00D33288" w:rsidRPr="007B1F00" w:rsidRDefault="00226154" w:rsidP="00D33288">
            <w:pPr>
              <w:rPr>
                <w:rFonts w:asciiTheme="minorHAnsi" w:hAnsiTheme="minorHAnsi" w:cstheme="minorHAnsi"/>
                <w:sz w:val="22"/>
                <w:szCs w:val="22"/>
              </w:rPr>
            </w:pPr>
            <w:sdt>
              <w:sdtPr>
                <w:rPr>
                  <w:rFonts w:asciiTheme="minorHAnsi" w:hAnsiTheme="minorHAnsi" w:cstheme="minorHAnsi"/>
                </w:rPr>
                <w:id w:val="1501008062"/>
                <w14:checkbox>
                  <w14:checked w14:val="0"/>
                  <w14:checkedState w14:val="2612" w14:font="MS Gothic"/>
                  <w14:uncheckedState w14:val="2610" w14:font="MS Gothic"/>
                </w14:checkbox>
              </w:sdtPr>
              <w:sdtEndPr/>
              <w:sdtContent>
                <w:r w:rsidR="00D33288" w:rsidRPr="007B1F00">
                  <w:rPr>
                    <w:rFonts w:ascii="Segoe UI Symbol" w:hAnsi="Segoe UI Symbol" w:cs="Segoe UI Symbol"/>
                    <w:sz w:val="22"/>
                    <w:szCs w:val="22"/>
                  </w:rPr>
                  <w:t>☐</w:t>
                </w:r>
              </w:sdtContent>
            </w:sdt>
          </w:p>
        </w:tc>
        <w:tc>
          <w:tcPr>
            <w:tcW w:w="9688" w:type="dxa"/>
            <w:vAlign w:val="center"/>
          </w:tcPr>
          <w:p w14:paraId="23739BB7" w14:textId="376696DB" w:rsidR="00D33288" w:rsidRPr="00B74DAA" w:rsidRDefault="00D33288" w:rsidP="00D33288">
            <w:pPr>
              <w:rPr>
                <w:rFonts w:ascii="Arial" w:hAnsi="Arial"/>
                <w:sz w:val="22"/>
                <w:szCs w:val="22"/>
              </w:rPr>
            </w:pPr>
            <w:r>
              <w:rPr>
                <w:rFonts w:ascii="Arial" w:hAnsi="Arial" w:cstheme="minorBidi"/>
              </w:rPr>
              <w:t>Health Product Management T</w:t>
            </w:r>
            <w:r w:rsidR="00AF2D87">
              <w:rPr>
                <w:rFonts w:ascii="Arial" w:hAnsi="Arial" w:cstheme="minorBidi"/>
              </w:rPr>
              <w:t xml:space="preserve">emplate </w:t>
            </w:r>
            <w:r w:rsidRPr="00B74DAA">
              <w:rPr>
                <w:rFonts w:ascii="Arial" w:hAnsi="Arial" w:cstheme="minorBidi"/>
              </w:rPr>
              <w:t>(if applicable)</w:t>
            </w:r>
          </w:p>
        </w:tc>
      </w:tr>
      <w:tr w:rsidR="00D33288" w:rsidRPr="0098274C" w14:paraId="000B6993" w14:textId="77777777" w:rsidTr="00F268A0">
        <w:trPr>
          <w:trHeight w:val="567"/>
        </w:trPr>
        <w:tc>
          <w:tcPr>
            <w:tcW w:w="567" w:type="dxa"/>
            <w:shd w:val="clear" w:color="auto" w:fill="auto"/>
            <w:vAlign w:val="center"/>
          </w:tcPr>
          <w:p w14:paraId="5ABDDC04" w14:textId="77777777" w:rsidR="00D33288" w:rsidRPr="007B1F00" w:rsidRDefault="00226154" w:rsidP="00D33288">
            <w:pPr>
              <w:rPr>
                <w:rFonts w:asciiTheme="minorHAnsi" w:hAnsiTheme="minorHAnsi" w:cstheme="minorHAnsi"/>
                <w:sz w:val="22"/>
                <w:szCs w:val="22"/>
              </w:rPr>
            </w:pPr>
            <w:sdt>
              <w:sdtPr>
                <w:rPr>
                  <w:rFonts w:asciiTheme="minorHAnsi" w:hAnsiTheme="minorHAnsi" w:cstheme="minorHAnsi"/>
                </w:rPr>
                <w:id w:val="401407315"/>
                <w14:checkbox>
                  <w14:checked w14:val="0"/>
                  <w14:checkedState w14:val="2612" w14:font="MS Gothic"/>
                  <w14:uncheckedState w14:val="2610" w14:font="MS Gothic"/>
                </w14:checkbox>
              </w:sdtPr>
              <w:sdtEndPr/>
              <w:sdtContent>
                <w:r w:rsidR="00D33288" w:rsidRPr="007B1F00">
                  <w:rPr>
                    <w:rFonts w:ascii="Segoe UI Symbol" w:hAnsi="Segoe UI Symbol" w:cs="Segoe UI Symbol"/>
                    <w:sz w:val="22"/>
                    <w:szCs w:val="22"/>
                  </w:rPr>
                  <w:t>☐</w:t>
                </w:r>
              </w:sdtContent>
            </w:sdt>
          </w:p>
        </w:tc>
        <w:tc>
          <w:tcPr>
            <w:tcW w:w="9688" w:type="dxa"/>
            <w:vAlign w:val="center"/>
          </w:tcPr>
          <w:p w14:paraId="40AE76AC" w14:textId="77777777" w:rsidR="00D33288" w:rsidRPr="00B74DAA" w:rsidRDefault="00D33288" w:rsidP="00D33288">
            <w:pPr>
              <w:rPr>
                <w:rFonts w:ascii="Arial" w:hAnsi="Arial"/>
                <w:sz w:val="22"/>
                <w:szCs w:val="22"/>
              </w:rPr>
            </w:pPr>
            <w:r w:rsidRPr="00B74DAA">
              <w:rPr>
                <w:rFonts w:ascii="Arial" w:hAnsi="Arial" w:cstheme="minorBidi"/>
              </w:rPr>
              <w:t>List of Abbreviations and Annexes</w:t>
            </w:r>
          </w:p>
        </w:tc>
      </w:tr>
    </w:tbl>
    <w:p w14:paraId="72F0A4CC" w14:textId="77777777" w:rsidR="006810B2" w:rsidRPr="00B271DB" w:rsidRDefault="006810B2" w:rsidP="004619FD">
      <w:pPr>
        <w:pStyle w:val="affff3"/>
        <w:spacing w:line="360" w:lineRule="auto"/>
        <w:ind w:left="0"/>
        <w:rPr>
          <w:rFonts w:cs="Arial"/>
        </w:rPr>
      </w:pPr>
    </w:p>
    <w:p w14:paraId="6E1D3450" w14:textId="323E3E9E" w:rsidR="009A6DE4" w:rsidRPr="004619FD" w:rsidRDefault="009A6DE4" w:rsidP="004619FD">
      <w:pPr>
        <w:spacing w:after="160" w:line="0" w:lineRule="auto"/>
      </w:pPr>
    </w:p>
    <w:sectPr w:rsidR="009A6DE4" w:rsidRPr="004619FD" w:rsidSect="009E45E3">
      <w:footerReference w:type="default" r:id="rId66"/>
      <w:footerReference w:type="first" r:id="rId67"/>
      <w:endnotePr>
        <w:numFmt w:val="decimal"/>
      </w:endnotePr>
      <w:type w:val="continuous"/>
      <w:pgSz w:w="11906" w:h="16838" w:code="9"/>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9E913" w14:textId="77777777" w:rsidR="00226154" w:rsidRPr="009F52F1" w:rsidRDefault="00226154" w:rsidP="0013691B">
      <w:pPr>
        <w:spacing w:after="0" w:line="240" w:lineRule="auto"/>
      </w:pPr>
      <w:r w:rsidRPr="009F52F1">
        <w:separator/>
      </w:r>
    </w:p>
  </w:endnote>
  <w:endnote w:type="continuationSeparator" w:id="0">
    <w:p w14:paraId="0C3D8227" w14:textId="77777777" w:rsidR="00226154" w:rsidRPr="009F52F1" w:rsidRDefault="00226154" w:rsidP="0013691B">
      <w:pPr>
        <w:spacing w:after="0" w:line="240" w:lineRule="auto"/>
      </w:pPr>
      <w:r w:rsidRPr="009F52F1">
        <w:continuationSeparator/>
      </w:r>
    </w:p>
  </w:endnote>
  <w:endnote w:type="continuationNotice" w:id="1">
    <w:p w14:paraId="329B75B4" w14:textId="77777777" w:rsidR="00226154" w:rsidRDefault="002261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Roboto">
    <w:charset w:val="00"/>
    <w:family w:val="auto"/>
    <w:pitch w:val="variable"/>
    <w:sig w:usb0="E00002FF" w:usb1="5000205B" w:usb2="00000020" w:usb3="00000000" w:csb0="0000019F" w:csb1="00000000"/>
  </w:font>
  <w:font w:name="SourceSerifPro-Regular">
    <w:altName w:val="Yu Gothic"/>
    <w:panose1 w:val="00000000000000000000"/>
    <w:charset w:val="80"/>
    <w:family w:val="roman"/>
    <w:notTrueType/>
    <w:pitch w:val="default"/>
    <w:sig w:usb0="00000001" w:usb1="08070000" w:usb2="00000010" w:usb3="00000000" w:csb0="00020000" w:csb1="00000000"/>
  </w:font>
  <w:font w:name="MinionPro-Regular">
    <w:altName w:val="Cambria"/>
    <w:panose1 w:val="00000000000000000000"/>
    <w:charset w:val="4D"/>
    <w:family w:val="auto"/>
    <w:notTrueType/>
    <w:pitch w:val="default"/>
    <w:sig w:usb0="00000003" w:usb1="00000000" w:usb2="0000000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Segoe UI Semibold">
    <w:panose1 w:val="020B0702040204020203"/>
    <w:charset w:val="CC"/>
    <w:family w:val="swiss"/>
    <w:pitch w:val="variable"/>
    <w:sig w:usb0="E4002EFF" w:usb1="C000E47F" w:usb2="00000009" w:usb3="00000000" w:csb0="000001FF" w:csb1="00000000"/>
  </w:font>
  <w:font w:name="PFDasGroteskPro">
    <w:altName w:val="Times New Roman"/>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Brandon Grotesque Light">
    <w:altName w:val="Cambria"/>
    <w:panose1 w:val="00000000000000000000"/>
    <w:charset w:val="00"/>
    <w:family w:val="swiss"/>
    <w:notTrueType/>
    <w:pitch w:val="default"/>
    <w:sig w:usb0="00000003" w:usb1="00000000" w:usb2="00000000" w:usb3="00000000" w:csb0="00000001" w:csb1="00000000"/>
  </w:font>
  <w:font w:name="PT Sans">
    <w:charset w:val="CC"/>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107212"/>
      <w:docPartObj>
        <w:docPartGallery w:val="Page Numbers (Bottom of Page)"/>
        <w:docPartUnique/>
      </w:docPartObj>
    </w:sdtPr>
    <w:sdtEndPr>
      <w:rPr>
        <w:noProof/>
      </w:rPr>
    </w:sdtEndPr>
    <w:sdtContent>
      <w:p w14:paraId="461344E9" w14:textId="77777777" w:rsidR="009E330A" w:rsidRDefault="009E330A">
        <w:pPr>
          <w:pStyle w:val="a8"/>
          <w:jc w:val="right"/>
        </w:pPr>
        <w:r>
          <w:fldChar w:fldCharType="begin"/>
        </w:r>
        <w:r>
          <w:instrText xml:space="preserve"> PAGE   \* MERGEFORMAT </w:instrText>
        </w:r>
        <w:r>
          <w:fldChar w:fldCharType="separate"/>
        </w:r>
        <w:r w:rsidR="001F4D25">
          <w:rPr>
            <w:noProof/>
          </w:rPr>
          <w:t>2</w:t>
        </w:r>
        <w:r>
          <w:rPr>
            <w:noProof/>
          </w:rPr>
          <w:fldChar w:fldCharType="end"/>
        </w:r>
      </w:p>
    </w:sdtContent>
  </w:sdt>
  <w:p w14:paraId="6C477D80" w14:textId="77777777" w:rsidR="009E330A" w:rsidRPr="006364FF" w:rsidRDefault="009E330A" w:rsidP="006364FF">
    <w:pPr>
      <w:spacing w:after="0"/>
      <w:jc w:val="center"/>
      <w:rPr>
        <w:color w:val="A6A6A6" w:themeColor="background1" w:themeShade="A6"/>
        <w:sz w:val="18"/>
        <w:szCs w:val="18"/>
      </w:rPr>
    </w:pPr>
    <w:r w:rsidRPr="00D21468">
      <w:rPr>
        <w:color w:val="A6A6A6" w:themeColor="background1" w:themeShade="A6"/>
        <w:sz w:val="18"/>
        <w:szCs w:val="18"/>
      </w:rPr>
      <w:t xml:space="preserve"> </w:t>
    </w:r>
    <w:r w:rsidRPr="006364FF">
      <w:rPr>
        <w:color w:val="A6A6A6" w:themeColor="background1" w:themeShade="A6"/>
        <w:sz w:val="18"/>
        <w:szCs w:val="18"/>
      </w:rPr>
      <w:t xml:space="preserve">Funding Request Form – </w:t>
    </w:r>
    <w:r>
      <w:rPr>
        <w:color w:val="A6A6A6" w:themeColor="background1" w:themeShade="A6"/>
        <w:sz w:val="18"/>
        <w:szCs w:val="18"/>
      </w:rPr>
      <w:t>Tailored for Focused Portfolios</w:t>
    </w:r>
  </w:p>
  <w:p w14:paraId="0DA6960F" w14:textId="77777777" w:rsidR="009E330A" w:rsidRPr="009B192C" w:rsidRDefault="009E330A" w:rsidP="006364FF">
    <w:pPr>
      <w:spacing w:after="0"/>
      <w:jc w:val="center"/>
      <w:rPr>
        <w:b/>
        <w:color w:val="A6A6A6" w:themeColor="background1" w:themeShade="A6"/>
        <w:sz w:val="18"/>
        <w:szCs w:val="18"/>
      </w:rPr>
    </w:pPr>
    <w:r w:rsidRPr="006364FF">
      <w:rPr>
        <w:color w:val="A6A6A6" w:themeColor="background1" w:themeShade="A6"/>
        <w:sz w:val="18"/>
        <w:szCs w:val="18"/>
      </w:rPr>
      <w:t xml:space="preserve">Issue Date: </w:t>
    </w:r>
    <w:r>
      <w:rPr>
        <w:color w:val="A6A6A6" w:themeColor="background1" w:themeShade="A6"/>
        <w:sz w:val="18"/>
        <w:szCs w:val="18"/>
      </w:rPr>
      <w:t>March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3537A" w14:textId="77777777" w:rsidR="009E330A" w:rsidRDefault="009E330A" w:rsidP="00F5709E">
    <w:pPr>
      <w:spacing w:after="0"/>
      <w:jc w:val="center"/>
      <w:rPr>
        <w:color w:val="A6A6A6" w:themeColor="background1" w:themeShade="A6"/>
        <w:sz w:val="18"/>
        <w:szCs w:val="18"/>
      </w:rPr>
    </w:pPr>
    <w:r w:rsidRPr="00EF23C6">
      <w:rPr>
        <w:color w:val="A6A6A6" w:themeColor="background1" w:themeShade="A6"/>
        <w:sz w:val="18"/>
        <w:szCs w:val="18"/>
      </w:rPr>
      <w:t xml:space="preserve">Funding Request </w:t>
    </w:r>
    <w:r>
      <w:rPr>
        <w:color w:val="A6A6A6" w:themeColor="background1" w:themeShade="A6"/>
        <w:sz w:val="18"/>
        <w:szCs w:val="18"/>
      </w:rPr>
      <w:t>Form</w:t>
    </w:r>
    <w:r w:rsidRPr="00EF23C6">
      <w:rPr>
        <w:color w:val="A6A6A6" w:themeColor="background1" w:themeShade="A6"/>
        <w:sz w:val="18"/>
        <w:szCs w:val="18"/>
      </w:rPr>
      <w:t xml:space="preserve"> </w:t>
    </w:r>
    <w:r>
      <w:rPr>
        <w:color w:val="A6A6A6" w:themeColor="background1" w:themeShade="A6"/>
        <w:sz w:val="18"/>
        <w:szCs w:val="18"/>
      </w:rPr>
      <w:t>–</w:t>
    </w:r>
    <w:r w:rsidRPr="00EF23C6">
      <w:rPr>
        <w:color w:val="A6A6A6" w:themeColor="background1" w:themeShade="A6"/>
        <w:sz w:val="18"/>
        <w:szCs w:val="18"/>
      </w:rPr>
      <w:t xml:space="preserve"> </w:t>
    </w:r>
    <w:r>
      <w:rPr>
        <w:color w:val="A6A6A6" w:themeColor="background1" w:themeShade="A6"/>
        <w:sz w:val="18"/>
        <w:szCs w:val="18"/>
      </w:rPr>
      <w:t>Tailored for Focused Portfolios</w:t>
    </w:r>
  </w:p>
  <w:p w14:paraId="6006578B" w14:textId="77777777" w:rsidR="009E330A" w:rsidRDefault="009E330A" w:rsidP="00F5709E">
    <w:pPr>
      <w:pStyle w:val="a8"/>
      <w:jc w:val="center"/>
    </w:pPr>
    <w:r>
      <w:rPr>
        <w:color w:val="A6A6A6" w:themeColor="background1" w:themeShade="A6"/>
        <w:sz w:val="18"/>
        <w:szCs w:val="18"/>
      </w:rPr>
      <w:t>Issue Date: March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0556792"/>
      <w:docPartObj>
        <w:docPartGallery w:val="Page Numbers (Bottom of Page)"/>
        <w:docPartUnique/>
      </w:docPartObj>
    </w:sdtPr>
    <w:sdtEndPr>
      <w:rPr>
        <w:noProof/>
      </w:rPr>
    </w:sdtEndPr>
    <w:sdtContent>
      <w:p w14:paraId="0E4B75CA" w14:textId="77777777" w:rsidR="009E330A" w:rsidRDefault="009E330A">
        <w:pPr>
          <w:pStyle w:val="a8"/>
          <w:jc w:val="right"/>
        </w:pPr>
        <w:r>
          <w:fldChar w:fldCharType="begin"/>
        </w:r>
        <w:r>
          <w:instrText xml:space="preserve"> PAGE   \* MERGEFORMAT </w:instrText>
        </w:r>
        <w:r>
          <w:fldChar w:fldCharType="separate"/>
        </w:r>
        <w:r w:rsidR="00951CB1">
          <w:rPr>
            <w:noProof/>
          </w:rPr>
          <w:t>78</w:t>
        </w:r>
        <w:r>
          <w:rPr>
            <w:noProof/>
          </w:rPr>
          <w:fldChar w:fldCharType="end"/>
        </w:r>
      </w:p>
    </w:sdtContent>
  </w:sdt>
  <w:p w14:paraId="5E30F3AB" w14:textId="29B74E9F" w:rsidR="009E330A" w:rsidRPr="006364FF" w:rsidRDefault="009E330A" w:rsidP="006364FF">
    <w:pPr>
      <w:spacing w:after="0"/>
      <w:jc w:val="center"/>
      <w:rPr>
        <w:color w:val="A6A6A6" w:themeColor="background1" w:themeShade="A6"/>
        <w:sz w:val="18"/>
        <w:szCs w:val="18"/>
      </w:rPr>
    </w:pPr>
    <w:r w:rsidRPr="00D21468">
      <w:rPr>
        <w:color w:val="A6A6A6" w:themeColor="background1" w:themeShade="A6"/>
        <w:sz w:val="18"/>
        <w:szCs w:val="18"/>
      </w:rPr>
      <w:t xml:space="preserve"> </w:t>
    </w:r>
    <w:bookmarkStart w:id="16" w:name="_Hlk14420169"/>
    <w:r w:rsidRPr="006364FF">
      <w:rPr>
        <w:color w:val="A6A6A6" w:themeColor="background1" w:themeShade="A6"/>
        <w:sz w:val="18"/>
        <w:szCs w:val="18"/>
      </w:rPr>
      <w:t xml:space="preserve">Funding Request Form – </w:t>
    </w:r>
    <w:r>
      <w:rPr>
        <w:color w:val="A6A6A6" w:themeColor="background1" w:themeShade="A6"/>
        <w:sz w:val="18"/>
        <w:szCs w:val="18"/>
      </w:rPr>
      <w:t>Tailored for Focused Portfolios</w:t>
    </w:r>
  </w:p>
  <w:p w14:paraId="163F2751" w14:textId="4B5857CB" w:rsidR="009E330A" w:rsidRPr="009B192C" w:rsidRDefault="009E330A" w:rsidP="006364FF">
    <w:pPr>
      <w:spacing w:after="0"/>
      <w:jc w:val="center"/>
      <w:rPr>
        <w:b/>
        <w:color w:val="A6A6A6" w:themeColor="background1" w:themeShade="A6"/>
        <w:sz w:val="18"/>
        <w:szCs w:val="18"/>
      </w:rPr>
    </w:pPr>
    <w:r w:rsidRPr="006364FF">
      <w:rPr>
        <w:color w:val="A6A6A6" w:themeColor="background1" w:themeShade="A6"/>
        <w:sz w:val="18"/>
        <w:szCs w:val="18"/>
      </w:rPr>
      <w:t xml:space="preserve">Issue Date: </w:t>
    </w:r>
    <w:bookmarkEnd w:id="16"/>
    <w:r>
      <w:rPr>
        <w:color w:val="A6A6A6" w:themeColor="background1" w:themeShade="A6"/>
        <w:sz w:val="18"/>
        <w:szCs w:val="18"/>
      </w:rPr>
      <w:t>March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2C72B" w14:textId="39EF8D9B" w:rsidR="009E330A" w:rsidRDefault="009E330A" w:rsidP="00F5709E">
    <w:pPr>
      <w:spacing w:after="0"/>
      <w:jc w:val="center"/>
      <w:rPr>
        <w:color w:val="A6A6A6" w:themeColor="background1" w:themeShade="A6"/>
        <w:sz w:val="18"/>
        <w:szCs w:val="18"/>
      </w:rPr>
    </w:pPr>
    <w:r w:rsidRPr="00EF23C6">
      <w:rPr>
        <w:color w:val="A6A6A6" w:themeColor="background1" w:themeShade="A6"/>
        <w:sz w:val="18"/>
        <w:szCs w:val="18"/>
      </w:rPr>
      <w:t xml:space="preserve">Funding Request </w:t>
    </w:r>
    <w:r>
      <w:rPr>
        <w:color w:val="A6A6A6" w:themeColor="background1" w:themeShade="A6"/>
        <w:sz w:val="18"/>
        <w:szCs w:val="18"/>
      </w:rPr>
      <w:t>Form</w:t>
    </w:r>
    <w:r w:rsidRPr="00EF23C6">
      <w:rPr>
        <w:color w:val="A6A6A6" w:themeColor="background1" w:themeShade="A6"/>
        <w:sz w:val="18"/>
        <w:szCs w:val="18"/>
      </w:rPr>
      <w:t xml:space="preserve"> </w:t>
    </w:r>
    <w:r>
      <w:rPr>
        <w:color w:val="A6A6A6" w:themeColor="background1" w:themeShade="A6"/>
        <w:sz w:val="18"/>
        <w:szCs w:val="18"/>
      </w:rPr>
      <w:t>–</w:t>
    </w:r>
    <w:r w:rsidRPr="00EF23C6">
      <w:rPr>
        <w:color w:val="A6A6A6" w:themeColor="background1" w:themeShade="A6"/>
        <w:sz w:val="18"/>
        <w:szCs w:val="18"/>
      </w:rPr>
      <w:t xml:space="preserve"> </w:t>
    </w:r>
    <w:r>
      <w:rPr>
        <w:color w:val="A6A6A6" w:themeColor="background1" w:themeShade="A6"/>
        <w:sz w:val="18"/>
        <w:szCs w:val="18"/>
      </w:rPr>
      <w:t>Tailored for Focused Portfolios</w:t>
    </w:r>
  </w:p>
  <w:p w14:paraId="2BEB7DF9" w14:textId="54857839" w:rsidR="009E330A" w:rsidRDefault="009E330A" w:rsidP="00F5709E">
    <w:pPr>
      <w:pStyle w:val="a8"/>
      <w:jc w:val="center"/>
    </w:pPr>
    <w:r>
      <w:rPr>
        <w:color w:val="A6A6A6" w:themeColor="background1" w:themeShade="A6"/>
        <w:sz w:val="18"/>
        <w:szCs w:val="18"/>
      </w:rPr>
      <w:t>Issue Date: March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AAD82" w14:textId="77777777" w:rsidR="00226154" w:rsidRPr="009F52F1" w:rsidRDefault="00226154" w:rsidP="0013691B">
      <w:pPr>
        <w:spacing w:after="0" w:line="240" w:lineRule="auto"/>
      </w:pPr>
      <w:r w:rsidRPr="009F52F1">
        <w:separator/>
      </w:r>
    </w:p>
  </w:footnote>
  <w:footnote w:type="continuationSeparator" w:id="0">
    <w:p w14:paraId="4C65A4DD" w14:textId="77777777" w:rsidR="00226154" w:rsidRPr="009F52F1" w:rsidRDefault="00226154" w:rsidP="0013691B">
      <w:pPr>
        <w:spacing w:after="0" w:line="240" w:lineRule="auto"/>
      </w:pPr>
      <w:r w:rsidRPr="009F52F1">
        <w:continuationSeparator/>
      </w:r>
    </w:p>
  </w:footnote>
  <w:footnote w:type="continuationNotice" w:id="1">
    <w:p w14:paraId="2DBEAD16" w14:textId="77777777" w:rsidR="00226154" w:rsidRDefault="00226154">
      <w:pPr>
        <w:spacing w:after="0" w:line="240" w:lineRule="auto"/>
      </w:pPr>
    </w:p>
  </w:footnote>
  <w:footnote w:id="2">
    <w:p w14:paraId="10AA0A09" w14:textId="77777777" w:rsidR="009E330A" w:rsidRDefault="009E330A" w:rsidP="00F5709E">
      <w:pPr>
        <w:pStyle w:val="ad"/>
        <w:ind w:right="386"/>
      </w:pPr>
      <w:r>
        <w:rPr>
          <w:rStyle w:val="af"/>
        </w:rPr>
        <w:footnoteRef/>
      </w:r>
      <w:r>
        <w:t xml:space="preserve"> </w:t>
      </w:r>
      <w:r w:rsidRPr="001358AD">
        <w:rPr>
          <w:szCs w:val="16"/>
        </w:rPr>
        <w:t>PAARs</w:t>
      </w:r>
      <w:r>
        <w:rPr>
          <w:szCs w:val="16"/>
        </w:rPr>
        <w:t xml:space="preserve"> </w:t>
      </w:r>
      <w:r w:rsidRPr="001358AD">
        <w:rPr>
          <w:szCs w:val="16"/>
        </w:rPr>
        <w:t>can only be submitted with the Funding Request. To complete a P</w:t>
      </w:r>
      <w:r>
        <w:rPr>
          <w:szCs w:val="16"/>
        </w:rPr>
        <w:t>AAR, fill-in the</w:t>
      </w:r>
      <w:r w:rsidRPr="001358AD">
        <w:rPr>
          <w:szCs w:val="16"/>
        </w:rPr>
        <w:t xml:space="preserve"> Excel template</w:t>
      </w:r>
      <w:r>
        <w:rPr>
          <w:szCs w:val="16"/>
        </w:rPr>
        <w:t xml:space="preserve"> that you will receive from the Global Fund Secretariat.</w:t>
      </w:r>
    </w:p>
  </w:footnote>
  <w:footnote w:id="3">
    <w:p w14:paraId="664FAF6B" w14:textId="36184090" w:rsidR="009E330A" w:rsidRDefault="009E330A" w:rsidP="00F5709E">
      <w:pPr>
        <w:pStyle w:val="ad"/>
        <w:ind w:right="386"/>
      </w:pPr>
      <w:r>
        <w:rPr>
          <w:rStyle w:val="af"/>
        </w:rPr>
        <w:footnoteRef/>
      </w:r>
      <w:r w:rsidRPr="00890D60">
        <w:t>This is only relevant for applicants with designated matching funds as indicated in the allocation letter.</w:t>
      </w:r>
    </w:p>
    <w:p w14:paraId="5B719234" w14:textId="77777777" w:rsidR="009E330A" w:rsidRDefault="009E330A" w:rsidP="00F5709E">
      <w:pPr>
        <w:pStyle w:val="ad"/>
        <w:ind w:right="386"/>
      </w:pPr>
    </w:p>
  </w:footnote>
  <w:footnote w:id="4">
    <w:p w14:paraId="0FBF6815" w14:textId="6C77A81B" w:rsidR="009E330A" w:rsidRPr="008D490F" w:rsidRDefault="009E330A" w:rsidP="00AC0246">
      <w:pPr>
        <w:pStyle w:val="ad"/>
        <w:jc w:val="both"/>
        <w:rPr>
          <w:rFonts w:asciiTheme="majorHAnsi" w:hAnsiTheme="majorHAnsi"/>
          <w:szCs w:val="16"/>
        </w:rPr>
      </w:pPr>
      <w:r w:rsidRPr="008D490F">
        <w:rPr>
          <w:rStyle w:val="af"/>
          <w:rFonts w:asciiTheme="majorHAnsi" w:hAnsiTheme="majorHAnsi"/>
          <w:szCs w:val="16"/>
        </w:rPr>
        <w:footnoteRef/>
      </w:r>
      <w:r w:rsidRPr="008D490F">
        <w:rPr>
          <w:rFonts w:asciiTheme="majorHAnsi" w:hAnsiTheme="majorHAnsi"/>
          <w:szCs w:val="16"/>
        </w:rPr>
        <w:t xml:space="preserve"> The World Bank: World Development Indicators, 2020.</w:t>
      </w:r>
    </w:p>
  </w:footnote>
  <w:footnote w:id="5">
    <w:p w14:paraId="3D08A47A" w14:textId="575C8B28" w:rsidR="009E330A" w:rsidRPr="008D490F" w:rsidRDefault="009E330A" w:rsidP="00AC0246">
      <w:pPr>
        <w:pStyle w:val="ad"/>
        <w:jc w:val="both"/>
        <w:rPr>
          <w:rFonts w:asciiTheme="majorHAnsi" w:hAnsiTheme="majorHAnsi"/>
          <w:szCs w:val="16"/>
        </w:rPr>
      </w:pPr>
      <w:r w:rsidRPr="008D490F">
        <w:rPr>
          <w:rStyle w:val="af"/>
          <w:rFonts w:asciiTheme="majorHAnsi" w:hAnsiTheme="majorHAnsi"/>
          <w:szCs w:val="16"/>
        </w:rPr>
        <w:footnoteRef/>
      </w:r>
      <w:r w:rsidRPr="008D490F">
        <w:rPr>
          <w:rFonts w:asciiTheme="majorHAnsi" w:hAnsiTheme="majorHAnsi"/>
          <w:szCs w:val="16"/>
        </w:rPr>
        <w:t xml:space="preserve"> Ministry of National Economy of the Republic of Kazakhstan Statistics Committee. Available from: </w:t>
      </w:r>
      <w:hyperlink r:id="rId1" w:history="1">
        <w:r w:rsidRPr="008D490F">
          <w:rPr>
            <w:rStyle w:val="af9"/>
            <w:rFonts w:asciiTheme="majorHAnsi" w:hAnsiTheme="majorHAnsi"/>
            <w:szCs w:val="16"/>
          </w:rPr>
          <w:t>https://stat.gov.kz</w:t>
        </w:r>
      </w:hyperlink>
      <w:r w:rsidRPr="008D490F">
        <w:rPr>
          <w:rFonts w:asciiTheme="majorHAnsi" w:hAnsiTheme="majorHAnsi"/>
          <w:szCs w:val="16"/>
        </w:rPr>
        <w:t>; accessed on 11 October 2021.</w:t>
      </w:r>
    </w:p>
  </w:footnote>
  <w:footnote w:id="6">
    <w:p w14:paraId="0F9AB4AA" w14:textId="3E2AD489" w:rsidR="009E330A" w:rsidRPr="008D490F" w:rsidRDefault="009E330A" w:rsidP="00AC0246">
      <w:pPr>
        <w:widowControl w:val="0"/>
        <w:autoSpaceDE w:val="0"/>
        <w:autoSpaceDN w:val="0"/>
        <w:adjustRightInd w:val="0"/>
        <w:spacing w:after="0" w:line="240" w:lineRule="auto"/>
        <w:jc w:val="both"/>
        <w:rPr>
          <w:rFonts w:asciiTheme="majorHAnsi" w:hAnsiTheme="majorHAnsi" w:cs="Times"/>
          <w:sz w:val="16"/>
          <w:szCs w:val="16"/>
        </w:rPr>
      </w:pPr>
      <w:r w:rsidRPr="008D490F">
        <w:rPr>
          <w:rStyle w:val="af"/>
          <w:rFonts w:asciiTheme="majorHAnsi" w:hAnsiTheme="majorHAnsi"/>
          <w:sz w:val="16"/>
          <w:szCs w:val="16"/>
        </w:rPr>
        <w:footnoteRef/>
      </w:r>
      <w:r w:rsidRPr="008D490F">
        <w:rPr>
          <w:rFonts w:asciiTheme="majorHAnsi" w:hAnsiTheme="majorHAnsi"/>
          <w:sz w:val="16"/>
          <w:szCs w:val="16"/>
        </w:rPr>
        <w:t xml:space="preserve"> The World Bank: World Development Indicators, 2020. </w:t>
      </w:r>
    </w:p>
  </w:footnote>
  <w:footnote w:id="7">
    <w:p w14:paraId="4A9F1FC1" w14:textId="77777777" w:rsidR="009E330A" w:rsidRPr="008D490F" w:rsidRDefault="009E330A" w:rsidP="00AC0246">
      <w:pPr>
        <w:pStyle w:val="ad"/>
        <w:jc w:val="both"/>
        <w:rPr>
          <w:rFonts w:asciiTheme="majorHAnsi" w:hAnsiTheme="majorHAnsi"/>
          <w:szCs w:val="16"/>
        </w:rPr>
      </w:pPr>
      <w:r w:rsidRPr="008D490F">
        <w:rPr>
          <w:rStyle w:val="af"/>
          <w:rFonts w:asciiTheme="majorHAnsi" w:hAnsiTheme="majorHAnsi"/>
          <w:szCs w:val="16"/>
        </w:rPr>
        <w:footnoteRef/>
      </w:r>
      <w:r w:rsidRPr="008D490F">
        <w:rPr>
          <w:rFonts w:asciiTheme="majorHAnsi" w:hAnsiTheme="majorHAnsi"/>
          <w:szCs w:val="16"/>
        </w:rPr>
        <w:t xml:space="preserve"> The World Bank: World Development Indicators, 2019.</w:t>
      </w:r>
    </w:p>
  </w:footnote>
  <w:footnote w:id="8">
    <w:p w14:paraId="3518B929" w14:textId="77777777" w:rsidR="009E330A" w:rsidRPr="00765C1E" w:rsidRDefault="009E330A" w:rsidP="0045066A">
      <w:pPr>
        <w:spacing w:after="0" w:line="240" w:lineRule="auto"/>
        <w:jc w:val="both"/>
        <w:rPr>
          <w:rFonts w:asciiTheme="majorHAnsi" w:hAnsiTheme="majorHAnsi"/>
          <w:sz w:val="16"/>
          <w:szCs w:val="16"/>
        </w:rPr>
      </w:pPr>
      <w:r w:rsidRPr="00765C1E">
        <w:rPr>
          <w:rStyle w:val="af"/>
          <w:rFonts w:asciiTheme="majorHAnsi" w:hAnsiTheme="majorHAnsi"/>
          <w:sz w:val="16"/>
          <w:szCs w:val="16"/>
        </w:rPr>
        <w:footnoteRef/>
      </w:r>
      <w:r>
        <w:rPr>
          <w:rFonts w:asciiTheme="majorHAnsi" w:hAnsiTheme="majorHAnsi"/>
          <w:sz w:val="16"/>
          <w:szCs w:val="16"/>
        </w:rPr>
        <w:t xml:space="preserve"> Government Decree </w:t>
      </w:r>
      <w:r w:rsidRPr="00AF60A3">
        <w:rPr>
          <w:rFonts w:asciiTheme="majorHAnsi" w:hAnsiTheme="majorHAnsi"/>
          <w:sz w:val="16"/>
          <w:szCs w:val="16"/>
        </w:rPr>
        <w:t>No. 725.On the approval of the national project "High-quality and affordable health care</w:t>
      </w:r>
      <w:r>
        <w:rPr>
          <w:rFonts w:asciiTheme="majorHAnsi" w:hAnsiTheme="majorHAnsi"/>
          <w:sz w:val="16"/>
          <w:szCs w:val="16"/>
        </w:rPr>
        <w:t xml:space="preserve"> </w:t>
      </w:r>
      <w:r w:rsidRPr="00AF60A3">
        <w:rPr>
          <w:rFonts w:asciiTheme="majorHAnsi" w:hAnsiTheme="majorHAnsi"/>
          <w:sz w:val="16"/>
          <w:szCs w:val="16"/>
        </w:rPr>
        <w:t>for every citizen "Healthy nation"</w:t>
      </w:r>
      <w:r>
        <w:rPr>
          <w:rFonts w:asciiTheme="majorHAnsi" w:hAnsiTheme="majorHAnsi"/>
          <w:sz w:val="16"/>
          <w:szCs w:val="16"/>
        </w:rPr>
        <w:t xml:space="preserve">, 12 October 2021. </w:t>
      </w:r>
    </w:p>
    <w:p w14:paraId="108438AF" w14:textId="77777777" w:rsidR="009E330A" w:rsidRPr="00765C1E" w:rsidRDefault="009E330A" w:rsidP="0045066A">
      <w:pPr>
        <w:jc w:val="both"/>
        <w:rPr>
          <w:rFonts w:asciiTheme="majorHAnsi" w:hAnsiTheme="majorHAnsi"/>
          <w:sz w:val="16"/>
          <w:szCs w:val="16"/>
        </w:rPr>
      </w:pPr>
    </w:p>
  </w:footnote>
  <w:footnote w:id="9">
    <w:p w14:paraId="186F2C38" w14:textId="7C72D8F3" w:rsidR="009E330A" w:rsidRDefault="009E330A">
      <w:pPr>
        <w:pStyle w:val="ad"/>
      </w:pPr>
      <w:r>
        <w:rPr>
          <w:rStyle w:val="af"/>
        </w:rPr>
        <w:footnoteRef/>
      </w:r>
      <w:r>
        <w:t xml:space="preserve"> Available from: </w:t>
      </w:r>
      <w:hyperlink r:id="rId2" w:history="1">
        <w:r w:rsidRPr="00AF7B4F">
          <w:rPr>
            <w:rStyle w:val="af9"/>
          </w:rPr>
          <w:t>https://www.akorda.kz/ru/official_documents/strategies_and_programs</w:t>
        </w:r>
      </w:hyperlink>
      <w:r>
        <w:t xml:space="preserve">. Accessed on 5 November 2021. </w:t>
      </w:r>
    </w:p>
  </w:footnote>
  <w:footnote w:id="10">
    <w:p w14:paraId="1609BBD3" w14:textId="77777777" w:rsidR="009E330A" w:rsidRPr="004750AE" w:rsidRDefault="009E330A" w:rsidP="00923A6E">
      <w:pPr>
        <w:pStyle w:val="ad"/>
        <w:rPr>
          <w:szCs w:val="16"/>
        </w:rPr>
      </w:pPr>
      <w:r w:rsidRPr="004750AE">
        <w:rPr>
          <w:rStyle w:val="af"/>
          <w:szCs w:val="16"/>
        </w:rPr>
        <w:footnoteRef/>
      </w:r>
      <w:r w:rsidRPr="004750AE">
        <w:rPr>
          <w:szCs w:val="16"/>
        </w:rPr>
        <w:t xml:space="preserve"> Explanatory Note to the draft Law of the Republic of Kazakhstan "On the republican budget for 2022 - 2024", Ministry of Finance of the RK, 2021. </w:t>
      </w:r>
    </w:p>
  </w:footnote>
  <w:footnote w:id="11">
    <w:p w14:paraId="1985094D" w14:textId="77777777" w:rsidR="009E330A" w:rsidRPr="007D0D31" w:rsidRDefault="009E330A" w:rsidP="00AB7CE7">
      <w:pPr>
        <w:pStyle w:val="1"/>
        <w:numPr>
          <w:ilvl w:val="0"/>
          <w:numId w:val="0"/>
        </w:numPr>
        <w:spacing w:before="0" w:after="0" w:line="240" w:lineRule="auto"/>
        <w:rPr>
          <w:rFonts w:asciiTheme="majorHAnsi" w:eastAsia="Times New Roman" w:hAnsiTheme="majorHAnsi" w:cstheme="majorHAnsi"/>
          <w:bCs w:val="0"/>
          <w:sz w:val="16"/>
          <w:szCs w:val="16"/>
        </w:rPr>
      </w:pPr>
      <w:r w:rsidRPr="007D0D31">
        <w:rPr>
          <w:rStyle w:val="af"/>
          <w:rFonts w:asciiTheme="majorHAnsi" w:hAnsiTheme="majorHAnsi" w:cstheme="majorHAnsi"/>
          <w:sz w:val="16"/>
          <w:szCs w:val="16"/>
        </w:rPr>
        <w:footnoteRef/>
      </w:r>
      <w:r w:rsidRPr="007D0D31">
        <w:rPr>
          <w:rFonts w:asciiTheme="majorHAnsi" w:hAnsiTheme="majorHAnsi" w:cstheme="majorHAnsi"/>
          <w:sz w:val="16"/>
          <w:szCs w:val="16"/>
        </w:rPr>
        <w:t xml:space="preserve"> “</w:t>
      </w:r>
      <w:r w:rsidRPr="007D0D31">
        <w:rPr>
          <w:rFonts w:asciiTheme="majorHAnsi" w:eastAsia="Times New Roman" w:hAnsiTheme="majorHAnsi" w:cstheme="majorHAnsi"/>
          <w:bCs w:val="0"/>
          <w:sz w:val="16"/>
          <w:szCs w:val="16"/>
        </w:rPr>
        <w:t>Kazakhstan’s Economy to Recover Modestly in 2021, But COVID-19-induced Poverty on the Rise, Says World Bank” Available from: https://www.worldbank.org/en/news/press-release/2021/01/29/kazakhstan-economic-update-december-2020.</w:t>
      </w:r>
    </w:p>
  </w:footnote>
  <w:footnote w:id="12">
    <w:p w14:paraId="1FC28513" w14:textId="77777777" w:rsidR="009E330A" w:rsidRPr="007D0D31" w:rsidRDefault="009E330A" w:rsidP="00AB7CE7">
      <w:pPr>
        <w:spacing w:after="0" w:line="240" w:lineRule="auto"/>
        <w:jc w:val="both"/>
        <w:rPr>
          <w:rFonts w:asciiTheme="majorHAnsi" w:hAnsiTheme="majorHAnsi" w:cstheme="majorHAnsi"/>
          <w:sz w:val="16"/>
          <w:szCs w:val="16"/>
        </w:rPr>
      </w:pPr>
      <w:r w:rsidRPr="007D0D31">
        <w:rPr>
          <w:rStyle w:val="af"/>
          <w:sz w:val="16"/>
          <w:szCs w:val="16"/>
        </w:rPr>
        <w:footnoteRef/>
      </w:r>
      <w:r w:rsidRPr="007D0D31">
        <w:rPr>
          <w:sz w:val="16"/>
          <w:szCs w:val="16"/>
        </w:rPr>
        <w:t xml:space="preserve"> </w:t>
      </w:r>
      <w:r w:rsidRPr="007D0D31">
        <w:rPr>
          <w:rFonts w:asciiTheme="majorHAnsi" w:eastAsia="Times New Roman" w:hAnsiTheme="majorHAnsi" w:cstheme="majorHAnsi"/>
          <w:bCs/>
          <w:sz w:val="16"/>
          <w:szCs w:val="16"/>
        </w:rPr>
        <w:t>Regional Economic Outlook: Arising from the Pandemic: Building Forward Better. IMF, April 2021</w:t>
      </w:r>
    </w:p>
  </w:footnote>
  <w:footnote w:id="13">
    <w:p w14:paraId="6AA09C3A" w14:textId="77777777" w:rsidR="009E330A" w:rsidRPr="005B7A91" w:rsidRDefault="009E330A" w:rsidP="008C47CD">
      <w:pPr>
        <w:pStyle w:val="ad"/>
        <w:rPr>
          <w:szCs w:val="16"/>
        </w:rPr>
      </w:pPr>
      <w:r w:rsidRPr="005B7A91">
        <w:rPr>
          <w:rStyle w:val="af"/>
          <w:szCs w:val="16"/>
        </w:rPr>
        <w:footnoteRef/>
      </w:r>
      <w:r w:rsidRPr="005B7A91">
        <w:rPr>
          <w:szCs w:val="16"/>
        </w:rPr>
        <w:t xml:space="preserve"> Law of the Republic of Kazakhstan “On the ratification of the Loan Agreement (Ordinary Operations) (Active Measures to Combat COVID-19</w:t>
      </w:r>
    </w:p>
    <w:p w14:paraId="2E965B7A" w14:textId="77777777" w:rsidR="009E330A" w:rsidRPr="005B7A91" w:rsidRDefault="009E330A" w:rsidP="008C47CD">
      <w:pPr>
        <w:pStyle w:val="ad"/>
        <w:rPr>
          <w:szCs w:val="16"/>
        </w:rPr>
      </w:pPr>
      <w:r w:rsidRPr="005B7A91">
        <w:rPr>
          <w:szCs w:val="16"/>
        </w:rPr>
        <w:t xml:space="preserve">and cost support program) between the Republic of Kazakhstan and the Asian Development Bank”, 21 December 2020.  </w:t>
      </w:r>
    </w:p>
  </w:footnote>
  <w:footnote w:id="14">
    <w:p w14:paraId="59401B34" w14:textId="77777777" w:rsidR="009E330A" w:rsidRPr="005B7A91" w:rsidRDefault="009E330A" w:rsidP="008C47CD">
      <w:pPr>
        <w:pStyle w:val="ad"/>
        <w:rPr>
          <w:szCs w:val="16"/>
        </w:rPr>
      </w:pPr>
      <w:r w:rsidRPr="005B7A91">
        <w:rPr>
          <w:rStyle w:val="af"/>
          <w:szCs w:val="16"/>
        </w:rPr>
        <w:footnoteRef/>
      </w:r>
      <w:r w:rsidRPr="005B7A91">
        <w:rPr>
          <w:szCs w:val="16"/>
        </w:rPr>
        <w:t xml:space="preserve"> Law of the Republic of Kazakhstan No. 388-VI ЗРК “On the ratification of the Loan Agreement (Active Measures to Combat COVID-19 and the Expenditure Support Program) between the Republic of Kazakhstan and the Asian Infrastructure Investment Bank”, 21 December 2020.</w:t>
      </w:r>
    </w:p>
    <w:p w14:paraId="0B608976" w14:textId="77777777" w:rsidR="009E330A" w:rsidRPr="005B7A91" w:rsidRDefault="009E330A" w:rsidP="008C47CD">
      <w:pPr>
        <w:pStyle w:val="ad"/>
        <w:rPr>
          <w:szCs w:val="16"/>
        </w:rPr>
      </w:pPr>
      <w:r w:rsidRPr="005B7A91">
        <w:rPr>
          <w:szCs w:val="16"/>
        </w:rPr>
        <w:t>Available from: https://adilet.zan.kz/rus/docs/Z2000000388</w:t>
      </w:r>
      <w:r>
        <w:rPr>
          <w:szCs w:val="16"/>
        </w:rPr>
        <w:t>.</w:t>
      </w:r>
    </w:p>
  </w:footnote>
  <w:footnote w:id="15">
    <w:p w14:paraId="0FB56707" w14:textId="0DEE7F9D" w:rsidR="009E330A" w:rsidRPr="00D72F08" w:rsidRDefault="009E330A">
      <w:pPr>
        <w:pStyle w:val="ad"/>
        <w:rPr>
          <w:rFonts w:asciiTheme="majorHAnsi" w:hAnsiTheme="majorHAnsi" w:cstheme="majorHAnsi"/>
          <w:szCs w:val="16"/>
        </w:rPr>
      </w:pPr>
      <w:r w:rsidRPr="00D72F08">
        <w:rPr>
          <w:rStyle w:val="af"/>
          <w:rFonts w:asciiTheme="majorHAnsi" w:hAnsiTheme="majorHAnsi" w:cstheme="majorHAnsi"/>
          <w:szCs w:val="16"/>
        </w:rPr>
        <w:footnoteRef/>
      </w:r>
      <w:r w:rsidRPr="00D72F08">
        <w:rPr>
          <w:rFonts w:asciiTheme="majorHAnsi" w:hAnsiTheme="majorHAnsi" w:cstheme="majorHAnsi"/>
          <w:szCs w:val="16"/>
        </w:rPr>
        <w:t xml:space="preserve"> President Decree </w:t>
      </w:r>
      <w:r w:rsidRPr="00D72F08">
        <w:rPr>
          <w:rFonts w:asciiTheme="majorHAnsi" w:eastAsia="Times New Roman" w:hAnsiTheme="majorHAnsi" w:cstheme="majorHAnsi"/>
          <w:szCs w:val="16"/>
        </w:rPr>
        <w:t xml:space="preserve">No. 520 dated </w:t>
      </w:r>
      <w:r>
        <w:rPr>
          <w:rFonts w:asciiTheme="majorHAnsi" w:eastAsia="Times New Roman" w:hAnsiTheme="majorHAnsi" w:cstheme="majorHAnsi"/>
          <w:szCs w:val="16"/>
        </w:rPr>
        <w:t xml:space="preserve">26 February </w:t>
      </w:r>
      <w:r w:rsidRPr="00D72F08">
        <w:rPr>
          <w:rFonts w:asciiTheme="majorHAnsi" w:eastAsia="Times New Roman" w:hAnsiTheme="majorHAnsi" w:cstheme="majorHAnsi"/>
          <w:szCs w:val="16"/>
        </w:rPr>
        <w:t xml:space="preserve">2021. </w:t>
      </w:r>
    </w:p>
  </w:footnote>
  <w:footnote w:id="16">
    <w:p w14:paraId="7468C8EE" w14:textId="7AF31FA4" w:rsidR="009E330A" w:rsidRPr="0006069D" w:rsidRDefault="009E330A" w:rsidP="00305CAE">
      <w:pPr>
        <w:pStyle w:val="ad"/>
        <w:jc w:val="both"/>
        <w:rPr>
          <w:rFonts w:asciiTheme="majorHAnsi" w:hAnsiTheme="majorHAnsi"/>
        </w:rPr>
      </w:pPr>
      <w:r w:rsidRPr="0006069D">
        <w:rPr>
          <w:rStyle w:val="af"/>
          <w:rFonts w:asciiTheme="majorHAnsi" w:hAnsiTheme="majorHAnsi"/>
        </w:rPr>
        <w:footnoteRef/>
      </w:r>
      <w:r w:rsidRPr="0006069D">
        <w:rPr>
          <w:rFonts w:asciiTheme="majorHAnsi" w:hAnsiTheme="majorHAnsi"/>
        </w:rPr>
        <w:t xml:space="preserve"> </w:t>
      </w:r>
      <w:r>
        <w:rPr>
          <w:rFonts w:asciiTheme="majorHAnsi" w:hAnsiTheme="majorHAnsi"/>
        </w:rPr>
        <w:t xml:space="preserve">2019 National Health Accounts. Available from: </w:t>
      </w:r>
      <w:r w:rsidRPr="00305CAE">
        <w:rPr>
          <w:rFonts w:asciiTheme="majorHAnsi" w:hAnsiTheme="majorHAnsi"/>
        </w:rPr>
        <w:t>http://www.rcrz.kz/index.php/ru/2017-03-12-10-51-14/nats-scheta-zdravookhraneniya-ntsz</w:t>
      </w:r>
    </w:p>
  </w:footnote>
  <w:footnote w:id="17">
    <w:p w14:paraId="53079BF3" w14:textId="77777777" w:rsidR="009E330A" w:rsidRPr="008861A8" w:rsidRDefault="009E330A" w:rsidP="009F69F1">
      <w:pPr>
        <w:pStyle w:val="ad"/>
        <w:rPr>
          <w:rFonts w:cs="Arial"/>
          <w:color w:val="000000"/>
          <w:szCs w:val="16"/>
        </w:rPr>
      </w:pPr>
      <w:r w:rsidRPr="00454B8E">
        <w:rPr>
          <w:rStyle w:val="af"/>
          <w:rFonts w:cs="Arial"/>
          <w:szCs w:val="16"/>
        </w:rPr>
        <w:footnoteRef/>
      </w:r>
      <w:r w:rsidRPr="00454B8E">
        <w:rPr>
          <w:rFonts w:cs="Arial"/>
          <w:szCs w:val="16"/>
        </w:rPr>
        <w:t xml:space="preserve"> Government </w:t>
      </w:r>
      <w:r>
        <w:rPr>
          <w:rFonts w:cs="Arial"/>
          <w:color w:val="000000"/>
          <w:szCs w:val="16"/>
        </w:rPr>
        <w:t>Decree N389, 01 July 2016 on establishment of social health insurance fund.</w:t>
      </w:r>
    </w:p>
  </w:footnote>
  <w:footnote w:id="18">
    <w:p w14:paraId="65F6A5D9" w14:textId="77777777" w:rsidR="009E330A" w:rsidRPr="00454B8E" w:rsidRDefault="009E330A" w:rsidP="009F69F1">
      <w:pPr>
        <w:pStyle w:val="ad"/>
        <w:jc w:val="both"/>
        <w:rPr>
          <w:rFonts w:cs="Arial"/>
          <w:szCs w:val="16"/>
        </w:rPr>
      </w:pPr>
      <w:r w:rsidRPr="00454B8E">
        <w:rPr>
          <w:rStyle w:val="af"/>
          <w:rFonts w:cs="Arial"/>
          <w:szCs w:val="16"/>
        </w:rPr>
        <w:footnoteRef/>
      </w:r>
      <w:r w:rsidRPr="00454B8E">
        <w:rPr>
          <w:rFonts w:cs="Arial"/>
          <w:szCs w:val="16"/>
        </w:rPr>
        <w:t xml:space="preserve"> SHIF. Available from: https://fms.kz.</w:t>
      </w:r>
    </w:p>
  </w:footnote>
  <w:footnote w:id="19">
    <w:p w14:paraId="4245573D" w14:textId="77777777" w:rsidR="009E330A" w:rsidRPr="00454B8E" w:rsidRDefault="009E330A" w:rsidP="009F69F1">
      <w:pPr>
        <w:pStyle w:val="ad"/>
        <w:rPr>
          <w:rFonts w:cs="Arial"/>
          <w:szCs w:val="16"/>
        </w:rPr>
      </w:pPr>
      <w:r w:rsidRPr="00454B8E">
        <w:rPr>
          <w:rStyle w:val="af"/>
          <w:rFonts w:cs="Arial"/>
          <w:szCs w:val="16"/>
        </w:rPr>
        <w:footnoteRef/>
      </w:r>
      <w:r w:rsidRPr="00454B8E">
        <w:rPr>
          <w:rFonts w:cs="Arial"/>
          <w:szCs w:val="16"/>
        </w:rPr>
        <w:t xml:space="preserve"> The CSHI’ coordinating and controlling functions belong to Coordination Department of Compulsory Social Health Insurance, established at the MoH.</w:t>
      </w:r>
    </w:p>
  </w:footnote>
  <w:footnote w:id="20">
    <w:p w14:paraId="79309E17" w14:textId="5766A913" w:rsidR="009E330A" w:rsidRPr="00E760A3" w:rsidRDefault="009E330A" w:rsidP="009F69F1">
      <w:pPr>
        <w:pStyle w:val="ad"/>
        <w:rPr>
          <w:rFonts w:cs="Arial"/>
          <w:szCs w:val="16"/>
        </w:rPr>
      </w:pPr>
      <w:r w:rsidRPr="00E760A3">
        <w:rPr>
          <w:rStyle w:val="af"/>
          <w:rFonts w:cs="Arial"/>
          <w:szCs w:val="16"/>
        </w:rPr>
        <w:footnoteRef/>
      </w:r>
      <w:r w:rsidRPr="00E760A3">
        <w:rPr>
          <w:rFonts w:cs="Arial"/>
          <w:szCs w:val="16"/>
        </w:rPr>
        <w:t xml:space="preserve"> Article 159 of the</w:t>
      </w:r>
      <w:r>
        <w:rPr>
          <w:rFonts w:cs="Arial"/>
          <w:szCs w:val="16"/>
        </w:rPr>
        <w:t xml:space="preserve"> Code on health and healthcare system</w:t>
      </w:r>
      <w:r w:rsidRPr="00E760A3">
        <w:rPr>
          <w:rFonts w:cs="Arial"/>
          <w:szCs w:val="16"/>
        </w:rPr>
        <w:t>.</w:t>
      </w:r>
    </w:p>
  </w:footnote>
  <w:footnote w:id="21">
    <w:p w14:paraId="26F34622" w14:textId="77777777" w:rsidR="009E330A" w:rsidRPr="00E760A3" w:rsidRDefault="009E330A" w:rsidP="009F69F1">
      <w:pPr>
        <w:pStyle w:val="ad"/>
        <w:jc w:val="both"/>
        <w:rPr>
          <w:rFonts w:cs="Arial"/>
          <w:szCs w:val="16"/>
        </w:rPr>
      </w:pPr>
      <w:r w:rsidRPr="00E760A3">
        <w:rPr>
          <w:rStyle w:val="af"/>
          <w:rFonts w:cs="Arial"/>
          <w:szCs w:val="16"/>
        </w:rPr>
        <w:footnoteRef/>
      </w:r>
      <w:r w:rsidRPr="00E760A3">
        <w:rPr>
          <w:rFonts w:cs="Arial"/>
          <w:szCs w:val="16"/>
        </w:rPr>
        <w:t xml:space="preserve"> Diagnostic services to detect TB in suspects; diagnostic and treatment of patients with active TB and dispensary monitoring of persons registered in the NRTB subsystem; socio-psychological care to TB patients; recovery and rehabilitation treatment.</w:t>
      </w:r>
    </w:p>
  </w:footnote>
  <w:footnote w:id="22">
    <w:p w14:paraId="5DD64092" w14:textId="77777777" w:rsidR="009E330A" w:rsidRPr="00E760A3" w:rsidRDefault="009E330A" w:rsidP="009F69F1">
      <w:pPr>
        <w:pStyle w:val="ad"/>
        <w:rPr>
          <w:szCs w:val="16"/>
        </w:rPr>
      </w:pPr>
      <w:r w:rsidRPr="00E760A3">
        <w:rPr>
          <w:rStyle w:val="af"/>
          <w:szCs w:val="16"/>
        </w:rPr>
        <w:footnoteRef/>
      </w:r>
      <w:r w:rsidRPr="00E760A3">
        <w:rPr>
          <w:szCs w:val="16"/>
        </w:rPr>
        <w:t xml:space="preserve"> The MoH Order № ҚР ДСМ-291/2020 “On approval of the rules for payment of healthcare services within the guaranteed volume of free medical care and (or) in the system of compulsory social health insurance”, December 2020. </w:t>
      </w:r>
    </w:p>
  </w:footnote>
  <w:footnote w:id="23">
    <w:p w14:paraId="7F78000B" w14:textId="77777777" w:rsidR="009E330A" w:rsidRPr="00C06F4F" w:rsidRDefault="009E330A" w:rsidP="009F69F1">
      <w:pPr>
        <w:pStyle w:val="ad"/>
        <w:jc w:val="both"/>
        <w:rPr>
          <w:rFonts w:cs="Arial"/>
          <w:szCs w:val="16"/>
        </w:rPr>
      </w:pPr>
      <w:r w:rsidRPr="00C06F4F">
        <w:rPr>
          <w:rStyle w:val="af"/>
          <w:rFonts w:cs="Arial"/>
          <w:szCs w:val="16"/>
        </w:rPr>
        <w:footnoteRef/>
      </w:r>
      <w:r w:rsidRPr="00C06F4F">
        <w:rPr>
          <w:rFonts w:cs="Arial"/>
          <w:szCs w:val="16"/>
        </w:rPr>
        <w:t xml:space="preserve"> Optimizing the budget, reducing the level of the "shadow" </w:t>
      </w:r>
      <w:proofErr w:type="gramStart"/>
      <w:r w:rsidRPr="00C06F4F">
        <w:rPr>
          <w:rFonts w:cs="Arial"/>
          <w:szCs w:val="16"/>
        </w:rPr>
        <w:t>economy</w:t>
      </w:r>
      <w:proofErr w:type="gramEnd"/>
      <w:r w:rsidRPr="00C06F4F">
        <w:rPr>
          <w:rFonts w:cs="Arial"/>
          <w:szCs w:val="16"/>
        </w:rPr>
        <w:t xml:space="preserve"> and improving public procurement”. Minister of Finance. Available from:  https://www.primeminister.kz/ru/news/reviews/optimizaciya-byudzheta-snizhenie-urovnya-tenevoy-ekonomiki-i-sovershenstvovanie-goszakupok-ministr-finansov-otchitalsya-pered-naseleniem-1553932</w:t>
      </w:r>
    </w:p>
  </w:footnote>
  <w:footnote w:id="24">
    <w:p w14:paraId="39A6B27D" w14:textId="77777777" w:rsidR="009E330A" w:rsidRPr="00C06F4F" w:rsidRDefault="009E330A" w:rsidP="009F69F1">
      <w:pPr>
        <w:spacing w:after="0" w:line="240" w:lineRule="auto"/>
        <w:jc w:val="both"/>
        <w:rPr>
          <w:rFonts w:cs="Arial"/>
          <w:sz w:val="16"/>
          <w:szCs w:val="16"/>
        </w:rPr>
      </w:pPr>
      <w:r w:rsidRPr="00C06F4F">
        <w:rPr>
          <w:rStyle w:val="af"/>
          <w:rFonts w:cs="Arial"/>
          <w:sz w:val="16"/>
          <w:szCs w:val="16"/>
        </w:rPr>
        <w:footnoteRef/>
      </w:r>
      <w:r w:rsidRPr="00C06F4F">
        <w:rPr>
          <w:rFonts w:cs="Arial"/>
          <w:sz w:val="16"/>
          <w:szCs w:val="16"/>
        </w:rPr>
        <w:t xml:space="preserve"> Government decree No. 375 "On approval of the Rules for organizing and conducting the procurement of medicines, medical devices and specialized medical </w:t>
      </w:r>
      <w:proofErr w:type="gramStart"/>
      <w:r w:rsidRPr="00C06F4F">
        <w:rPr>
          <w:rFonts w:cs="Arial"/>
          <w:sz w:val="16"/>
          <w:szCs w:val="16"/>
        </w:rPr>
        <w:t xml:space="preserve">products </w:t>
      </w:r>
      <w:r>
        <w:rPr>
          <w:rFonts w:cs="Arial"/>
          <w:sz w:val="16"/>
          <w:szCs w:val="16"/>
        </w:rPr>
        <w:t xml:space="preserve"> </w:t>
      </w:r>
      <w:r w:rsidRPr="00C06F4F">
        <w:rPr>
          <w:rFonts w:cs="Arial"/>
          <w:sz w:val="16"/>
          <w:szCs w:val="16"/>
        </w:rPr>
        <w:t>within</w:t>
      </w:r>
      <w:proofErr w:type="gramEnd"/>
      <w:r w:rsidRPr="00C06F4F">
        <w:rPr>
          <w:rFonts w:cs="Arial"/>
          <w:sz w:val="16"/>
          <w:szCs w:val="16"/>
        </w:rPr>
        <w:t xml:space="preserve"> the guaranteed volume of free medical care and (or) in the system of compulsory social health insurance". June 4, 2021</w:t>
      </w:r>
      <w:r>
        <w:rPr>
          <w:rFonts w:cs="Arial"/>
          <w:sz w:val="16"/>
          <w:szCs w:val="16"/>
        </w:rPr>
        <w:t>.</w:t>
      </w:r>
    </w:p>
  </w:footnote>
  <w:footnote w:id="25">
    <w:p w14:paraId="468C67DB" w14:textId="7A62A873" w:rsidR="009E330A" w:rsidRPr="00686B66" w:rsidRDefault="009E330A" w:rsidP="00686B66">
      <w:pPr>
        <w:spacing w:after="0" w:line="240" w:lineRule="auto"/>
        <w:jc w:val="both"/>
        <w:rPr>
          <w:rFonts w:cs="Arial"/>
          <w:sz w:val="16"/>
          <w:szCs w:val="16"/>
        </w:rPr>
      </w:pPr>
      <w:r w:rsidRPr="00C06F4F">
        <w:rPr>
          <w:rStyle w:val="af"/>
          <w:rFonts w:cs="Arial"/>
          <w:sz w:val="16"/>
          <w:szCs w:val="16"/>
        </w:rPr>
        <w:footnoteRef/>
      </w:r>
      <w:r w:rsidRPr="00C06F4F">
        <w:rPr>
          <w:rFonts w:cs="Arial"/>
          <w:sz w:val="16"/>
          <w:szCs w:val="16"/>
        </w:rPr>
        <w:t xml:space="preserve"> The MoH order № ҚР ДСМ-89 on “Rules for the provision of medicines and medical</w:t>
      </w:r>
      <w:r>
        <w:rPr>
          <w:rFonts w:cs="Arial"/>
          <w:sz w:val="16"/>
          <w:szCs w:val="16"/>
        </w:rPr>
        <w:t xml:space="preserve"> </w:t>
      </w:r>
      <w:r w:rsidRPr="00C06F4F">
        <w:rPr>
          <w:rFonts w:cs="Arial"/>
          <w:sz w:val="16"/>
          <w:szCs w:val="16"/>
        </w:rPr>
        <w:t>products within the guaranteed volume of free medical care and (or) in the system of compulsory social medical insurance”, 20 August 2021.</w:t>
      </w:r>
    </w:p>
  </w:footnote>
  <w:footnote w:id="26">
    <w:p w14:paraId="13791DBE" w14:textId="77777777" w:rsidR="009E330A" w:rsidRPr="007A592C" w:rsidRDefault="009E330A" w:rsidP="00741D88">
      <w:pPr>
        <w:spacing w:after="0" w:line="240" w:lineRule="auto"/>
        <w:jc w:val="both"/>
        <w:rPr>
          <w:rFonts w:asciiTheme="majorHAnsi" w:hAnsiTheme="majorHAnsi"/>
          <w:sz w:val="16"/>
          <w:szCs w:val="16"/>
        </w:rPr>
      </w:pPr>
      <w:r w:rsidRPr="007A592C">
        <w:rPr>
          <w:rFonts w:asciiTheme="majorHAnsi" w:hAnsiTheme="majorHAnsi"/>
          <w:sz w:val="16"/>
          <w:szCs w:val="16"/>
          <w:vertAlign w:val="superscript"/>
        </w:rPr>
        <w:footnoteRef/>
      </w:r>
      <w:r w:rsidRPr="007A592C">
        <w:rPr>
          <w:rFonts w:asciiTheme="majorHAnsi" w:hAnsiTheme="majorHAnsi"/>
          <w:sz w:val="16"/>
          <w:szCs w:val="16"/>
          <w:vertAlign w:val="superscript"/>
        </w:rPr>
        <w:t xml:space="preserve"> </w:t>
      </w:r>
      <w:r w:rsidRPr="007A592C">
        <w:rPr>
          <w:rFonts w:asciiTheme="majorHAnsi" w:hAnsiTheme="majorHAnsi"/>
          <w:sz w:val="16"/>
          <w:szCs w:val="16"/>
        </w:rPr>
        <w:t>Law N429-V "On state social order, grants and awards for non-governmental organizations in the Republic of Kazakhstan”, amended on 19 April 2019.</w:t>
      </w:r>
    </w:p>
  </w:footnote>
  <w:footnote w:id="27">
    <w:p w14:paraId="2876CC0E" w14:textId="77777777" w:rsidR="009E330A" w:rsidRPr="007A592C" w:rsidRDefault="009E330A" w:rsidP="00741D88">
      <w:pPr>
        <w:pStyle w:val="ad"/>
        <w:jc w:val="both"/>
        <w:rPr>
          <w:rFonts w:asciiTheme="majorHAnsi" w:hAnsiTheme="majorHAnsi"/>
          <w:szCs w:val="16"/>
        </w:rPr>
      </w:pPr>
      <w:r w:rsidRPr="007A592C">
        <w:rPr>
          <w:rStyle w:val="af"/>
          <w:rFonts w:asciiTheme="majorHAnsi" w:hAnsiTheme="majorHAnsi"/>
          <w:szCs w:val="16"/>
        </w:rPr>
        <w:footnoteRef/>
      </w:r>
      <w:r w:rsidRPr="007A592C">
        <w:rPr>
          <w:rFonts w:asciiTheme="majorHAnsi" w:hAnsiTheme="majorHAnsi"/>
          <w:szCs w:val="16"/>
        </w:rPr>
        <w:t xml:space="preserve"> Registered in web-portal. </w:t>
      </w:r>
    </w:p>
  </w:footnote>
  <w:footnote w:id="28">
    <w:p w14:paraId="707EFA3E" w14:textId="77777777" w:rsidR="009E330A" w:rsidRPr="007A592C" w:rsidRDefault="009E330A" w:rsidP="00741D88">
      <w:pPr>
        <w:pStyle w:val="ad"/>
        <w:jc w:val="both"/>
        <w:rPr>
          <w:rFonts w:asciiTheme="majorHAnsi" w:hAnsiTheme="majorHAnsi"/>
          <w:szCs w:val="16"/>
        </w:rPr>
      </w:pPr>
      <w:r w:rsidRPr="007A592C">
        <w:rPr>
          <w:rStyle w:val="af"/>
          <w:rFonts w:asciiTheme="majorHAnsi" w:hAnsiTheme="majorHAnsi"/>
          <w:szCs w:val="16"/>
        </w:rPr>
        <w:footnoteRef/>
      </w:r>
      <w:r w:rsidRPr="007A592C">
        <w:rPr>
          <w:rFonts w:asciiTheme="majorHAnsi" w:hAnsiTheme="majorHAnsi"/>
          <w:szCs w:val="16"/>
        </w:rPr>
        <w:t xml:space="preserve"> The Order of the Ministry of Social Development “On approval of the rules for the formation, monitoring of implementation and evaluation of the results of the state social order”, August 2018.</w:t>
      </w:r>
    </w:p>
  </w:footnote>
  <w:footnote w:id="29">
    <w:p w14:paraId="52530F76" w14:textId="77777777" w:rsidR="009E330A" w:rsidRPr="00DA0896" w:rsidRDefault="009E330A" w:rsidP="00741D88">
      <w:pPr>
        <w:autoSpaceDE w:val="0"/>
        <w:autoSpaceDN w:val="0"/>
        <w:adjustRightInd w:val="0"/>
        <w:spacing w:after="0" w:line="240" w:lineRule="auto"/>
        <w:jc w:val="both"/>
        <w:rPr>
          <w:rFonts w:cs="Arial"/>
          <w:sz w:val="16"/>
          <w:szCs w:val="16"/>
          <w:lang w:val="en-GB"/>
        </w:rPr>
      </w:pPr>
      <w:r w:rsidRPr="00DA0896">
        <w:rPr>
          <w:rStyle w:val="af"/>
          <w:rFonts w:cs="Arial"/>
          <w:sz w:val="16"/>
          <w:szCs w:val="16"/>
        </w:rPr>
        <w:footnoteRef/>
      </w:r>
      <w:r w:rsidRPr="00DA0896">
        <w:rPr>
          <w:rFonts w:cs="Arial"/>
          <w:sz w:val="16"/>
          <w:szCs w:val="16"/>
        </w:rPr>
        <w:t xml:space="preserve"> </w:t>
      </w:r>
      <w:r w:rsidRPr="00DA0896">
        <w:rPr>
          <w:rFonts w:cs="Arial"/>
          <w:sz w:val="16"/>
          <w:szCs w:val="16"/>
          <w:lang w:val="en-GB"/>
        </w:rPr>
        <w:t xml:space="preserve">Achievement in the field of education, science, information, physical culture, and sports; health protection of citizens, promotion of a healthy lifestyle; environmental protection; youth policy support and children's initiatives; promoting family, demographic and gender issues; support for socially vulnerable population groups; assistance to orphans, children from single-parent families and large families; employment promotion; protection of the rights, legitimate interests of citizens and organizations; conducting public monitoring of the quality of public services; promoting the development of civil society, including the efficiency strengthening of the NGOs activities; assistance to a person (family) in a difficult life situation; and other socially significant areas.  </w:t>
      </w:r>
    </w:p>
    <w:p w14:paraId="57851448" w14:textId="77777777" w:rsidR="009E330A" w:rsidRDefault="009E330A" w:rsidP="00741D88">
      <w:pPr>
        <w:pStyle w:val="ad"/>
      </w:pPr>
    </w:p>
  </w:footnote>
  <w:footnote w:id="30">
    <w:p w14:paraId="4BE31B0E" w14:textId="77777777" w:rsidR="009E330A" w:rsidRPr="00F566C5" w:rsidRDefault="009E330A" w:rsidP="00024E34">
      <w:pPr>
        <w:spacing w:after="0" w:line="240" w:lineRule="auto"/>
        <w:jc w:val="both"/>
        <w:rPr>
          <w:rFonts w:asciiTheme="majorHAnsi" w:hAnsiTheme="majorHAnsi" w:cs="Arial"/>
          <w:bCs/>
          <w:sz w:val="16"/>
          <w:szCs w:val="16"/>
        </w:rPr>
      </w:pPr>
      <w:r w:rsidRPr="00F566C5">
        <w:rPr>
          <w:rStyle w:val="af"/>
          <w:rFonts w:asciiTheme="majorHAnsi" w:hAnsiTheme="majorHAnsi"/>
          <w:sz w:val="16"/>
          <w:szCs w:val="16"/>
        </w:rPr>
        <w:footnoteRef/>
      </w:r>
      <w:r w:rsidRPr="00F566C5">
        <w:rPr>
          <w:rFonts w:asciiTheme="majorHAnsi" w:hAnsiTheme="majorHAnsi"/>
          <w:sz w:val="16"/>
          <w:szCs w:val="16"/>
        </w:rPr>
        <w:t xml:space="preserve"> The MoH </w:t>
      </w:r>
      <w:r w:rsidRPr="00F566C5">
        <w:rPr>
          <w:rFonts w:asciiTheme="majorHAnsi" w:hAnsiTheme="majorHAnsi" w:cs="Arial"/>
          <w:bCs/>
          <w:sz w:val="16"/>
          <w:szCs w:val="16"/>
        </w:rPr>
        <w:t>Order No. ҚР DSM-245/2020, 10 December 2020.</w:t>
      </w:r>
    </w:p>
  </w:footnote>
  <w:footnote w:id="31">
    <w:p w14:paraId="6291C3CC" w14:textId="77777777" w:rsidR="009E330A" w:rsidRPr="0032048B" w:rsidRDefault="009E330A" w:rsidP="00024E34">
      <w:pPr>
        <w:pStyle w:val="ad"/>
        <w:jc w:val="both"/>
        <w:rPr>
          <w:rFonts w:asciiTheme="majorHAnsi" w:hAnsiTheme="majorHAnsi"/>
          <w:szCs w:val="16"/>
        </w:rPr>
      </w:pPr>
      <w:r w:rsidRPr="006337FD">
        <w:rPr>
          <w:rStyle w:val="af"/>
          <w:rFonts w:asciiTheme="majorHAnsi" w:hAnsiTheme="majorHAnsi"/>
          <w:szCs w:val="16"/>
        </w:rPr>
        <w:footnoteRef/>
      </w:r>
      <w:r w:rsidRPr="006337FD">
        <w:rPr>
          <w:rFonts w:asciiTheme="majorHAnsi" w:hAnsiTheme="majorHAnsi"/>
          <w:szCs w:val="16"/>
        </w:rPr>
        <w:t xml:space="preserve"> </w:t>
      </w:r>
      <w:r w:rsidRPr="0032048B">
        <w:rPr>
          <w:rFonts w:asciiTheme="majorHAnsi" w:hAnsiTheme="majorHAnsi"/>
          <w:szCs w:val="16"/>
        </w:rPr>
        <w:t xml:space="preserve">The MoH Order No. ҚР DSM-283/2020 “On the approval of the rules for confirming the results of continuous professional development of healthcare workers”, 20 December 2020. </w:t>
      </w:r>
    </w:p>
  </w:footnote>
  <w:footnote w:id="32">
    <w:p w14:paraId="6C252038" w14:textId="151E61EF" w:rsidR="009E330A" w:rsidRPr="00971AA9" w:rsidRDefault="009E330A" w:rsidP="00024E34">
      <w:pPr>
        <w:autoSpaceDE w:val="0"/>
        <w:autoSpaceDN w:val="0"/>
        <w:adjustRightInd w:val="0"/>
        <w:spacing w:after="0" w:line="240" w:lineRule="auto"/>
        <w:jc w:val="both"/>
        <w:rPr>
          <w:rFonts w:asciiTheme="majorHAnsi" w:hAnsiTheme="majorHAnsi" w:cs="Arial"/>
          <w:color w:val="000000"/>
          <w:sz w:val="16"/>
          <w:szCs w:val="16"/>
        </w:rPr>
      </w:pPr>
      <w:r w:rsidRPr="00356107">
        <w:rPr>
          <w:rStyle w:val="af"/>
          <w:rFonts w:asciiTheme="majorHAnsi" w:hAnsiTheme="majorHAnsi"/>
          <w:sz w:val="16"/>
          <w:szCs w:val="16"/>
        </w:rPr>
        <w:footnoteRef/>
      </w:r>
      <w:r w:rsidRPr="00356107">
        <w:rPr>
          <w:rFonts w:asciiTheme="majorHAnsi" w:hAnsiTheme="majorHAnsi"/>
          <w:sz w:val="16"/>
          <w:szCs w:val="16"/>
        </w:rPr>
        <w:t xml:space="preserve"> </w:t>
      </w:r>
      <w:r w:rsidRPr="00356107">
        <w:rPr>
          <w:rFonts w:asciiTheme="majorHAnsi" w:hAnsiTheme="majorHAnsi" w:cs="Arial"/>
          <w:color w:val="000000"/>
          <w:sz w:val="16"/>
          <w:szCs w:val="16"/>
        </w:rPr>
        <w:t xml:space="preserve">Kharin et al, </w:t>
      </w:r>
      <w:proofErr w:type="gramStart"/>
      <w:r w:rsidRPr="00356107">
        <w:rPr>
          <w:rFonts w:asciiTheme="majorHAnsi" w:hAnsiTheme="majorHAnsi" w:cs="Arial"/>
          <w:color w:val="000000"/>
          <w:sz w:val="16"/>
          <w:szCs w:val="16"/>
        </w:rPr>
        <w:t>First</w:t>
      </w:r>
      <w:proofErr w:type="gramEnd"/>
      <w:r w:rsidRPr="00356107">
        <w:rPr>
          <w:rFonts w:asciiTheme="majorHAnsi" w:hAnsiTheme="majorHAnsi" w:cs="Arial"/>
          <w:color w:val="000000"/>
          <w:sz w:val="16"/>
          <w:szCs w:val="16"/>
        </w:rPr>
        <w:t xml:space="preserve"> steps in forecasting the health workforce in Kazakhstan: A baseline scenario. J Clin Med Kaz 2021; 18(3):40-45 </w:t>
      </w:r>
    </w:p>
  </w:footnote>
  <w:footnote w:id="33">
    <w:p w14:paraId="189F0696" w14:textId="70988F0B" w:rsidR="009E330A" w:rsidRPr="00F25BFE" w:rsidRDefault="009E330A" w:rsidP="00971AA9">
      <w:pPr>
        <w:pStyle w:val="ad"/>
        <w:rPr>
          <w:rFonts w:asciiTheme="majorHAnsi" w:eastAsia="Times New Roman" w:hAnsiTheme="majorHAnsi" w:cstheme="majorHAnsi"/>
          <w:szCs w:val="16"/>
        </w:rPr>
      </w:pPr>
      <w:r w:rsidRPr="004E708C">
        <w:rPr>
          <w:rFonts w:asciiTheme="majorHAnsi" w:eastAsia="Times New Roman" w:hAnsiTheme="majorHAnsi" w:cstheme="majorHAnsi"/>
          <w:szCs w:val="16"/>
          <w:vertAlign w:val="superscript"/>
        </w:rPr>
        <w:footnoteRef/>
      </w:r>
      <w:r w:rsidRPr="004E708C">
        <w:rPr>
          <w:rFonts w:asciiTheme="majorHAnsi" w:eastAsia="Times New Roman" w:hAnsiTheme="majorHAnsi" w:cstheme="majorHAnsi"/>
          <w:szCs w:val="16"/>
          <w:vertAlign w:val="superscript"/>
        </w:rPr>
        <w:t xml:space="preserve"> </w:t>
      </w:r>
      <w:r w:rsidRPr="004E708C">
        <w:rPr>
          <w:rFonts w:asciiTheme="majorHAnsi" w:eastAsia="Times New Roman" w:hAnsiTheme="majorHAnsi" w:cstheme="majorHAnsi"/>
          <w:szCs w:val="16"/>
        </w:rPr>
        <w:t xml:space="preserve">Tuberculosis surveillance and monitoring in Europe, 2021. </w:t>
      </w:r>
      <w:proofErr w:type="gramStart"/>
      <w:r w:rsidRPr="004E708C">
        <w:rPr>
          <w:rFonts w:asciiTheme="majorHAnsi" w:eastAsia="Times New Roman" w:hAnsiTheme="majorHAnsi" w:cstheme="majorHAnsi"/>
          <w:szCs w:val="16"/>
        </w:rPr>
        <w:t>WHO.</w:t>
      </w:r>
      <w:proofErr w:type="gramEnd"/>
      <w:r w:rsidRPr="004E708C">
        <w:rPr>
          <w:rFonts w:asciiTheme="majorHAnsi" w:eastAsia="Times New Roman" w:hAnsiTheme="majorHAnsi" w:cstheme="majorHAnsi"/>
          <w:szCs w:val="16"/>
        </w:rPr>
        <w:t xml:space="preserve">  </w:t>
      </w:r>
    </w:p>
  </w:footnote>
  <w:footnote w:id="34">
    <w:p w14:paraId="1A600B9D" w14:textId="7E52F970" w:rsidR="009E330A" w:rsidRDefault="009E330A">
      <w:pPr>
        <w:pStyle w:val="ad"/>
      </w:pPr>
      <w:r>
        <w:rPr>
          <w:rStyle w:val="af"/>
        </w:rPr>
        <w:footnoteRef/>
      </w:r>
      <w:r>
        <w:t xml:space="preserve"> </w:t>
      </w:r>
      <w:r w:rsidRPr="003B01D6">
        <w:t>WHO</w:t>
      </w:r>
      <w:r>
        <w:t xml:space="preserve"> Global Tuberculosis Report 2020</w:t>
      </w:r>
      <w:r w:rsidRPr="003B01D6">
        <w:t xml:space="preserve">, </w:t>
      </w:r>
      <w:r>
        <w:t xml:space="preserve">Geneva, 2020. </w:t>
      </w:r>
    </w:p>
  </w:footnote>
  <w:footnote w:id="35">
    <w:p w14:paraId="389FF5CE" w14:textId="372C5FD9" w:rsidR="009E330A" w:rsidRPr="003B01D6" w:rsidRDefault="009E330A" w:rsidP="00971AA9">
      <w:pPr>
        <w:pStyle w:val="ad"/>
      </w:pPr>
      <w:r>
        <w:rPr>
          <w:rStyle w:val="af"/>
        </w:rPr>
        <w:footnoteRef/>
      </w:r>
      <w:r>
        <w:t xml:space="preserve"> </w:t>
      </w:r>
      <w:r w:rsidRPr="003B01D6">
        <w:t xml:space="preserve">WHO Global Tuberculosis Report 2021, </w:t>
      </w:r>
      <w:r>
        <w:t xml:space="preserve">Geneva, 2021, pg. </w:t>
      </w:r>
      <w:r w:rsidRPr="003B01D6">
        <w:t>xii</w:t>
      </w:r>
      <w:r>
        <w:t>.</w:t>
      </w:r>
    </w:p>
  </w:footnote>
  <w:footnote w:id="36">
    <w:p w14:paraId="20E983ED" w14:textId="5D23BD1D" w:rsidR="009E330A" w:rsidRPr="006272F6" w:rsidRDefault="009E330A" w:rsidP="0007088B">
      <w:pPr>
        <w:pStyle w:val="ad"/>
        <w:rPr>
          <w:szCs w:val="16"/>
        </w:rPr>
      </w:pPr>
      <w:r w:rsidRPr="006272F6">
        <w:rPr>
          <w:rStyle w:val="af"/>
          <w:szCs w:val="16"/>
        </w:rPr>
        <w:footnoteRef/>
      </w:r>
      <w:r w:rsidRPr="006272F6">
        <w:rPr>
          <w:szCs w:val="16"/>
        </w:rPr>
        <w:t xml:space="preserve"> WHO Global Tuberculosis Report 202</w:t>
      </w:r>
      <w:r>
        <w:rPr>
          <w:szCs w:val="16"/>
        </w:rPr>
        <w:t xml:space="preserve">1. Available from: </w:t>
      </w:r>
      <w:hyperlink r:id="rId3" w:history="1">
        <w:r w:rsidRPr="006272F6">
          <w:rPr>
            <w:rStyle w:val="af9"/>
            <w:szCs w:val="16"/>
          </w:rPr>
          <w:t>https://worldhealthorg.shinyapps.io/tb_profiles/?_inputs_&amp;entity_type=%22country%22&amp;lan=%22EN%22&amp;iso2=%22KZ%22</w:t>
        </w:r>
      </w:hyperlink>
      <w:r w:rsidRPr="006272F6">
        <w:rPr>
          <w:szCs w:val="16"/>
        </w:rPr>
        <w:t xml:space="preserve"> </w:t>
      </w:r>
    </w:p>
  </w:footnote>
  <w:footnote w:id="37">
    <w:p w14:paraId="6704B624" w14:textId="084FB628" w:rsidR="009E330A" w:rsidRPr="006272F6" w:rsidRDefault="009E330A" w:rsidP="007F3EC3">
      <w:pPr>
        <w:pStyle w:val="ad"/>
      </w:pPr>
      <w:r w:rsidRPr="006272F6">
        <w:rPr>
          <w:rStyle w:val="af"/>
          <w:szCs w:val="16"/>
        </w:rPr>
        <w:footnoteRef/>
      </w:r>
      <w:r w:rsidRPr="006272F6">
        <w:rPr>
          <w:szCs w:val="16"/>
        </w:rPr>
        <w:t xml:space="preserve"> WHO Global TB Database</w:t>
      </w:r>
      <w:r>
        <w:rPr>
          <w:szCs w:val="16"/>
        </w:rPr>
        <w:t xml:space="preserve">. Available from: </w:t>
      </w:r>
      <w:hyperlink r:id="rId4" w:history="1">
        <w:r w:rsidRPr="006272F6">
          <w:rPr>
            <w:rStyle w:val="af9"/>
            <w:szCs w:val="16"/>
          </w:rPr>
          <w:t>https://www.who.int/tb/data/en/</w:t>
        </w:r>
      </w:hyperlink>
      <w:r w:rsidRPr="006272F6">
        <w:t xml:space="preserve"> </w:t>
      </w:r>
    </w:p>
  </w:footnote>
  <w:footnote w:id="38">
    <w:p w14:paraId="0E6868FA" w14:textId="77777777" w:rsidR="009E330A" w:rsidRPr="00CE052F" w:rsidRDefault="009E330A" w:rsidP="00BD0EE6">
      <w:pPr>
        <w:pStyle w:val="ad"/>
      </w:pPr>
      <w:r>
        <w:rPr>
          <w:rStyle w:val="af"/>
        </w:rPr>
        <w:footnoteRef/>
      </w:r>
      <w:r>
        <w:t xml:space="preserve"> </w:t>
      </w:r>
      <w:hyperlink r:id="rId5" w:history="1">
        <w:r w:rsidRPr="00367F33">
          <w:rPr>
            <w:rStyle w:val="af9"/>
            <w:szCs w:val="16"/>
          </w:rPr>
          <w:t>https://worldhealthorg.shinyapps.io/tb_profiles/?_inputs_&amp;entity_type=%22country%22&amp;lan=%22EN%22&amp;iso2=%22KZ%22</w:t>
        </w:r>
      </w:hyperlink>
      <w:r w:rsidRPr="00CE052F">
        <w:rPr>
          <w:szCs w:val="16"/>
        </w:rPr>
        <w:t xml:space="preserve"> accessed on 09.08.2021</w:t>
      </w:r>
    </w:p>
  </w:footnote>
  <w:footnote w:id="39">
    <w:p w14:paraId="0D1DA7FA" w14:textId="0626FB52" w:rsidR="009E330A" w:rsidRDefault="009E330A">
      <w:pPr>
        <w:pStyle w:val="ad"/>
      </w:pPr>
      <w:r>
        <w:rPr>
          <w:rStyle w:val="af"/>
        </w:rPr>
        <w:footnoteRef/>
      </w:r>
      <w:r>
        <w:t xml:space="preserve"> The MoH order </w:t>
      </w:r>
      <w:r w:rsidRPr="00937FD5">
        <w:rPr>
          <w:rFonts w:cs="Arial"/>
        </w:rPr>
        <w:t>No. 214</w:t>
      </w:r>
      <w:r>
        <w:rPr>
          <w:rFonts w:cs="Arial"/>
        </w:rPr>
        <w:t xml:space="preserve"> "On </w:t>
      </w:r>
      <w:r w:rsidRPr="00937FD5">
        <w:rPr>
          <w:rFonts w:cs="Arial"/>
        </w:rPr>
        <w:t>approval of the rules for the imp</w:t>
      </w:r>
      <w:r>
        <w:rPr>
          <w:rFonts w:cs="Arial"/>
        </w:rPr>
        <w:t xml:space="preserve">lementation of measures for TB </w:t>
      </w:r>
      <w:r w:rsidRPr="00937FD5">
        <w:rPr>
          <w:rFonts w:cs="Arial"/>
        </w:rPr>
        <w:t>prevention</w:t>
      </w:r>
      <w:r>
        <w:rPr>
          <w:rFonts w:cs="Arial"/>
        </w:rPr>
        <w:t xml:space="preserve">”, 30 </w:t>
      </w:r>
      <w:proofErr w:type="gramStart"/>
      <w:r>
        <w:rPr>
          <w:rFonts w:cs="Arial"/>
        </w:rPr>
        <w:t xml:space="preserve">November </w:t>
      </w:r>
      <w:r w:rsidRPr="00937FD5">
        <w:rPr>
          <w:rFonts w:cs="Arial"/>
        </w:rPr>
        <w:t xml:space="preserve"> </w:t>
      </w:r>
      <w:r>
        <w:rPr>
          <w:rFonts w:cs="Arial"/>
        </w:rPr>
        <w:t>2020</w:t>
      </w:r>
      <w:proofErr w:type="gramEnd"/>
      <w:r>
        <w:rPr>
          <w:rFonts w:cs="Arial"/>
        </w:rPr>
        <w:t>.</w:t>
      </w:r>
    </w:p>
  </w:footnote>
  <w:footnote w:id="40">
    <w:p w14:paraId="410082ED" w14:textId="7EC2CA05" w:rsidR="009E330A" w:rsidRDefault="009E330A">
      <w:pPr>
        <w:pStyle w:val="ad"/>
      </w:pPr>
      <w:r>
        <w:rPr>
          <w:rStyle w:val="af"/>
        </w:rPr>
        <w:footnoteRef/>
      </w:r>
      <w:r>
        <w:t xml:space="preserve"> The WHO Screen TB tool. Available from: </w:t>
      </w:r>
      <w:r w:rsidRPr="003C0AC1">
        <w:rPr>
          <w:rFonts w:asciiTheme="majorHAnsi" w:hAnsiTheme="majorHAnsi" w:cstheme="majorHAnsi"/>
        </w:rPr>
        <w:t>https://wpro.shinyapps.io/screen_tb/)</w:t>
      </w:r>
    </w:p>
  </w:footnote>
  <w:footnote w:id="41">
    <w:p w14:paraId="7BC0E6DD" w14:textId="29DF5FEE" w:rsidR="009E330A" w:rsidRPr="00974FD7" w:rsidRDefault="009E330A" w:rsidP="00607E20">
      <w:pPr>
        <w:pStyle w:val="ad"/>
        <w:rPr>
          <w:szCs w:val="16"/>
        </w:rPr>
      </w:pPr>
      <w:r>
        <w:rPr>
          <w:rStyle w:val="af"/>
        </w:rPr>
        <w:footnoteRef/>
      </w:r>
      <w:r w:rsidRPr="00974FD7">
        <w:t xml:space="preserve"> Dzhazybekova P., Eralieva L., Volik M., Dadu A., Edilbaev A. “Prioritization and strategy selection for systematic screening for tuberculosis using the WHO Screen TB tool”, draft final report, 2021</w:t>
      </w:r>
      <w:r w:rsidRPr="00974FD7">
        <w:rPr>
          <w:szCs w:val="16"/>
        </w:rPr>
        <w:t>.</w:t>
      </w:r>
    </w:p>
  </w:footnote>
  <w:footnote w:id="42">
    <w:p w14:paraId="28F6341F" w14:textId="77777777" w:rsidR="009E330A" w:rsidRPr="008D490F" w:rsidRDefault="009E330A" w:rsidP="00CD000A">
      <w:pPr>
        <w:pStyle w:val="ad"/>
        <w:rPr>
          <w:rFonts w:asciiTheme="majorHAnsi" w:hAnsiTheme="majorHAnsi"/>
          <w:szCs w:val="16"/>
        </w:rPr>
      </w:pPr>
      <w:r w:rsidRPr="008D490F">
        <w:rPr>
          <w:rStyle w:val="af"/>
          <w:rFonts w:asciiTheme="majorHAnsi" w:hAnsiTheme="majorHAnsi"/>
          <w:szCs w:val="16"/>
        </w:rPr>
        <w:footnoteRef/>
      </w:r>
      <w:r w:rsidRPr="008D490F">
        <w:rPr>
          <w:rFonts w:asciiTheme="majorHAnsi" w:hAnsiTheme="majorHAnsi"/>
          <w:szCs w:val="16"/>
        </w:rPr>
        <w:t xml:space="preserve"> IOM Kazakhstan.</w:t>
      </w:r>
    </w:p>
  </w:footnote>
  <w:footnote w:id="43">
    <w:p w14:paraId="083A4A9B" w14:textId="77777777" w:rsidR="009E330A" w:rsidRPr="008D490F" w:rsidRDefault="009E330A" w:rsidP="00CD000A">
      <w:pPr>
        <w:pStyle w:val="ad"/>
        <w:rPr>
          <w:rFonts w:asciiTheme="majorHAnsi" w:hAnsiTheme="majorHAnsi"/>
          <w:szCs w:val="16"/>
        </w:rPr>
      </w:pPr>
      <w:r w:rsidRPr="008D490F">
        <w:rPr>
          <w:rStyle w:val="af"/>
          <w:rFonts w:asciiTheme="majorHAnsi" w:hAnsiTheme="majorHAnsi"/>
          <w:szCs w:val="16"/>
        </w:rPr>
        <w:footnoteRef/>
      </w:r>
      <w:r w:rsidRPr="008D490F">
        <w:rPr>
          <w:rFonts w:asciiTheme="majorHAnsi" w:hAnsiTheme="majorHAnsi"/>
          <w:szCs w:val="16"/>
        </w:rPr>
        <w:t>Adherence date:  06 July 1993</w:t>
      </w:r>
    </w:p>
  </w:footnote>
  <w:footnote w:id="44">
    <w:p w14:paraId="3F4CCF69" w14:textId="77777777" w:rsidR="009E330A" w:rsidRPr="008D490F" w:rsidRDefault="009E330A" w:rsidP="00CD000A">
      <w:pPr>
        <w:pStyle w:val="ad"/>
        <w:rPr>
          <w:rFonts w:asciiTheme="majorHAnsi" w:hAnsiTheme="majorHAnsi"/>
          <w:szCs w:val="16"/>
        </w:rPr>
      </w:pPr>
      <w:r w:rsidRPr="008D490F">
        <w:rPr>
          <w:rFonts w:asciiTheme="majorHAnsi" w:hAnsiTheme="majorHAnsi"/>
          <w:szCs w:val="16"/>
          <w:vertAlign w:val="superscript"/>
        </w:rPr>
        <w:footnoteRef/>
      </w:r>
      <w:r w:rsidRPr="008D490F">
        <w:rPr>
          <w:rFonts w:asciiTheme="majorHAnsi" w:hAnsiTheme="majorHAnsi"/>
          <w:szCs w:val="16"/>
          <w:vertAlign w:val="superscript"/>
        </w:rPr>
        <w:t xml:space="preserve"> </w:t>
      </w:r>
      <w:r w:rsidRPr="008D490F">
        <w:rPr>
          <w:rFonts w:asciiTheme="majorHAnsi" w:hAnsiTheme="majorHAnsi"/>
          <w:szCs w:val="16"/>
        </w:rPr>
        <w:t xml:space="preserve">Ratified on 15 January 1999. UNHCR Kazakhstan. </w:t>
      </w:r>
    </w:p>
  </w:footnote>
  <w:footnote w:id="45">
    <w:p w14:paraId="00BDC458" w14:textId="77777777" w:rsidR="009E330A" w:rsidRPr="008D490F" w:rsidRDefault="009E330A" w:rsidP="00CD000A">
      <w:pPr>
        <w:pStyle w:val="ad"/>
        <w:rPr>
          <w:szCs w:val="16"/>
        </w:rPr>
      </w:pPr>
      <w:r w:rsidRPr="008D490F">
        <w:rPr>
          <w:rStyle w:val="af"/>
          <w:szCs w:val="16"/>
        </w:rPr>
        <w:footnoteRef/>
      </w:r>
      <w:r w:rsidRPr="008D490F">
        <w:rPr>
          <w:szCs w:val="16"/>
        </w:rPr>
        <w:t xml:space="preserve"> Including Laws </w:t>
      </w:r>
      <w:r w:rsidRPr="008D490F">
        <w:rPr>
          <w:rFonts w:asciiTheme="majorHAnsi" w:eastAsia="Times New Roman" w:hAnsiTheme="majorHAnsi" w:cs="Times New Roman"/>
          <w:color w:val="222222"/>
          <w:szCs w:val="16"/>
          <w:shd w:val="clear" w:color="auto" w:fill="FFFFFF"/>
        </w:rPr>
        <w:t xml:space="preserve">on “Migration of the Population, “On the Legal Status of Foreigners”, “On Refugees”, “On Compulsory Social Health Insurance”. </w:t>
      </w:r>
    </w:p>
  </w:footnote>
  <w:footnote w:id="46">
    <w:p w14:paraId="0549F8DC" w14:textId="4708A4C4" w:rsidR="009E330A" w:rsidRPr="00476F27" w:rsidRDefault="009E330A" w:rsidP="00476F27">
      <w:pPr>
        <w:spacing w:after="0" w:line="240" w:lineRule="auto"/>
        <w:rPr>
          <w:rFonts w:cstheme="minorHAnsi"/>
          <w:sz w:val="16"/>
          <w:szCs w:val="16"/>
        </w:rPr>
      </w:pPr>
      <w:r w:rsidRPr="00573AAB">
        <w:rPr>
          <w:rStyle w:val="af"/>
          <w:sz w:val="16"/>
          <w:szCs w:val="16"/>
        </w:rPr>
        <w:footnoteRef/>
      </w:r>
      <w:r w:rsidRPr="00573AAB">
        <w:rPr>
          <w:sz w:val="16"/>
          <w:szCs w:val="16"/>
        </w:rPr>
        <w:t xml:space="preserve"> </w:t>
      </w:r>
      <w:r w:rsidRPr="00573AAB">
        <w:rPr>
          <w:rFonts w:cstheme="minorHAnsi"/>
          <w:sz w:val="16"/>
          <w:szCs w:val="16"/>
        </w:rPr>
        <w:t>Analysis of TB beds optimization in Kazakhstan</w:t>
      </w:r>
      <w:r>
        <w:rPr>
          <w:rFonts w:cstheme="minorHAnsi"/>
          <w:sz w:val="16"/>
          <w:szCs w:val="16"/>
        </w:rPr>
        <w:t xml:space="preserve">. KNCV Foundation Kazakhstan/GF PIU. </w:t>
      </w:r>
      <w:r w:rsidRPr="00573AAB">
        <w:rPr>
          <w:rFonts w:cstheme="minorHAnsi"/>
          <w:sz w:val="16"/>
          <w:szCs w:val="16"/>
        </w:rPr>
        <w:t>May 2021</w:t>
      </w:r>
      <w:r>
        <w:rPr>
          <w:rFonts w:cstheme="minorHAnsi"/>
          <w:sz w:val="16"/>
          <w:szCs w:val="16"/>
        </w:rPr>
        <w:t>.</w:t>
      </w:r>
    </w:p>
  </w:footnote>
  <w:footnote w:id="47">
    <w:p w14:paraId="118DA2FE" w14:textId="77777777" w:rsidR="009E330A" w:rsidRDefault="009E330A" w:rsidP="00476F27">
      <w:pPr>
        <w:pStyle w:val="ad"/>
      </w:pPr>
      <w:r>
        <w:rPr>
          <w:rStyle w:val="af"/>
        </w:rPr>
        <w:footnoteRef/>
      </w:r>
      <w:r>
        <w:t xml:space="preserve"> The assumptions of the model included data on trends in TB case notification and care provision in 2021-2025, TB </w:t>
      </w:r>
      <w:proofErr w:type="gramStart"/>
      <w:r>
        <w:t>patients</w:t>
      </w:r>
      <w:proofErr w:type="gramEnd"/>
      <w:r>
        <w:t xml:space="preserve"> treatment categories, treatment regimens used.</w:t>
      </w:r>
    </w:p>
  </w:footnote>
  <w:footnote w:id="48">
    <w:p w14:paraId="604DE362" w14:textId="530F60AA" w:rsidR="009E330A" w:rsidRDefault="009E330A">
      <w:pPr>
        <w:pStyle w:val="ad"/>
      </w:pPr>
      <w:r>
        <w:rPr>
          <w:rStyle w:val="af"/>
        </w:rPr>
        <w:footnoteRef/>
      </w:r>
      <w:r>
        <w:t xml:space="preserve"> Clinical guideline on LTBI diagnostics and treatment. NSCP/MoH. </w:t>
      </w:r>
      <w:proofErr w:type="gramStart"/>
      <w:r>
        <w:t>November,</w:t>
      </w:r>
      <w:proofErr w:type="gramEnd"/>
      <w:r>
        <w:t xml:space="preserve"> 2021.</w:t>
      </w:r>
    </w:p>
  </w:footnote>
  <w:footnote w:id="49">
    <w:p w14:paraId="26D5D940" w14:textId="77777777" w:rsidR="009E330A" w:rsidRDefault="009E330A" w:rsidP="00BF576B">
      <w:pPr>
        <w:pStyle w:val="ad"/>
      </w:pPr>
      <w:r>
        <w:rPr>
          <w:rStyle w:val="af"/>
        </w:rPr>
        <w:footnoteRef/>
      </w:r>
      <w:r>
        <w:t xml:space="preserve"> WHO rGLC/Europe country technical support mission to Kazakhstan report, 2021</w:t>
      </w:r>
    </w:p>
  </w:footnote>
  <w:footnote w:id="50">
    <w:p w14:paraId="365125A2" w14:textId="77777777" w:rsidR="009E330A" w:rsidRDefault="009E330A" w:rsidP="00D549CB">
      <w:pPr>
        <w:pStyle w:val="ad"/>
      </w:pPr>
      <w:r>
        <w:rPr>
          <w:rStyle w:val="af"/>
        </w:rPr>
        <w:footnoteRef/>
      </w:r>
      <w:r>
        <w:t xml:space="preserve"> The MoH order </w:t>
      </w:r>
      <w:r w:rsidRPr="00A8113A">
        <w:rPr>
          <w:rFonts w:cs="Arial"/>
        </w:rPr>
        <w:t>No. 214 "On approval of the rules for the implementation of measures for the prevention of tuberculosis", 30 November 2020.</w:t>
      </w:r>
    </w:p>
  </w:footnote>
  <w:footnote w:id="51">
    <w:p w14:paraId="3C3DA7ED" w14:textId="1BE49F35" w:rsidR="009E330A" w:rsidRDefault="009E330A">
      <w:pPr>
        <w:pStyle w:val="ad"/>
      </w:pPr>
      <w:r>
        <w:rPr>
          <w:rStyle w:val="af"/>
        </w:rPr>
        <w:footnoteRef/>
      </w:r>
      <w:r>
        <w:t xml:space="preserve"> Clinical guideline on diagnostics and treatment of latent TB infection. Updated in </w:t>
      </w:r>
      <w:proofErr w:type="gramStart"/>
      <w:r>
        <w:t>November,</w:t>
      </w:r>
      <w:proofErr w:type="gramEnd"/>
      <w:r>
        <w:t xml:space="preserve"> 2021. </w:t>
      </w:r>
    </w:p>
  </w:footnote>
  <w:footnote w:id="52">
    <w:p w14:paraId="239BF917" w14:textId="77777777" w:rsidR="009E330A" w:rsidRPr="0006069D" w:rsidRDefault="009E330A" w:rsidP="005D15DB">
      <w:pPr>
        <w:pStyle w:val="ad"/>
        <w:jc w:val="both"/>
        <w:rPr>
          <w:rFonts w:asciiTheme="majorHAnsi" w:hAnsiTheme="majorHAnsi"/>
        </w:rPr>
      </w:pPr>
      <w:r w:rsidRPr="0006069D">
        <w:rPr>
          <w:rStyle w:val="af"/>
          <w:rFonts w:asciiTheme="majorHAnsi" w:hAnsiTheme="majorHAnsi"/>
        </w:rPr>
        <w:footnoteRef/>
      </w:r>
      <w:r w:rsidRPr="0006069D">
        <w:rPr>
          <w:rFonts w:asciiTheme="majorHAnsi" w:hAnsiTheme="majorHAnsi"/>
        </w:rPr>
        <w:t xml:space="preserve"> Global Plan to End TB 2016-2020. Stop TB Partnership. UNOPS.</w:t>
      </w:r>
    </w:p>
  </w:footnote>
  <w:footnote w:id="53">
    <w:p w14:paraId="491D946C" w14:textId="77777777" w:rsidR="009E330A" w:rsidRDefault="009E330A" w:rsidP="00C32E99">
      <w:pPr>
        <w:pStyle w:val="ad"/>
      </w:pPr>
      <w:r>
        <w:rPr>
          <w:rStyle w:val="af"/>
        </w:rPr>
        <w:footnoteRef/>
      </w:r>
      <w:r>
        <w:t xml:space="preserve"> The MoIA order </w:t>
      </w:r>
      <w:r w:rsidRPr="00974FD7">
        <w:rPr>
          <w:rFonts w:cs="Arial"/>
        </w:rPr>
        <w:t xml:space="preserve">№ </w:t>
      </w:r>
      <w:proofErr w:type="gramStart"/>
      <w:r w:rsidRPr="00974FD7">
        <w:rPr>
          <w:rFonts w:cs="Arial"/>
        </w:rPr>
        <w:t xml:space="preserve">530 </w:t>
      </w:r>
      <w:r w:rsidRPr="00C32E99">
        <w:t xml:space="preserve"> "</w:t>
      </w:r>
      <w:proofErr w:type="gramEnd"/>
      <w:r w:rsidRPr="000E51DC">
        <w:t xml:space="preserve">On the approval of the Rules for the organization of </w:t>
      </w:r>
      <w:r>
        <w:t>TB</w:t>
      </w:r>
      <w:r w:rsidRPr="000E51DC">
        <w:t xml:space="preserve"> ca</w:t>
      </w:r>
      <w:r>
        <w:t xml:space="preserve">re in institutions of the penitentiary system”. 20 August 2018. </w:t>
      </w:r>
    </w:p>
  </w:footnote>
  <w:footnote w:id="54">
    <w:p w14:paraId="41220AC5" w14:textId="1EC8D9F0" w:rsidR="009E330A" w:rsidRDefault="009E330A" w:rsidP="00FB0A01">
      <w:pPr>
        <w:pStyle w:val="ad"/>
      </w:pPr>
      <w:r>
        <w:rPr>
          <w:rStyle w:val="af"/>
        </w:rPr>
        <w:footnoteRef/>
      </w:r>
      <w:r>
        <w:t xml:space="preserve"> President’ Decree No. 622 “On measures to further improve the public administration system of the Republic of Kazakhstan”, </w:t>
      </w:r>
    </w:p>
    <w:p w14:paraId="359AD10F" w14:textId="5FC2940E" w:rsidR="009E330A" w:rsidRDefault="009E330A" w:rsidP="00FB0A01">
      <w:pPr>
        <w:pStyle w:val="ad"/>
      </w:pPr>
      <w:r>
        <w:t>19 July 2021.</w:t>
      </w:r>
    </w:p>
  </w:footnote>
  <w:footnote w:id="55">
    <w:p w14:paraId="682E496A" w14:textId="77777777" w:rsidR="009E330A" w:rsidRDefault="009E330A" w:rsidP="00CB376A">
      <w:pPr>
        <w:pStyle w:val="ad"/>
      </w:pPr>
      <w:r>
        <w:rPr>
          <w:rStyle w:val="af"/>
        </w:rPr>
        <w:footnoteRef/>
      </w:r>
      <w:r>
        <w:t xml:space="preserve"> Manual on Supervision, Monitoring and Assessment of TB Control in the Republic of Kazakhstan”, November 2019. </w:t>
      </w:r>
    </w:p>
  </w:footnote>
  <w:footnote w:id="56">
    <w:p w14:paraId="0A912E4F" w14:textId="77777777" w:rsidR="009E330A" w:rsidRPr="00940877" w:rsidRDefault="009E330A" w:rsidP="00D81808">
      <w:pPr>
        <w:pStyle w:val="ad"/>
        <w:rPr>
          <w:szCs w:val="16"/>
        </w:rPr>
      </w:pPr>
      <w:r w:rsidRPr="00940877">
        <w:rPr>
          <w:rStyle w:val="af"/>
          <w:szCs w:val="16"/>
        </w:rPr>
        <w:footnoteRef/>
      </w:r>
      <w:r w:rsidRPr="00940877">
        <w:rPr>
          <w:szCs w:val="16"/>
        </w:rPr>
        <w:t xml:space="preserve"> The MoH order № ҚР ДСМ-320/2020 “On approval of the rules for pharmacovigilance and monitoring of safety, quality and efficiency of medical devices”, 23 </w:t>
      </w:r>
      <w:proofErr w:type="gramStart"/>
      <w:r w:rsidRPr="00940877">
        <w:rPr>
          <w:szCs w:val="16"/>
        </w:rPr>
        <w:t>December  2020</w:t>
      </w:r>
      <w:proofErr w:type="gramEnd"/>
      <w:r w:rsidRPr="00940877">
        <w:rPr>
          <w:szCs w:val="16"/>
        </w:rPr>
        <w:t xml:space="preserve">. </w:t>
      </w:r>
    </w:p>
  </w:footnote>
  <w:footnote w:id="57">
    <w:p w14:paraId="7671C2F9" w14:textId="77777777" w:rsidR="009E330A" w:rsidRDefault="009E330A" w:rsidP="00635DB3">
      <w:pPr>
        <w:pStyle w:val="ad"/>
      </w:pPr>
      <w:r>
        <w:rPr>
          <w:rStyle w:val="af"/>
        </w:rPr>
        <w:footnoteRef/>
      </w:r>
      <w:r>
        <w:t xml:space="preserve"> </w:t>
      </w:r>
      <w:hyperlink r:id="rId6" w:history="1">
        <w:r w:rsidRPr="00F86B4D">
          <w:rPr>
            <w:rStyle w:val="af9"/>
          </w:rPr>
          <w:t>https://www.worldometers.info/coronavirus/country/kazakhstan/</w:t>
        </w:r>
      </w:hyperlink>
      <w:r>
        <w:t xml:space="preserve"> </w:t>
      </w:r>
      <w:r w:rsidRPr="004B6723">
        <w:t xml:space="preserve">. Accessed on </w:t>
      </w:r>
      <w:r>
        <w:t>Nov</w:t>
      </w:r>
      <w:r w:rsidRPr="004B6723">
        <w:t xml:space="preserve">ember </w:t>
      </w:r>
      <w:r>
        <w:t xml:space="preserve">14, </w:t>
      </w:r>
      <w:r w:rsidRPr="004B6723">
        <w:t>2021.</w:t>
      </w:r>
    </w:p>
  </w:footnote>
  <w:footnote w:id="58">
    <w:p w14:paraId="0551CD5C" w14:textId="77777777" w:rsidR="009E330A" w:rsidRDefault="009E330A" w:rsidP="00635DB3">
      <w:pPr>
        <w:pStyle w:val="ad"/>
      </w:pPr>
      <w:r>
        <w:rPr>
          <w:rStyle w:val="af"/>
        </w:rPr>
        <w:footnoteRef/>
      </w:r>
      <w:r>
        <w:t xml:space="preserve"> </w:t>
      </w:r>
      <w:hyperlink r:id="rId7" w:history="1">
        <w:r w:rsidRPr="00F86B4D">
          <w:rPr>
            <w:rStyle w:val="af9"/>
          </w:rPr>
          <w:t>https://www.worldometers.info/coronavirus/country/kazakhstan/</w:t>
        </w:r>
      </w:hyperlink>
      <w:r>
        <w:t xml:space="preserve"> </w:t>
      </w:r>
      <w:r w:rsidRPr="004B6723">
        <w:t>. Accessed on November 1</w:t>
      </w:r>
      <w:r>
        <w:t>4</w:t>
      </w:r>
      <w:r w:rsidRPr="004B6723">
        <w:t>, 2021.</w:t>
      </w:r>
    </w:p>
  </w:footnote>
  <w:footnote w:id="59">
    <w:p w14:paraId="2E40027D" w14:textId="77777777" w:rsidR="009E330A" w:rsidRDefault="009E330A" w:rsidP="00635DB3">
      <w:pPr>
        <w:pStyle w:val="ad"/>
      </w:pPr>
      <w:r>
        <w:rPr>
          <w:rStyle w:val="af"/>
        </w:rPr>
        <w:footnoteRef/>
      </w:r>
      <w:r>
        <w:t xml:space="preserve"> </w:t>
      </w:r>
      <w:hyperlink r:id="rId8" w:history="1">
        <w:r w:rsidRPr="00F86B4D">
          <w:rPr>
            <w:rStyle w:val="af9"/>
          </w:rPr>
          <w:t>https://www.coronavirus2020.kz/</w:t>
        </w:r>
      </w:hyperlink>
      <w:r>
        <w:t xml:space="preserve"> </w:t>
      </w:r>
      <w:r w:rsidRPr="00363748">
        <w:t>. Accessed on November 14, 2021.</w:t>
      </w:r>
    </w:p>
  </w:footnote>
  <w:footnote w:id="60">
    <w:p w14:paraId="68AC347F" w14:textId="77777777" w:rsidR="009E330A" w:rsidRDefault="009E330A" w:rsidP="00635DB3">
      <w:pPr>
        <w:pStyle w:val="ad"/>
      </w:pPr>
      <w:r>
        <w:rPr>
          <w:rStyle w:val="af"/>
        </w:rPr>
        <w:footnoteRef/>
      </w:r>
      <w:r>
        <w:t xml:space="preserve"> </w:t>
      </w:r>
      <w:hyperlink r:id="rId9" w:history="1">
        <w:r w:rsidRPr="00F86B4D">
          <w:rPr>
            <w:rStyle w:val="af9"/>
          </w:rPr>
          <w:t>https://www.gov.kz/memleket/entities/kkkbtu/press/news/details/282971?lang=ru</w:t>
        </w:r>
      </w:hyperlink>
      <w:r>
        <w:t xml:space="preserve"> </w:t>
      </w:r>
    </w:p>
  </w:footnote>
  <w:footnote w:id="61">
    <w:p w14:paraId="3166EA18" w14:textId="77777777" w:rsidR="009E330A" w:rsidRDefault="009E330A" w:rsidP="00635DB3">
      <w:pPr>
        <w:pStyle w:val="ad"/>
        <w:rPr>
          <w:rFonts w:asciiTheme="majorHAnsi" w:hAnsiTheme="majorHAnsi" w:cstheme="majorHAnsi"/>
          <w:szCs w:val="16"/>
        </w:rPr>
      </w:pPr>
      <w:r>
        <w:rPr>
          <w:rStyle w:val="af"/>
          <w:rFonts w:asciiTheme="majorHAnsi" w:hAnsiTheme="majorHAnsi" w:cstheme="majorHAnsi"/>
        </w:rPr>
        <w:footnoteRef/>
      </w:r>
      <w:r>
        <w:rPr>
          <w:rFonts w:asciiTheme="majorHAnsi" w:hAnsiTheme="majorHAnsi" w:cstheme="majorHAnsi"/>
          <w:szCs w:val="16"/>
        </w:rPr>
        <w:t xml:space="preserve"> </w:t>
      </w:r>
      <w:r>
        <w:rPr>
          <w:rFonts w:asciiTheme="majorHAnsi" w:hAnsiTheme="majorHAnsi" w:cstheme="majorHAnsi"/>
          <w:color w:val="1A1A1A"/>
          <w:szCs w:val="16"/>
        </w:rPr>
        <w:t>However, it is difficult to say what part of TB notification rate reduction in 2020 was caused by TB services disruptions due to lockdowns and preventive measures imposed, including improved IPC practices, as the last might have an impact also on TB transmission.</w:t>
      </w:r>
    </w:p>
  </w:footnote>
  <w:footnote w:id="62">
    <w:p w14:paraId="542F5B28" w14:textId="77777777" w:rsidR="009E330A" w:rsidRDefault="009E330A" w:rsidP="00635DB3">
      <w:pPr>
        <w:pStyle w:val="affff9"/>
        <w:spacing w:after="0" w:line="240" w:lineRule="auto"/>
        <w:rPr>
          <w:rFonts w:asciiTheme="majorHAnsi" w:hAnsiTheme="majorHAnsi" w:cstheme="majorHAnsi"/>
          <w:color w:val="404040" w:themeColor="text1"/>
          <w:kern w:val="24"/>
          <w:sz w:val="16"/>
          <w:szCs w:val="16"/>
        </w:rPr>
      </w:pPr>
      <w:r>
        <w:rPr>
          <w:rStyle w:val="af"/>
          <w:rFonts w:asciiTheme="majorHAnsi" w:hAnsiTheme="majorHAnsi" w:cstheme="majorHAnsi"/>
          <w:sz w:val="16"/>
          <w:szCs w:val="16"/>
        </w:rPr>
        <w:footnoteRef/>
      </w:r>
      <w:r>
        <w:rPr>
          <w:rFonts w:asciiTheme="majorHAnsi" w:hAnsiTheme="majorHAnsi" w:cstheme="majorHAnsi"/>
          <w:sz w:val="16"/>
          <w:szCs w:val="16"/>
        </w:rPr>
        <w:t xml:space="preserve"> </w:t>
      </w:r>
      <w:hyperlink r:id="rId10" w:history="1">
        <w:r>
          <w:rPr>
            <w:rStyle w:val="af9"/>
            <w:rFonts w:asciiTheme="majorHAnsi" w:hAnsiTheme="majorHAnsi" w:cstheme="majorHAnsi"/>
            <w:color w:val="404040" w:themeColor="text1"/>
            <w:kern w:val="24"/>
            <w:sz w:val="16"/>
            <w:szCs w:val="16"/>
          </w:rPr>
          <w:t>https://worldhealthorg.shinyapps.io/tb_pronto</w:t>
        </w:r>
      </w:hyperlink>
      <w:hyperlink r:id="rId11" w:history="1">
        <w:r>
          <w:rPr>
            <w:rStyle w:val="af9"/>
            <w:rFonts w:asciiTheme="majorHAnsi" w:hAnsiTheme="majorHAnsi" w:cstheme="majorHAnsi"/>
            <w:color w:val="404040" w:themeColor="text1"/>
            <w:kern w:val="24"/>
            <w:sz w:val="16"/>
            <w:szCs w:val="16"/>
          </w:rPr>
          <w:t>/</w:t>
        </w:r>
      </w:hyperlink>
      <w:r>
        <w:rPr>
          <w:rFonts w:asciiTheme="majorHAnsi" w:hAnsiTheme="majorHAnsi" w:cstheme="majorHAnsi"/>
          <w:color w:val="404040" w:themeColor="text1"/>
          <w:kern w:val="24"/>
          <w:sz w:val="16"/>
          <w:szCs w:val="16"/>
        </w:rPr>
        <w:t>.</w:t>
      </w:r>
    </w:p>
  </w:footnote>
  <w:footnote w:id="63">
    <w:p w14:paraId="37C8EF77" w14:textId="77777777" w:rsidR="009E330A" w:rsidRDefault="009E330A" w:rsidP="00635DB3">
      <w:pPr>
        <w:pStyle w:val="ad"/>
      </w:pPr>
      <w:r>
        <w:rPr>
          <w:rStyle w:val="af"/>
          <w:rFonts w:asciiTheme="majorHAnsi" w:hAnsiTheme="majorHAnsi" w:cstheme="majorHAnsi"/>
          <w:szCs w:val="16"/>
        </w:rPr>
        <w:footnoteRef/>
      </w:r>
      <w:r>
        <w:rPr>
          <w:rFonts w:asciiTheme="majorHAnsi" w:hAnsiTheme="majorHAnsi" w:cstheme="majorHAnsi"/>
          <w:szCs w:val="16"/>
        </w:rPr>
        <w:t xml:space="preserve"> Ibid.</w:t>
      </w:r>
    </w:p>
  </w:footnote>
  <w:footnote w:id="64">
    <w:p w14:paraId="530C7639" w14:textId="77777777" w:rsidR="009E330A" w:rsidRPr="00D57A5E" w:rsidRDefault="009E330A" w:rsidP="00C34260">
      <w:pPr>
        <w:pStyle w:val="affff9"/>
        <w:spacing w:after="0" w:line="240" w:lineRule="auto"/>
        <w:rPr>
          <w:rFonts w:asciiTheme="majorHAnsi" w:hAnsiTheme="majorHAnsi" w:cstheme="majorHAnsi"/>
          <w:sz w:val="16"/>
          <w:szCs w:val="16"/>
        </w:rPr>
      </w:pPr>
      <w:r w:rsidRPr="00D57A5E">
        <w:rPr>
          <w:rStyle w:val="af"/>
          <w:rFonts w:asciiTheme="majorHAnsi" w:hAnsiTheme="majorHAnsi" w:cstheme="majorHAnsi"/>
          <w:sz w:val="16"/>
          <w:szCs w:val="16"/>
        </w:rPr>
        <w:footnoteRef/>
      </w:r>
      <w:r w:rsidRPr="00D57A5E">
        <w:rPr>
          <w:rFonts w:asciiTheme="majorHAnsi" w:hAnsiTheme="majorHAnsi" w:cstheme="majorHAnsi"/>
          <w:sz w:val="16"/>
          <w:szCs w:val="16"/>
        </w:rPr>
        <w:t xml:space="preserve"> Assessment of barriers related to the legal environment, gender, </w:t>
      </w:r>
      <w:proofErr w:type="gramStart"/>
      <w:r w:rsidRPr="00D57A5E">
        <w:rPr>
          <w:rFonts w:asciiTheme="majorHAnsi" w:hAnsiTheme="majorHAnsi" w:cstheme="majorHAnsi"/>
          <w:sz w:val="16"/>
          <w:szCs w:val="16"/>
        </w:rPr>
        <w:t>stigma</w:t>
      </w:r>
      <w:proofErr w:type="gramEnd"/>
      <w:r w:rsidRPr="00D57A5E">
        <w:rPr>
          <w:rFonts w:asciiTheme="majorHAnsi" w:hAnsiTheme="majorHAnsi" w:cstheme="majorHAnsi"/>
          <w:sz w:val="16"/>
          <w:szCs w:val="16"/>
        </w:rPr>
        <w:t xml:space="preserve"> and human rights for key populations in the response to tuberculosis in Almaty city and Almaty Oblast. Association of Legal Entities "Kazakhstan Union of People Living with HIV". Center for Health Policies and Studies (PAS Center). TB-REP 2.0, 2020. </w:t>
      </w:r>
    </w:p>
    <w:p w14:paraId="20204C70" w14:textId="77777777" w:rsidR="009E330A" w:rsidRPr="00D57A5E" w:rsidRDefault="009E330A" w:rsidP="00C34260">
      <w:pPr>
        <w:pStyle w:val="affff9"/>
        <w:rPr>
          <w:rFonts w:ascii="Times" w:hAnsi="Times" w:cstheme="minorBidi"/>
          <w:sz w:val="20"/>
          <w:szCs w:val="20"/>
        </w:rPr>
      </w:pPr>
    </w:p>
    <w:p w14:paraId="12213577" w14:textId="77777777" w:rsidR="009E330A" w:rsidRPr="00D57A5E" w:rsidRDefault="009E330A" w:rsidP="00C34260">
      <w:pPr>
        <w:pStyle w:val="affff9"/>
        <w:spacing w:after="0" w:line="240" w:lineRule="auto"/>
        <w:rPr>
          <w:rFonts w:asciiTheme="majorHAnsi" w:hAnsiTheme="majorHAnsi" w:cstheme="majorHAnsi"/>
          <w:sz w:val="16"/>
          <w:szCs w:val="16"/>
        </w:rPr>
      </w:pPr>
    </w:p>
    <w:p w14:paraId="1F0CC25E" w14:textId="77777777" w:rsidR="009E330A" w:rsidRDefault="009E330A" w:rsidP="00C34260">
      <w:pPr>
        <w:pStyle w:val="ad"/>
      </w:pPr>
    </w:p>
  </w:footnote>
  <w:footnote w:id="65">
    <w:p w14:paraId="20E30740" w14:textId="4EC89280" w:rsidR="009E330A" w:rsidRPr="000A5488" w:rsidRDefault="009E330A" w:rsidP="000A5488">
      <w:pPr>
        <w:spacing w:after="0" w:line="240" w:lineRule="auto"/>
        <w:jc w:val="both"/>
        <w:rPr>
          <w:rFonts w:asciiTheme="majorHAnsi" w:hAnsiTheme="majorHAnsi" w:cstheme="majorHAnsi"/>
          <w:sz w:val="16"/>
          <w:szCs w:val="16"/>
        </w:rPr>
      </w:pPr>
      <w:r w:rsidRPr="00AD4AE7">
        <w:rPr>
          <w:rStyle w:val="af"/>
          <w:rFonts w:asciiTheme="majorHAnsi" w:hAnsiTheme="majorHAnsi" w:cstheme="majorHAnsi"/>
          <w:sz w:val="16"/>
          <w:szCs w:val="16"/>
        </w:rPr>
        <w:footnoteRef/>
      </w:r>
      <w:r w:rsidRPr="00AD4AE7">
        <w:rPr>
          <w:rFonts w:asciiTheme="majorHAnsi" w:hAnsiTheme="majorHAnsi" w:cstheme="majorHAnsi"/>
          <w:sz w:val="16"/>
          <w:szCs w:val="16"/>
        </w:rPr>
        <w:t xml:space="preserve"> Study, assessing barriers related to the legal environment, </w:t>
      </w:r>
      <w:proofErr w:type="gramStart"/>
      <w:r w:rsidRPr="00AD4AE7">
        <w:rPr>
          <w:rFonts w:asciiTheme="majorHAnsi" w:hAnsiTheme="majorHAnsi" w:cstheme="majorHAnsi"/>
          <w:sz w:val="16"/>
          <w:szCs w:val="16"/>
        </w:rPr>
        <w:t>gender</w:t>
      </w:r>
      <w:proofErr w:type="gramEnd"/>
      <w:r w:rsidRPr="00AD4AE7">
        <w:rPr>
          <w:rFonts w:asciiTheme="majorHAnsi" w:hAnsiTheme="majorHAnsi" w:cstheme="majorHAnsi"/>
          <w:sz w:val="16"/>
          <w:szCs w:val="16"/>
        </w:rPr>
        <w:t xml:space="preserve"> and human rights in Kazakhstan TB Response. Sange Research Center, USAID/ETICA Project, 2021.</w:t>
      </w:r>
    </w:p>
  </w:footnote>
  <w:footnote w:id="66">
    <w:p w14:paraId="74AAC324" w14:textId="3A5D63BB" w:rsidR="009E330A" w:rsidRPr="000A5488" w:rsidRDefault="009E330A" w:rsidP="000A5488">
      <w:pPr>
        <w:pStyle w:val="ad"/>
        <w:jc w:val="both"/>
        <w:rPr>
          <w:rFonts w:asciiTheme="majorHAnsi" w:hAnsiTheme="majorHAnsi" w:cstheme="majorHAnsi"/>
          <w:szCs w:val="16"/>
        </w:rPr>
      </w:pPr>
      <w:r>
        <w:rPr>
          <w:rStyle w:val="af"/>
        </w:rPr>
        <w:footnoteRef/>
      </w:r>
      <w:r>
        <w:t xml:space="preserve"> </w:t>
      </w:r>
      <w:r w:rsidRPr="000A5488">
        <w:rPr>
          <w:rFonts w:asciiTheme="majorHAnsi" w:hAnsiTheme="majorHAnsi" w:cstheme="majorHAnsi"/>
          <w:szCs w:val="16"/>
        </w:rPr>
        <w:t>Tuberculosis in Kazakhstan: knowledge, attitudes and practices of</w:t>
      </w:r>
      <w:r>
        <w:rPr>
          <w:rFonts w:asciiTheme="majorHAnsi" w:hAnsiTheme="majorHAnsi" w:cstheme="majorHAnsi"/>
          <w:szCs w:val="16"/>
        </w:rPr>
        <w:t xml:space="preserve"> general population and </w:t>
      </w:r>
      <w:r w:rsidRPr="000A5488">
        <w:rPr>
          <w:rFonts w:asciiTheme="majorHAnsi" w:hAnsiTheme="majorHAnsi" w:cstheme="majorHAnsi"/>
          <w:szCs w:val="16"/>
        </w:rPr>
        <w:t>key vulnerable groups. 2021, Alimbekova G.T. et al, Report on the results of a comprehensive sociological study conducted by the Center for the Study of Public Opinion and the KMU High School of Public Health.</w:t>
      </w:r>
    </w:p>
  </w:footnote>
  <w:footnote w:id="67">
    <w:p w14:paraId="67036218" w14:textId="77777777" w:rsidR="009E330A" w:rsidRPr="00335A19" w:rsidRDefault="009E330A" w:rsidP="00930D72">
      <w:pPr>
        <w:pStyle w:val="ad"/>
        <w:rPr>
          <w:rFonts w:asciiTheme="majorHAnsi" w:hAnsiTheme="majorHAnsi" w:cstheme="majorHAnsi"/>
          <w:szCs w:val="16"/>
        </w:rPr>
      </w:pPr>
      <w:r>
        <w:rPr>
          <w:rStyle w:val="af"/>
        </w:rPr>
        <w:footnoteRef/>
      </w:r>
      <w:r>
        <w:t xml:space="preserve"> </w:t>
      </w:r>
      <w:r w:rsidRPr="00335A19">
        <w:rPr>
          <w:rFonts w:asciiTheme="majorHAnsi" w:hAnsiTheme="majorHAnsi" w:cstheme="majorHAnsi"/>
          <w:szCs w:val="16"/>
        </w:rPr>
        <w:t>Operational research of the main obsta</w:t>
      </w:r>
      <w:r>
        <w:rPr>
          <w:rFonts w:asciiTheme="majorHAnsi" w:hAnsiTheme="majorHAnsi" w:cstheme="majorHAnsi"/>
          <w:szCs w:val="16"/>
        </w:rPr>
        <w:t>cles and delays in providing</w:t>
      </w:r>
      <w:r w:rsidRPr="00335A19">
        <w:rPr>
          <w:rFonts w:asciiTheme="majorHAnsi" w:hAnsiTheme="majorHAnsi" w:cstheme="majorHAnsi"/>
          <w:szCs w:val="16"/>
        </w:rPr>
        <w:t xml:space="preserve"> servi</w:t>
      </w:r>
      <w:r>
        <w:rPr>
          <w:rFonts w:asciiTheme="majorHAnsi" w:hAnsiTheme="majorHAnsi" w:cstheme="majorHAnsi"/>
          <w:szCs w:val="16"/>
        </w:rPr>
        <w:t xml:space="preserve">ces for the detection, </w:t>
      </w:r>
      <w:r w:rsidRPr="00335A19">
        <w:rPr>
          <w:rFonts w:asciiTheme="majorHAnsi" w:hAnsiTheme="majorHAnsi" w:cstheme="majorHAnsi"/>
          <w:szCs w:val="16"/>
        </w:rPr>
        <w:t>diagnosis, treatment of tuberculosis and drug-resistant tuberculosis in Kazakhstan. Public Fund MAD Consulting</w:t>
      </w:r>
      <w:r>
        <w:rPr>
          <w:rFonts w:asciiTheme="majorHAnsi" w:hAnsiTheme="majorHAnsi" w:cstheme="majorHAnsi"/>
          <w:szCs w:val="16"/>
        </w:rPr>
        <w:t xml:space="preserve">, </w:t>
      </w:r>
      <w:r w:rsidRPr="00335A19">
        <w:rPr>
          <w:rFonts w:asciiTheme="majorHAnsi" w:hAnsiTheme="majorHAnsi" w:cstheme="majorHAnsi"/>
          <w:szCs w:val="16"/>
        </w:rPr>
        <w:t xml:space="preserve">2021. </w:t>
      </w:r>
    </w:p>
  </w:footnote>
  <w:footnote w:id="68">
    <w:p w14:paraId="7096C81E" w14:textId="77777777" w:rsidR="009E330A" w:rsidRDefault="009E330A" w:rsidP="004139A8">
      <w:pPr>
        <w:pStyle w:val="ad"/>
      </w:pPr>
      <w:r>
        <w:rPr>
          <w:rStyle w:val="af"/>
        </w:rPr>
        <w:footnoteRef/>
      </w:r>
      <w:r>
        <w:t xml:space="preserve"> </w:t>
      </w:r>
      <w:r>
        <w:rPr>
          <w:rFonts w:asciiTheme="minorHAnsi" w:hAnsiTheme="minorHAnsi" w:cstheme="minorHAnsi"/>
        </w:rPr>
        <w:t>Operational research on p</w:t>
      </w:r>
      <w:r w:rsidRPr="0012790F">
        <w:rPr>
          <w:rFonts w:asciiTheme="minorHAnsi" w:hAnsiTheme="minorHAnsi" w:cstheme="minorHAnsi"/>
        </w:rPr>
        <w:t>iloting the package of stigma reduction interventions in healthcare organizations, providing TB Care in Almaty, Kazakhstan "</w:t>
      </w:r>
      <w:r>
        <w:rPr>
          <w:rFonts w:asciiTheme="minorHAnsi" w:hAnsiTheme="minorHAnsi" w:cstheme="minorHAnsi"/>
        </w:rPr>
        <w:t xml:space="preserve"> KNCV Kazakhstan, </w:t>
      </w:r>
      <w:r w:rsidRPr="0012790F">
        <w:rPr>
          <w:rFonts w:asciiTheme="minorHAnsi" w:hAnsiTheme="minorHAnsi" w:cstheme="minorHAnsi"/>
        </w:rPr>
        <w:t>2019</w:t>
      </w:r>
      <w:r>
        <w:rPr>
          <w:rFonts w:asciiTheme="minorHAnsi" w:hAnsiTheme="minorHAnsi" w:cstheme="minorHAnsi"/>
        </w:rPr>
        <w:t>.</w:t>
      </w:r>
    </w:p>
  </w:footnote>
  <w:footnote w:id="69">
    <w:p w14:paraId="1D91FDCF" w14:textId="77777777" w:rsidR="009E330A" w:rsidRPr="00C35547" w:rsidRDefault="009E330A" w:rsidP="00244C21">
      <w:pPr>
        <w:pStyle w:val="Default"/>
        <w:rPr>
          <w:rFonts w:ascii="Century Gothic" w:hAnsi="Century Gothic" w:cs="Century Gothic"/>
          <w:sz w:val="16"/>
          <w:szCs w:val="16"/>
        </w:rPr>
      </w:pPr>
      <w:r w:rsidRPr="00C35547">
        <w:rPr>
          <w:rStyle w:val="af"/>
          <w:sz w:val="16"/>
          <w:szCs w:val="16"/>
        </w:rPr>
        <w:footnoteRef/>
      </w:r>
      <w:r w:rsidRPr="00C35547">
        <w:rPr>
          <w:sz w:val="16"/>
          <w:szCs w:val="16"/>
        </w:rPr>
        <w:t xml:space="preserve"> </w:t>
      </w:r>
      <w:r w:rsidRPr="00C35547">
        <w:rPr>
          <w:rFonts w:asciiTheme="majorHAnsi" w:hAnsiTheme="majorHAnsi" w:cstheme="majorHAnsi"/>
          <w:bCs/>
          <w:sz w:val="16"/>
          <w:szCs w:val="16"/>
        </w:rPr>
        <w:t xml:space="preserve">WHO Information Note. COVID-19: considerations for tuberculosis (TB) care. </w:t>
      </w:r>
      <w:proofErr w:type="gramStart"/>
      <w:r w:rsidRPr="00C35547">
        <w:rPr>
          <w:rFonts w:asciiTheme="majorHAnsi" w:hAnsiTheme="majorHAnsi" w:cstheme="majorHAnsi"/>
          <w:bCs/>
          <w:sz w:val="16"/>
          <w:szCs w:val="16"/>
        </w:rPr>
        <w:t>WHO.</w:t>
      </w:r>
      <w:proofErr w:type="gramEnd"/>
      <w:r w:rsidRPr="00C35547">
        <w:rPr>
          <w:rFonts w:asciiTheme="majorHAnsi" w:hAnsiTheme="majorHAnsi" w:cstheme="majorHAnsi"/>
          <w:bCs/>
          <w:sz w:val="16"/>
          <w:szCs w:val="16"/>
        </w:rPr>
        <w:t xml:space="preserve"> 05 May 2021.</w:t>
      </w:r>
    </w:p>
  </w:footnote>
  <w:footnote w:id="70">
    <w:p w14:paraId="33534D12" w14:textId="77777777" w:rsidR="009E330A" w:rsidRPr="00C35547" w:rsidRDefault="009E330A" w:rsidP="001226B8">
      <w:pPr>
        <w:pStyle w:val="Default"/>
        <w:rPr>
          <w:rFonts w:asciiTheme="majorHAnsi" w:hAnsiTheme="majorHAnsi" w:cstheme="majorHAnsi"/>
          <w:bCs/>
          <w:sz w:val="16"/>
          <w:szCs w:val="16"/>
        </w:rPr>
      </w:pPr>
      <w:r w:rsidRPr="00C35547">
        <w:rPr>
          <w:rStyle w:val="af"/>
          <w:sz w:val="16"/>
          <w:szCs w:val="16"/>
        </w:rPr>
        <w:footnoteRef/>
      </w:r>
      <w:r w:rsidRPr="00C35547">
        <w:rPr>
          <w:sz w:val="16"/>
          <w:szCs w:val="16"/>
        </w:rPr>
        <w:t xml:space="preserve"> </w:t>
      </w:r>
      <w:r w:rsidRPr="00C35547">
        <w:rPr>
          <w:rFonts w:asciiTheme="majorHAnsi" w:hAnsiTheme="majorHAnsi" w:cstheme="majorHAnsi"/>
          <w:bCs/>
          <w:sz w:val="16"/>
          <w:szCs w:val="16"/>
        </w:rPr>
        <w:t>Political declaration of the High-Level Meeting of the General Assembly on the Fight A</w:t>
      </w:r>
      <w:r>
        <w:rPr>
          <w:rFonts w:asciiTheme="majorHAnsi" w:hAnsiTheme="majorHAnsi" w:cstheme="majorHAnsi"/>
          <w:bCs/>
          <w:sz w:val="16"/>
          <w:szCs w:val="16"/>
        </w:rPr>
        <w:t>gainst Tuberculosis: resolution/</w:t>
      </w:r>
      <w:r w:rsidRPr="00C35547">
        <w:rPr>
          <w:rFonts w:asciiTheme="majorHAnsi" w:hAnsiTheme="majorHAnsi" w:cstheme="majorHAnsi"/>
          <w:bCs/>
          <w:sz w:val="16"/>
          <w:szCs w:val="16"/>
        </w:rPr>
        <w:t xml:space="preserve">adopted by the General Assembly. 2018. Avaiable from: https://digitallibrary.un.org/record/1649568?ln=en  </w:t>
      </w:r>
    </w:p>
  </w:footnote>
  <w:footnote w:id="71">
    <w:p w14:paraId="34B2EAD2" w14:textId="1666334C" w:rsidR="009E330A" w:rsidRPr="00BA36EF" w:rsidRDefault="009E330A" w:rsidP="00BA36EF">
      <w:pPr>
        <w:pStyle w:val="ad"/>
        <w:rPr>
          <w:szCs w:val="16"/>
        </w:rPr>
      </w:pPr>
      <w:r w:rsidRPr="00BA36EF">
        <w:rPr>
          <w:rStyle w:val="af"/>
          <w:szCs w:val="16"/>
        </w:rPr>
        <w:footnoteRef/>
      </w:r>
      <w:r w:rsidRPr="00BA36EF">
        <w:rPr>
          <w:szCs w:val="16"/>
        </w:rPr>
        <w:t xml:space="preserve"> Government resolution No. 375, 04 June 2021 &amp; MoH order No. ҚR DSM-89, 20 August 2021.</w:t>
      </w:r>
    </w:p>
  </w:footnote>
  <w:footnote w:id="72">
    <w:p w14:paraId="6C9C2DAE" w14:textId="7D9EA3CA" w:rsidR="009E330A" w:rsidRPr="00BA36EF" w:rsidRDefault="009E330A" w:rsidP="00BA36EF">
      <w:pPr>
        <w:spacing w:after="0" w:line="240" w:lineRule="auto"/>
        <w:rPr>
          <w:rFonts w:ascii="Times" w:eastAsia="Times New Roman" w:hAnsi="Times" w:cs="Times New Roman"/>
          <w:sz w:val="16"/>
          <w:szCs w:val="16"/>
        </w:rPr>
      </w:pPr>
      <w:r w:rsidRPr="00BA36EF">
        <w:rPr>
          <w:rStyle w:val="af"/>
          <w:sz w:val="16"/>
          <w:szCs w:val="16"/>
        </w:rPr>
        <w:footnoteRef/>
      </w:r>
      <w:r w:rsidRPr="00BA36EF">
        <w:rPr>
          <w:sz w:val="16"/>
          <w:szCs w:val="16"/>
        </w:rPr>
        <w:t xml:space="preserve"> </w:t>
      </w:r>
      <w:r w:rsidRPr="00974FD7">
        <w:rPr>
          <w:rFonts w:cs="Arial"/>
          <w:sz w:val="16"/>
          <w:szCs w:val="16"/>
        </w:rPr>
        <w:t xml:space="preserve">MoH order </w:t>
      </w:r>
      <w:r w:rsidRPr="00BA36EF">
        <w:rPr>
          <w:rFonts w:eastAsia="Times New Roman" w:cs="Arial"/>
          <w:bCs/>
          <w:sz w:val="16"/>
          <w:szCs w:val="16"/>
        </w:rPr>
        <w:t xml:space="preserve">№ ҚР ДСМ-320/2020, </w:t>
      </w:r>
      <w:r w:rsidRPr="00974FD7">
        <w:rPr>
          <w:rFonts w:cs="Arial"/>
          <w:sz w:val="16"/>
          <w:szCs w:val="16"/>
        </w:rPr>
        <w:t xml:space="preserve">23 December </w:t>
      </w:r>
      <w:proofErr w:type="gramStart"/>
      <w:r w:rsidRPr="00974FD7">
        <w:rPr>
          <w:rFonts w:cs="Arial"/>
          <w:sz w:val="16"/>
          <w:szCs w:val="16"/>
        </w:rPr>
        <w:t>2020 .</w:t>
      </w:r>
      <w:proofErr w:type="gramEnd"/>
    </w:p>
  </w:footnote>
  <w:footnote w:id="73">
    <w:p w14:paraId="4506EFCE" w14:textId="4EBEE985" w:rsidR="009E330A" w:rsidRPr="002069BF" w:rsidRDefault="009E330A" w:rsidP="0020664F">
      <w:pPr>
        <w:pStyle w:val="ad"/>
        <w:rPr>
          <w:rFonts w:asciiTheme="majorHAnsi" w:hAnsiTheme="majorHAnsi" w:cstheme="majorHAnsi"/>
          <w:szCs w:val="16"/>
        </w:rPr>
      </w:pPr>
      <w:r w:rsidRPr="002069BF">
        <w:rPr>
          <w:rStyle w:val="af"/>
          <w:rFonts w:asciiTheme="majorHAnsi" w:hAnsiTheme="majorHAnsi" w:cstheme="majorHAnsi"/>
          <w:szCs w:val="16"/>
        </w:rPr>
        <w:footnoteRef/>
      </w:r>
      <w:r w:rsidRPr="002069BF">
        <w:rPr>
          <w:rFonts w:asciiTheme="majorHAnsi" w:hAnsiTheme="majorHAnsi" w:cstheme="majorHAnsi"/>
          <w:szCs w:val="16"/>
        </w:rPr>
        <w:t xml:space="preserve"> Turusbekova Nonna, Mok Peter, Assessment of the Global Fund grant NGO component in Kazakhstan, 2021. Preliminary findings and recommendations</w:t>
      </w:r>
      <w:r>
        <w:rPr>
          <w:rFonts w:asciiTheme="majorHAnsi" w:hAnsiTheme="majorHAnsi" w:cstheme="majorHAnsi"/>
          <w:szCs w:val="16"/>
        </w:rPr>
        <w:t>.</w:t>
      </w:r>
    </w:p>
  </w:footnote>
  <w:footnote w:id="74">
    <w:p w14:paraId="66E41AA4" w14:textId="77777777" w:rsidR="009E330A" w:rsidRPr="00272BCB" w:rsidRDefault="009E330A" w:rsidP="00EC4166">
      <w:pPr>
        <w:pStyle w:val="ad"/>
        <w:jc w:val="both"/>
        <w:rPr>
          <w:szCs w:val="16"/>
        </w:rPr>
      </w:pPr>
      <w:r w:rsidRPr="00272BCB">
        <w:rPr>
          <w:rStyle w:val="af"/>
          <w:szCs w:val="16"/>
        </w:rPr>
        <w:footnoteRef/>
      </w:r>
      <w:r w:rsidRPr="00272BCB">
        <w:rPr>
          <w:szCs w:val="16"/>
        </w:rPr>
        <w:t xml:space="preserve"> “</w:t>
      </w:r>
      <w:r w:rsidRPr="00272BCB">
        <w:rPr>
          <w:rFonts w:cs="Roboto"/>
          <w:color w:val="000000"/>
          <w:szCs w:val="16"/>
        </w:rPr>
        <w:t xml:space="preserve">The standardized package of community-based support services to improve TB outcomes”, include the Center for Health Policies and Studies (PAS Center), TB Europe Coalition and WHO </w:t>
      </w:r>
      <w:proofErr w:type="gramStart"/>
      <w:r w:rsidRPr="00272BCB">
        <w:rPr>
          <w:rFonts w:cs="Roboto"/>
          <w:color w:val="000000"/>
          <w:szCs w:val="16"/>
        </w:rPr>
        <w:t>Regional  Office</w:t>
      </w:r>
      <w:proofErr w:type="gramEnd"/>
      <w:r w:rsidRPr="00272BCB">
        <w:rPr>
          <w:rFonts w:cs="Roboto"/>
          <w:color w:val="000000"/>
          <w:szCs w:val="16"/>
        </w:rPr>
        <w:t xml:space="preserve"> for Europe, 2021. Funding provided by the Global Fund through the TB-REP </w:t>
      </w:r>
      <w:proofErr w:type="gramStart"/>
      <w:r w:rsidRPr="00272BCB">
        <w:rPr>
          <w:rFonts w:cs="Roboto"/>
          <w:color w:val="000000"/>
          <w:szCs w:val="16"/>
        </w:rPr>
        <w:t>2.0  grant</w:t>
      </w:r>
      <w:proofErr w:type="gramEnd"/>
      <w:r w:rsidRPr="00272BCB">
        <w:rPr>
          <w:rFonts w:cs="Roboto"/>
          <w:color w:val="000000"/>
          <w:szCs w:val="16"/>
        </w:rPr>
        <w:t xml:space="preserve">. Available from: </w:t>
      </w:r>
      <w:r w:rsidRPr="00473C87">
        <w:rPr>
          <w:rFonts w:cs="Roboto"/>
          <w:color w:val="000000"/>
          <w:szCs w:val="16"/>
        </w:rPr>
        <w:t>https://euro.sharefile.com/share/view/se2d10d786db14b26b90ef2ddf3c43b0e/fob8da17-d467-428c-aad6-869a4b25ff5b</w:t>
      </w:r>
    </w:p>
  </w:footnote>
  <w:footnote w:id="75">
    <w:p w14:paraId="76D705FE" w14:textId="16445B5F" w:rsidR="009E330A" w:rsidRDefault="009E330A">
      <w:pPr>
        <w:pStyle w:val="ad"/>
      </w:pPr>
      <w:r>
        <w:rPr>
          <w:rStyle w:val="af"/>
        </w:rPr>
        <w:footnoteRef/>
      </w:r>
      <w:r>
        <w:t xml:space="preserve"> Manual on Supervision, Monitoring and Assessment of TB Control in the Republic of Kazakhstan”, November 2019.</w:t>
      </w:r>
    </w:p>
  </w:footnote>
  <w:footnote w:id="76">
    <w:p w14:paraId="2A98C4A8" w14:textId="01A407E2" w:rsidR="009E330A" w:rsidRPr="008167C0" w:rsidRDefault="009E330A" w:rsidP="008167C0">
      <w:pPr>
        <w:pStyle w:val="affff9"/>
        <w:spacing w:after="0" w:line="240" w:lineRule="auto"/>
        <w:rPr>
          <w:rFonts w:asciiTheme="majorHAnsi" w:hAnsiTheme="majorHAnsi" w:cstheme="majorHAnsi"/>
          <w:sz w:val="16"/>
          <w:szCs w:val="16"/>
        </w:rPr>
      </w:pPr>
      <w:r w:rsidRPr="008167C0">
        <w:rPr>
          <w:rStyle w:val="af"/>
          <w:rFonts w:asciiTheme="majorHAnsi" w:hAnsiTheme="majorHAnsi" w:cstheme="majorHAnsi"/>
          <w:sz w:val="16"/>
          <w:szCs w:val="16"/>
        </w:rPr>
        <w:footnoteRef/>
      </w:r>
      <w:r w:rsidRPr="008167C0">
        <w:rPr>
          <w:rFonts w:asciiTheme="majorHAnsi" w:hAnsiTheme="majorHAnsi" w:cstheme="majorHAnsi"/>
          <w:sz w:val="16"/>
          <w:szCs w:val="16"/>
        </w:rPr>
        <w:t xml:space="preserve"> At the pre-assessment exercise, the lowest sustainable cost estimates for the products and services to enable the ability to deliver on grant targets within the defined budget. </w:t>
      </w:r>
    </w:p>
  </w:footnote>
  <w:footnote w:id="77">
    <w:p w14:paraId="579011A7" w14:textId="77777777" w:rsidR="009E330A" w:rsidRPr="008167C0" w:rsidRDefault="009E330A" w:rsidP="003B493D">
      <w:pPr>
        <w:pStyle w:val="ad"/>
        <w:jc w:val="both"/>
        <w:rPr>
          <w:rFonts w:asciiTheme="majorHAnsi" w:hAnsiTheme="majorHAnsi" w:cstheme="majorHAnsi"/>
          <w:szCs w:val="16"/>
        </w:rPr>
      </w:pPr>
      <w:r w:rsidRPr="008167C0">
        <w:rPr>
          <w:rFonts w:asciiTheme="majorHAnsi" w:hAnsiTheme="majorHAnsi" w:cstheme="majorHAnsi"/>
          <w:szCs w:val="16"/>
          <w:vertAlign w:val="superscript"/>
        </w:rPr>
        <w:footnoteRef/>
      </w:r>
      <w:r w:rsidRPr="008167C0">
        <w:rPr>
          <w:rFonts w:asciiTheme="majorHAnsi" w:hAnsiTheme="majorHAnsi" w:cstheme="majorHAnsi"/>
          <w:szCs w:val="16"/>
        </w:rPr>
        <w:t>The Paradigm Shift 2018-2022. Stop TB Partnership.</w:t>
      </w:r>
    </w:p>
    <w:p w14:paraId="4D02132A" w14:textId="77777777" w:rsidR="009E330A" w:rsidRPr="008167C0" w:rsidRDefault="009E330A" w:rsidP="003B493D">
      <w:pPr>
        <w:pStyle w:val="ad"/>
        <w:jc w:val="both"/>
        <w:rPr>
          <w:rFonts w:asciiTheme="majorHAnsi" w:hAnsiTheme="majorHAnsi" w:cstheme="majorHAnsi"/>
          <w:szCs w:val="16"/>
        </w:rPr>
      </w:pPr>
      <w:r w:rsidRPr="008167C0">
        <w:rPr>
          <w:rFonts w:asciiTheme="majorHAnsi" w:hAnsiTheme="majorHAnsi" w:cstheme="majorHAnsi"/>
          <w:szCs w:val="16"/>
        </w:rPr>
        <w:t>Available from: http://www.stoptb.org/assets/documents/global/plan/GPR_2018-2022_Digital.pdf</w:t>
      </w:r>
    </w:p>
  </w:footnote>
  <w:footnote w:id="78">
    <w:p w14:paraId="269A5140" w14:textId="0C239BF3" w:rsidR="009E330A" w:rsidRDefault="009E330A">
      <w:pPr>
        <w:pStyle w:val="ad"/>
      </w:pPr>
      <w:r>
        <w:rPr>
          <w:rStyle w:val="af"/>
        </w:rPr>
        <w:footnoteRef/>
      </w:r>
      <w:r>
        <w:t xml:space="preserve"> </w:t>
      </w:r>
      <w:r w:rsidRPr="004407F0">
        <w:t>An updated implementation arrangement map is mandatory if the program is continuing with the same PR(s). In cases where the PR is changing, the implementation arrangement map may be submitted at the grant-making stage.</w:t>
      </w:r>
    </w:p>
  </w:footnote>
  <w:footnote w:id="79">
    <w:p w14:paraId="0A3D1DFB" w14:textId="77777777" w:rsidR="009E330A" w:rsidRPr="008109C8" w:rsidRDefault="009E330A" w:rsidP="003D0566">
      <w:pPr>
        <w:spacing w:after="0" w:line="240" w:lineRule="auto"/>
        <w:jc w:val="both"/>
        <w:rPr>
          <w:rFonts w:eastAsia="Times New Roman" w:cs="Times New Roman"/>
          <w:sz w:val="16"/>
          <w:szCs w:val="16"/>
        </w:rPr>
      </w:pPr>
      <w:r w:rsidRPr="008109C8">
        <w:rPr>
          <w:rStyle w:val="af"/>
          <w:sz w:val="16"/>
          <w:szCs w:val="16"/>
        </w:rPr>
        <w:footnoteRef/>
      </w:r>
      <w:r w:rsidRPr="008109C8">
        <w:rPr>
          <w:sz w:val="16"/>
          <w:szCs w:val="16"/>
        </w:rPr>
        <w:t xml:space="preserve"> </w:t>
      </w:r>
      <w:r w:rsidRPr="008109C8">
        <w:rPr>
          <w:rFonts w:asciiTheme="majorHAnsi" w:hAnsiTheme="majorHAnsi" w:cstheme="majorHAnsi"/>
          <w:sz w:val="16"/>
          <w:szCs w:val="16"/>
        </w:rPr>
        <w:t xml:space="preserve">The MoH Order </w:t>
      </w:r>
      <w:r w:rsidRPr="008109C8">
        <w:rPr>
          <w:rFonts w:eastAsia="Times New Roman" w:cs="Arial"/>
          <w:spacing w:val="2"/>
          <w:sz w:val="16"/>
          <w:szCs w:val="16"/>
        </w:rPr>
        <w:t xml:space="preserve">№ ҚР ДСМ-237/2020 </w:t>
      </w:r>
      <w:r w:rsidRPr="008109C8">
        <w:rPr>
          <w:rFonts w:asciiTheme="majorHAnsi" w:hAnsiTheme="majorHAnsi" w:cstheme="majorHAnsi"/>
          <w:sz w:val="16"/>
          <w:szCs w:val="16"/>
        </w:rPr>
        <w:t>“On approval of the Rules for the import into the territory of the Republic of Kazakhstan of medicines and medical devices and export from the territory of the Republic of Kazakhstan of medicines and medical devices, and the provision of the state service "Issuance of an agreement and (or) permit for the import (export) of registered and not registered medici</w:t>
      </w:r>
      <w:r>
        <w:rPr>
          <w:rFonts w:asciiTheme="majorHAnsi" w:hAnsiTheme="majorHAnsi" w:cstheme="majorHAnsi"/>
          <w:sz w:val="16"/>
          <w:szCs w:val="16"/>
        </w:rPr>
        <w:t xml:space="preserve">nes and medical devices”. </w:t>
      </w:r>
      <w:proofErr w:type="gramStart"/>
      <w:r>
        <w:rPr>
          <w:rFonts w:asciiTheme="majorHAnsi" w:hAnsiTheme="majorHAnsi" w:cstheme="majorHAnsi"/>
          <w:sz w:val="16"/>
          <w:szCs w:val="16"/>
        </w:rPr>
        <w:t>December,</w:t>
      </w:r>
      <w:proofErr w:type="gramEnd"/>
      <w:r>
        <w:rPr>
          <w:rFonts w:asciiTheme="majorHAnsi" w:hAnsiTheme="majorHAnsi" w:cstheme="majorHAnsi"/>
          <w:sz w:val="16"/>
          <w:szCs w:val="16"/>
        </w:rPr>
        <w:t xml:space="preserve"> </w:t>
      </w:r>
      <w:r w:rsidRPr="008109C8">
        <w:rPr>
          <w:rFonts w:asciiTheme="majorHAnsi" w:hAnsiTheme="majorHAnsi" w:cstheme="majorHAnsi"/>
          <w:sz w:val="16"/>
          <w:szCs w:val="16"/>
        </w:rPr>
        <w:t>2020.</w:t>
      </w:r>
    </w:p>
  </w:footnote>
  <w:footnote w:id="80">
    <w:p w14:paraId="6E662F01" w14:textId="33AC9C5D" w:rsidR="009E330A" w:rsidRDefault="009E330A">
      <w:pPr>
        <w:pStyle w:val="ad"/>
      </w:pPr>
      <w:r>
        <w:rPr>
          <w:rStyle w:val="af"/>
        </w:rPr>
        <w:footnoteRef/>
      </w:r>
      <w:r>
        <w:t xml:space="preserve"> </w:t>
      </w:r>
      <w:r>
        <w:rPr>
          <w:rFonts w:asciiTheme="minorHAnsi" w:hAnsiTheme="minorHAnsi" w:cstheme="minorHAnsi"/>
          <w:iCs/>
        </w:rPr>
        <w:t>N</w:t>
      </w:r>
      <w:r w:rsidRPr="005C32A6">
        <w:rPr>
          <w:rFonts w:asciiTheme="minorHAnsi" w:hAnsiTheme="minorHAnsi" w:cstheme="minorHAnsi"/>
          <w:iCs/>
        </w:rPr>
        <w:t>ote that information derived from the supporting documentation provided in response to the questions below, including information on funding landscape or domestic commitments, may be made publicly available by the Global Fund</w:t>
      </w:r>
      <w:r w:rsidRPr="005C32A6">
        <w:rPr>
          <w:rFonts w:asciiTheme="minorHAnsi" w:hAnsiTheme="minorHAnsi" w:cstheme="minorHAnsi"/>
        </w:rPr>
        <w:t>.</w:t>
      </w:r>
    </w:p>
  </w:footnote>
  <w:footnote w:id="81">
    <w:p w14:paraId="70D834C3" w14:textId="77777777" w:rsidR="009E330A" w:rsidRPr="004750AE" w:rsidRDefault="009E330A" w:rsidP="008932E6">
      <w:pPr>
        <w:pStyle w:val="ad"/>
        <w:rPr>
          <w:szCs w:val="16"/>
        </w:rPr>
      </w:pPr>
      <w:r w:rsidRPr="004750AE">
        <w:rPr>
          <w:rStyle w:val="af"/>
          <w:szCs w:val="16"/>
        </w:rPr>
        <w:footnoteRef/>
      </w:r>
      <w:r w:rsidRPr="004750AE">
        <w:rPr>
          <w:szCs w:val="16"/>
        </w:rPr>
        <w:t xml:space="preserve"> Explanatory Note to the draft Law of the Republic of Kazakhstan "On the republican budget for 2022 - 2024", Ministry of Finance of the RK, 2021. </w:t>
      </w:r>
    </w:p>
  </w:footnote>
  <w:footnote w:id="82">
    <w:p w14:paraId="3DB25F16" w14:textId="77777777" w:rsidR="009E330A" w:rsidRPr="00777493" w:rsidRDefault="009E330A" w:rsidP="00AD7D4F">
      <w:pPr>
        <w:jc w:val="both"/>
        <w:rPr>
          <w:rFonts w:asciiTheme="majorHAnsi" w:hAnsiTheme="majorHAnsi" w:cstheme="majorHAnsi"/>
          <w:sz w:val="16"/>
          <w:szCs w:val="16"/>
        </w:rPr>
      </w:pPr>
      <w:r w:rsidRPr="00777493">
        <w:rPr>
          <w:rFonts w:asciiTheme="majorHAnsi" w:hAnsiTheme="majorHAnsi" w:cstheme="majorHAnsi"/>
          <w:sz w:val="16"/>
          <w:szCs w:val="16"/>
          <w:vertAlign w:val="superscript"/>
        </w:rPr>
        <w:footnoteRef/>
      </w:r>
      <w:r w:rsidRPr="00777493">
        <w:rPr>
          <w:rFonts w:asciiTheme="majorHAnsi" w:hAnsiTheme="majorHAnsi" w:cstheme="majorHAnsi"/>
          <w:sz w:val="16"/>
          <w:szCs w:val="16"/>
          <w:vertAlign w:val="superscript"/>
        </w:rPr>
        <w:t xml:space="preserve"> </w:t>
      </w:r>
      <w:r w:rsidRPr="00777493">
        <w:rPr>
          <w:rFonts w:asciiTheme="majorHAnsi" w:hAnsiTheme="majorHAnsi" w:cstheme="majorHAnsi"/>
          <w:sz w:val="16"/>
          <w:szCs w:val="16"/>
        </w:rPr>
        <w:t xml:space="preserve">Official information resource of the Prime Minister of the Republic of Kazakhstan. Available from: </w:t>
      </w:r>
      <w:hyperlink r:id="rId12" w:history="1">
        <w:r w:rsidRPr="00777493">
          <w:rPr>
            <w:rFonts w:asciiTheme="majorHAnsi" w:hAnsiTheme="majorHAnsi" w:cstheme="majorHAnsi"/>
            <w:sz w:val="16"/>
            <w:szCs w:val="16"/>
          </w:rPr>
          <w:t>https://www.primeminister.kz/ru/news/borba-s-koronavirusnoy-infekciey-osnashchenie-medicinskih-organizaciy-zarplatnaya-reforma-v-medsfere-razvitie-zdravoohraneniya-kazahstana-v-2020-godu-121545</w:t>
        </w:r>
      </w:hyperlink>
      <w:r>
        <w:rPr>
          <w:rFonts w:asciiTheme="majorHAnsi" w:hAnsiTheme="majorHAnsi" w:cstheme="majorHAnsi"/>
          <w:sz w:val="16"/>
          <w:szCs w:val="16"/>
        </w:rPr>
        <w:t>.</w:t>
      </w:r>
    </w:p>
  </w:footnote>
  <w:footnote w:id="83">
    <w:p w14:paraId="798B0F71" w14:textId="77777777" w:rsidR="009E330A" w:rsidRDefault="009E330A" w:rsidP="008A7F7E">
      <w:pPr>
        <w:pStyle w:val="ad"/>
      </w:pPr>
      <w:r>
        <w:rPr>
          <w:rStyle w:val="af"/>
        </w:rPr>
        <w:footnoteRef/>
      </w:r>
      <w:r>
        <w:t xml:space="preserve"> </w:t>
      </w:r>
      <w:r w:rsidRPr="00B74DAA">
        <w:t>An updated implementation arrangement map is mandatory if the program is continuing with the same PR(s). In cases where the PR is changing, the implementation arrangement map may be submitted at the grant-making stage.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09000F"/>
    <w:lvl w:ilvl="0">
      <w:start w:val="1"/>
      <w:numFmt w:val="decimal"/>
      <w:lvlText w:val="%1."/>
      <w:lvlJc w:val="left"/>
      <w:pPr>
        <w:ind w:left="360" w:hanging="360"/>
      </w:pPr>
    </w:lvl>
  </w:abstractNum>
  <w:abstractNum w:abstractNumId="1" w15:restartNumberingAfterBreak="0">
    <w:nsid w:val="FFFFFF7D"/>
    <w:multiLevelType w:val="singleLevel"/>
    <w:tmpl w:val="6B22611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5D3E66BA"/>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90E7E8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5A04B294"/>
    <w:lvl w:ilvl="0">
      <w:start w:val="1"/>
      <w:numFmt w:val="bullet"/>
      <w:pStyle w:val="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C4147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0E5A8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D252B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88E76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19CAAF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1F2D27"/>
    <w:multiLevelType w:val="hybridMultilevel"/>
    <w:tmpl w:val="B3DA5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951BB2"/>
    <w:multiLevelType w:val="multilevel"/>
    <w:tmpl w:val="8F7AD060"/>
    <w:styleLink w:val="NumbLstBullet"/>
    <w:lvl w:ilvl="0">
      <w:start w:val="1"/>
      <w:numFmt w:val="bullet"/>
      <w:pStyle w:val="Bullet1"/>
      <w:lvlText w:val=""/>
      <w:lvlJc w:val="left"/>
      <w:pPr>
        <w:tabs>
          <w:tab w:val="num" w:pos="397"/>
        </w:tabs>
        <w:ind w:left="397" w:hanging="397"/>
      </w:pPr>
      <w:rPr>
        <w:rFonts w:ascii="Wingdings" w:hAnsi="Wingdings" w:cs="Times New Roman" w:hint="default"/>
        <w:color w:val="auto"/>
      </w:rPr>
    </w:lvl>
    <w:lvl w:ilvl="1">
      <w:start w:val="1"/>
      <w:numFmt w:val="bullet"/>
      <w:pStyle w:val="Bullet2"/>
      <w:lvlText w:val=""/>
      <w:lvlJc w:val="left"/>
      <w:pPr>
        <w:tabs>
          <w:tab w:val="num" w:pos="794"/>
        </w:tabs>
        <w:ind w:left="794" w:hanging="397"/>
      </w:pPr>
      <w:rPr>
        <w:rFonts w:ascii="Wingdings" w:hAnsi="Wingdings" w:cs="Times New Roman" w:hint="default"/>
        <w:color w:val="auto"/>
      </w:rPr>
    </w:lvl>
    <w:lvl w:ilvl="2">
      <w:start w:val="1"/>
      <w:numFmt w:val="bullet"/>
      <w:pStyle w:val="Bullet3"/>
      <w:lvlText w:val=""/>
      <w:lvlJc w:val="left"/>
      <w:pPr>
        <w:tabs>
          <w:tab w:val="num" w:pos="1191"/>
        </w:tabs>
        <w:ind w:left="1191" w:hanging="397"/>
      </w:pPr>
      <w:rPr>
        <w:rFonts w:ascii="Wingdings" w:hAnsi="Wingdings" w:cs="Wingdings" w:hint="default"/>
        <w:color w:val="auto"/>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361"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2" w15:restartNumberingAfterBreak="0">
    <w:nsid w:val="0471093D"/>
    <w:multiLevelType w:val="hybridMultilevel"/>
    <w:tmpl w:val="576C3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4B41A9"/>
    <w:multiLevelType w:val="hybridMultilevel"/>
    <w:tmpl w:val="3F1EE08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4344584"/>
    <w:multiLevelType w:val="hybridMultilevel"/>
    <w:tmpl w:val="A15AA8C6"/>
    <w:lvl w:ilvl="0" w:tplc="CAEAFEDA">
      <w:start w:val="1"/>
      <w:numFmt w:val="lowerLetter"/>
      <w:lvlText w:val="%1)"/>
      <w:lvlJc w:val="left"/>
      <w:pPr>
        <w:ind w:left="1080" w:hanging="360"/>
      </w:pPr>
      <w:rPr>
        <w:rFonts w:eastAsia="Times New Roman"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5576D6B"/>
    <w:multiLevelType w:val="multilevel"/>
    <w:tmpl w:val="08090023"/>
    <w:styleLink w:val="a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B9A17E5"/>
    <w:multiLevelType w:val="hybridMultilevel"/>
    <w:tmpl w:val="3182B7AA"/>
    <w:lvl w:ilvl="0" w:tplc="691E30E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B9F4FFA"/>
    <w:multiLevelType w:val="hybridMultilevel"/>
    <w:tmpl w:val="F364E9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DC836A8"/>
    <w:multiLevelType w:val="hybridMultilevel"/>
    <w:tmpl w:val="35C4F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2571568"/>
    <w:multiLevelType w:val="hybridMultilevel"/>
    <w:tmpl w:val="101E9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6F718AE"/>
    <w:multiLevelType w:val="hybridMultilevel"/>
    <w:tmpl w:val="841ED254"/>
    <w:lvl w:ilvl="0" w:tplc="F2867F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C108AA"/>
    <w:multiLevelType w:val="hybridMultilevel"/>
    <w:tmpl w:val="86029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B3C5A3D"/>
    <w:multiLevelType w:val="multilevel"/>
    <w:tmpl w:val="7200E4CE"/>
    <w:styleLink w:val="NumHeadingsLst"/>
    <w:lvl w:ilvl="0">
      <w:start w:val="1"/>
      <w:numFmt w:val="decimal"/>
      <w:pStyle w:val="1"/>
      <w:lvlText w:val="%1."/>
      <w:lvlJc w:val="left"/>
      <w:pPr>
        <w:ind w:left="567" w:hanging="567"/>
      </w:pPr>
      <w:rPr>
        <w:rFonts w:hint="default"/>
      </w:rPr>
    </w:lvl>
    <w:lvl w:ilvl="1">
      <w:start w:val="1"/>
      <w:numFmt w:val="decimal"/>
      <w:pStyle w:val="21"/>
      <w:lvlText w:val="%1.%2"/>
      <w:lvlJc w:val="left"/>
      <w:pPr>
        <w:ind w:left="567" w:hanging="567"/>
      </w:pPr>
      <w:rPr>
        <w:rFonts w:hint="default"/>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none"/>
      <w:lvlText w:val=""/>
      <w:lvlJc w:val="left"/>
      <w:pPr>
        <w:ind w:left="567" w:firstLine="0"/>
      </w:pPr>
      <w:rPr>
        <w:rFonts w:hint="default"/>
      </w:rPr>
    </w:lvl>
    <w:lvl w:ilvl="5">
      <w:start w:val="1"/>
      <w:numFmt w:val="none"/>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lvlText w:val=""/>
      <w:lvlJc w:val="left"/>
      <w:pPr>
        <w:ind w:left="567" w:firstLine="0"/>
      </w:pPr>
      <w:rPr>
        <w:rFonts w:hint="default"/>
      </w:rPr>
    </w:lvl>
  </w:abstractNum>
  <w:abstractNum w:abstractNumId="23" w15:restartNumberingAfterBreak="0">
    <w:nsid w:val="2F0A3BF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0630F1A"/>
    <w:multiLevelType w:val="multilevel"/>
    <w:tmpl w:val="CEC87954"/>
    <w:lvl w:ilvl="0">
      <w:start w:val="1"/>
      <w:numFmt w:val="decimal"/>
      <w:lvlText w:val="%1"/>
      <w:lvlJc w:val="left"/>
      <w:pPr>
        <w:ind w:left="498" w:hanging="498"/>
      </w:pPr>
      <w:rPr>
        <w:rFonts w:hint="default"/>
      </w:rPr>
    </w:lvl>
    <w:lvl w:ilvl="1">
      <w:start w:val="7"/>
      <w:numFmt w:val="decimal"/>
      <w:lvlText w:val="%1.%2"/>
      <w:lvlJc w:val="left"/>
      <w:pPr>
        <w:ind w:left="498" w:hanging="4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67B3973"/>
    <w:multiLevelType w:val="hybridMultilevel"/>
    <w:tmpl w:val="3BDA961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36B56F6C"/>
    <w:multiLevelType w:val="multilevel"/>
    <w:tmpl w:val="A6940D90"/>
    <w:lvl w:ilvl="0">
      <w:start w:val="1"/>
      <w:numFmt w:val="decimal"/>
      <w:lvlText w:val="%1"/>
      <w:lvlJc w:val="left"/>
      <w:pPr>
        <w:ind w:left="498" w:hanging="498"/>
      </w:pPr>
      <w:rPr>
        <w:rFonts w:hint="default"/>
      </w:rPr>
    </w:lvl>
    <w:lvl w:ilvl="1">
      <w:start w:val="9"/>
      <w:numFmt w:val="decimal"/>
      <w:lvlText w:val="%1.%2"/>
      <w:lvlJc w:val="left"/>
      <w:pPr>
        <w:ind w:left="498" w:hanging="498"/>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907135C"/>
    <w:multiLevelType w:val="hybridMultilevel"/>
    <w:tmpl w:val="DD942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7E4030"/>
    <w:multiLevelType w:val="hybridMultilevel"/>
    <w:tmpl w:val="211C9F2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0EF5D00"/>
    <w:multiLevelType w:val="multilevel"/>
    <w:tmpl w:val="4064B5E8"/>
    <w:lvl w:ilvl="0">
      <w:start w:val="1"/>
      <w:numFmt w:val="decimal"/>
      <w:lvlText w:val="%1"/>
      <w:lvlJc w:val="left"/>
      <w:pPr>
        <w:ind w:left="450" w:hanging="450"/>
      </w:pPr>
      <w:rPr>
        <w:rFonts w:hint="default"/>
      </w:rPr>
    </w:lvl>
    <w:lvl w:ilvl="1">
      <w:start w:val="3"/>
      <w:numFmt w:val="decimal"/>
      <w:lvlText w:val="%1.%2"/>
      <w:lvlJc w:val="left"/>
      <w:pPr>
        <w:ind w:left="81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2090739"/>
    <w:multiLevelType w:val="hybridMultilevel"/>
    <w:tmpl w:val="83225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C61286"/>
    <w:multiLevelType w:val="multilevel"/>
    <w:tmpl w:val="CEC87954"/>
    <w:lvl w:ilvl="0">
      <w:start w:val="1"/>
      <w:numFmt w:val="decimal"/>
      <w:lvlText w:val="%1"/>
      <w:lvlJc w:val="left"/>
      <w:pPr>
        <w:ind w:left="498" w:hanging="498"/>
      </w:pPr>
      <w:rPr>
        <w:rFonts w:hint="default"/>
      </w:rPr>
    </w:lvl>
    <w:lvl w:ilvl="1">
      <w:start w:val="4"/>
      <w:numFmt w:val="decimal"/>
      <w:lvlText w:val="%1.%2"/>
      <w:lvlJc w:val="left"/>
      <w:pPr>
        <w:ind w:left="498" w:hanging="4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6D92483"/>
    <w:multiLevelType w:val="multilevel"/>
    <w:tmpl w:val="F074162E"/>
    <w:lvl w:ilvl="0">
      <w:start w:val="1"/>
      <w:numFmt w:val="decimal"/>
      <w:lvlText w:val="%1"/>
      <w:lvlJc w:val="left"/>
      <w:pPr>
        <w:ind w:left="498" w:hanging="498"/>
      </w:pPr>
      <w:rPr>
        <w:rFonts w:ascii="Arial" w:hAnsi="Arial" w:hint="default"/>
      </w:rPr>
    </w:lvl>
    <w:lvl w:ilvl="1">
      <w:start w:val="2"/>
      <w:numFmt w:val="decimal"/>
      <w:lvlText w:val="%1.%2"/>
      <w:lvlJc w:val="left"/>
      <w:pPr>
        <w:ind w:left="498" w:hanging="498"/>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440" w:hanging="1440"/>
      </w:pPr>
      <w:rPr>
        <w:rFonts w:ascii="Arial" w:hAnsi="Arial" w:hint="default"/>
      </w:rPr>
    </w:lvl>
  </w:abstractNum>
  <w:abstractNum w:abstractNumId="33" w15:restartNumberingAfterBreak="0">
    <w:nsid w:val="48FF131A"/>
    <w:multiLevelType w:val="multilevel"/>
    <w:tmpl w:val="17A0D06E"/>
    <w:styleLink w:val="NumbListAlpha"/>
    <w:lvl w:ilvl="0">
      <w:start w:val="1"/>
      <w:numFmt w:val="lowerLetter"/>
      <w:pStyle w:val="AlphaList1"/>
      <w:lvlText w:val="%1."/>
      <w:lvlJc w:val="left"/>
      <w:pPr>
        <w:tabs>
          <w:tab w:val="num" w:pos="397"/>
        </w:tabs>
        <w:ind w:left="397" w:hanging="397"/>
      </w:pPr>
      <w:rPr>
        <w:rFonts w:hint="default"/>
      </w:rPr>
    </w:lvl>
    <w:lvl w:ilvl="1">
      <w:start w:val="1"/>
      <w:numFmt w:val="lowerRoman"/>
      <w:pStyle w:val="AlphaList2"/>
      <w:lvlText w:val="%2."/>
      <w:lvlJc w:val="left"/>
      <w:pPr>
        <w:tabs>
          <w:tab w:val="num" w:pos="794"/>
        </w:tabs>
        <w:ind w:left="794" w:hanging="397"/>
      </w:pPr>
      <w:rPr>
        <w:rFonts w:hint="default"/>
      </w:rPr>
    </w:lvl>
    <w:lvl w:ilvl="2">
      <w:start w:val="1"/>
      <w:numFmt w:val="none"/>
      <w:suff w:val="nothing"/>
      <w:lvlText w:val=""/>
      <w:lvlJc w:val="left"/>
      <w:pPr>
        <w:ind w:left="794" w:hanging="397"/>
      </w:pPr>
      <w:rPr>
        <w:rFonts w:hint="default"/>
      </w:rPr>
    </w:lvl>
    <w:lvl w:ilvl="3">
      <w:start w:val="1"/>
      <w:numFmt w:val="none"/>
      <w:suff w:val="nothing"/>
      <w:lvlText w:val=""/>
      <w:lvlJc w:val="left"/>
      <w:pPr>
        <w:ind w:left="794" w:hanging="397"/>
      </w:pPr>
      <w:rPr>
        <w:rFonts w:hint="default"/>
      </w:rPr>
    </w:lvl>
    <w:lvl w:ilvl="4">
      <w:start w:val="1"/>
      <w:numFmt w:val="none"/>
      <w:suff w:val="nothing"/>
      <w:lvlText w:val=""/>
      <w:lvlJc w:val="left"/>
      <w:pPr>
        <w:ind w:left="794" w:hanging="397"/>
      </w:pPr>
      <w:rPr>
        <w:rFonts w:hint="default"/>
      </w:rPr>
    </w:lvl>
    <w:lvl w:ilvl="5">
      <w:start w:val="1"/>
      <w:numFmt w:val="none"/>
      <w:suff w:val="nothing"/>
      <w:lvlText w:val=""/>
      <w:lvlJc w:val="left"/>
      <w:pPr>
        <w:ind w:left="794" w:hanging="397"/>
      </w:pPr>
      <w:rPr>
        <w:rFonts w:hint="default"/>
      </w:rPr>
    </w:lvl>
    <w:lvl w:ilvl="6">
      <w:start w:val="1"/>
      <w:numFmt w:val="none"/>
      <w:suff w:val="nothing"/>
      <w:lvlText w:val=""/>
      <w:lvlJc w:val="left"/>
      <w:pPr>
        <w:ind w:left="794" w:hanging="397"/>
      </w:pPr>
      <w:rPr>
        <w:rFonts w:hint="default"/>
      </w:rPr>
    </w:lvl>
    <w:lvl w:ilvl="7">
      <w:start w:val="1"/>
      <w:numFmt w:val="none"/>
      <w:suff w:val="nothing"/>
      <w:lvlText w:val=""/>
      <w:lvlJc w:val="left"/>
      <w:pPr>
        <w:ind w:left="794" w:hanging="397"/>
      </w:pPr>
      <w:rPr>
        <w:rFonts w:hint="default"/>
      </w:rPr>
    </w:lvl>
    <w:lvl w:ilvl="8">
      <w:start w:val="1"/>
      <w:numFmt w:val="none"/>
      <w:lvlRestart w:val="3"/>
      <w:suff w:val="nothing"/>
      <w:lvlText w:val=""/>
      <w:lvlJc w:val="left"/>
      <w:pPr>
        <w:ind w:left="794" w:hanging="397"/>
      </w:pPr>
      <w:rPr>
        <w:rFonts w:hint="default"/>
      </w:rPr>
    </w:lvl>
  </w:abstractNum>
  <w:abstractNum w:abstractNumId="34" w15:restartNumberingAfterBreak="0">
    <w:nsid w:val="49B43993"/>
    <w:multiLevelType w:val="hybridMultilevel"/>
    <w:tmpl w:val="1BC22AE2"/>
    <w:lvl w:ilvl="0" w:tplc="B20C2CE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D366AE"/>
    <w:multiLevelType w:val="multilevel"/>
    <w:tmpl w:val="CEC87954"/>
    <w:lvl w:ilvl="0">
      <w:start w:val="1"/>
      <w:numFmt w:val="decimal"/>
      <w:lvlText w:val="%1"/>
      <w:lvlJc w:val="left"/>
      <w:pPr>
        <w:ind w:left="498" w:hanging="498"/>
      </w:pPr>
      <w:rPr>
        <w:rFonts w:hint="default"/>
      </w:rPr>
    </w:lvl>
    <w:lvl w:ilvl="1">
      <w:start w:val="8"/>
      <w:numFmt w:val="decimal"/>
      <w:lvlText w:val="%1.%2"/>
      <w:lvlJc w:val="left"/>
      <w:pPr>
        <w:ind w:left="498" w:hanging="4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ECF31C0"/>
    <w:multiLevelType w:val="multilevel"/>
    <w:tmpl w:val="17A0D06E"/>
    <w:numStyleLink w:val="NumbListAlpha"/>
  </w:abstractNum>
  <w:abstractNum w:abstractNumId="37" w15:restartNumberingAfterBreak="0">
    <w:nsid w:val="50952110"/>
    <w:multiLevelType w:val="hybridMultilevel"/>
    <w:tmpl w:val="098236E4"/>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881F4F"/>
    <w:multiLevelType w:val="hybridMultilevel"/>
    <w:tmpl w:val="4A54F538"/>
    <w:lvl w:ilvl="0" w:tplc="C0E80D58">
      <w:start w:val="1"/>
      <w:numFmt w:val="lowerLetter"/>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D8629BB"/>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19F540F"/>
    <w:multiLevelType w:val="hybridMultilevel"/>
    <w:tmpl w:val="1E32C9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E4680C"/>
    <w:multiLevelType w:val="hybridMultilevel"/>
    <w:tmpl w:val="C25CC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037219"/>
    <w:multiLevelType w:val="multilevel"/>
    <w:tmpl w:val="CAEA0AE4"/>
    <w:lvl w:ilvl="0">
      <w:start w:val="1"/>
      <w:numFmt w:val="decimal"/>
      <w:lvlText w:val="%1"/>
      <w:lvlJc w:val="left"/>
      <w:pPr>
        <w:ind w:left="498" w:hanging="498"/>
      </w:pPr>
      <w:rPr>
        <w:rFonts w:hint="default"/>
      </w:rPr>
    </w:lvl>
    <w:lvl w:ilvl="1">
      <w:start w:val="6"/>
      <w:numFmt w:val="decimal"/>
      <w:lvlText w:val="%1.%2"/>
      <w:lvlJc w:val="left"/>
      <w:pPr>
        <w:ind w:left="498" w:hanging="498"/>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D2C064A"/>
    <w:multiLevelType w:val="hybridMultilevel"/>
    <w:tmpl w:val="EE445D5E"/>
    <w:lvl w:ilvl="0" w:tplc="B89CB4AC">
      <w:start w:val="1"/>
      <w:numFmt w:val="bullet"/>
      <w:lvlText w:val="-"/>
      <w:lvlJc w:val="left"/>
      <w:pPr>
        <w:ind w:left="360" w:hanging="360"/>
      </w:pPr>
      <w:rPr>
        <w:rFonts w:ascii="Arial" w:hAnsi="Aria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4" w15:restartNumberingAfterBreak="0">
    <w:nsid w:val="73460AD6"/>
    <w:multiLevelType w:val="hybridMultilevel"/>
    <w:tmpl w:val="2D987EEA"/>
    <w:lvl w:ilvl="0" w:tplc="04090017">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9383AD6"/>
    <w:multiLevelType w:val="hybridMultilevel"/>
    <w:tmpl w:val="B3B0083A"/>
    <w:lvl w:ilvl="0" w:tplc="04090011">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6" w15:restartNumberingAfterBreak="0">
    <w:nsid w:val="79B7225C"/>
    <w:multiLevelType w:val="multilevel"/>
    <w:tmpl w:val="CEC87954"/>
    <w:lvl w:ilvl="0">
      <w:start w:val="1"/>
      <w:numFmt w:val="decimal"/>
      <w:lvlText w:val="%1"/>
      <w:lvlJc w:val="left"/>
      <w:pPr>
        <w:ind w:left="498" w:hanging="498"/>
      </w:pPr>
      <w:rPr>
        <w:rFonts w:hint="default"/>
      </w:rPr>
    </w:lvl>
    <w:lvl w:ilvl="1">
      <w:start w:val="5"/>
      <w:numFmt w:val="decimal"/>
      <w:lvlText w:val="%1.%2"/>
      <w:lvlJc w:val="left"/>
      <w:pPr>
        <w:ind w:left="498" w:hanging="4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3D40D4"/>
    <w:multiLevelType w:val="multilevel"/>
    <w:tmpl w:val="81668370"/>
    <w:lvl w:ilvl="0">
      <w:start w:val="1"/>
      <w:numFmt w:val="decimal"/>
      <w:lvlText w:val="%1"/>
      <w:lvlJc w:val="left"/>
      <w:pPr>
        <w:ind w:left="498" w:hanging="498"/>
      </w:pPr>
      <w:rPr>
        <w:rFonts w:hint="default"/>
      </w:rPr>
    </w:lvl>
    <w:lvl w:ilvl="1">
      <w:start w:val="1"/>
      <w:numFmt w:val="decimal"/>
      <w:lvlText w:val="%1.%2"/>
      <w:lvlJc w:val="left"/>
      <w:pPr>
        <w:ind w:left="498" w:hanging="49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F244A31"/>
    <w:multiLevelType w:val="hybridMultilevel"/>
    <w:tmpl w:val="2A729D40"/>
    <w:lvl w:ilvl="0" w:tplc="199E2DD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33"/>
  </w:num>
  <w:num w:numId="13">
    <w:abstractNumId w:val="22"/>
  </w:num>
  <w:num w:numId="14">
    <w:abstractNumId w:val="36"/>
  </w:num>
  <w:num w:numId="15">
    <w:abstractNumId w:val="23"/>
  </w:num>
  <w:num w:numId="16">
    <w:abstractNumId w:val="39"/>
  </w:num>
  <w:num w:numId="17">
    <w:abstractNumId w:val="15"/>
  </w:num>
  <w:num w:numId="18">
    <w:abstractNumId w:val="22"/>
    <w:lvlOverride w:ilvl="0">
      <w:lvl w:ilvl="0">
        <w:start w:val="1"/>
        <w:numFmt w:val="decimal"/>
        <w:pStyle w:val="1"/>
        <w:lvlText w:val="%1."/>
        <w:lvlJc w:val="left"/>
        <w:pPr>
          <w:ind w:left="567" w:hanging="567"/>
        </w:pPr>
        <w:rPr>
          <w:rFonts w:hint="default"/>
        </w:rPr>
      </w:lvl>
    </w:lvlOverride>
    <w:lvlOverride w:ilvl="1">
      <w:lvl w:ilvl="1">
        <w:start w:val="1"/>
        <w:numFmt w:val="decimal"/>
        <w:pStyle w:val="21"/>
        <w:lvlText w:val="%1.%2"/>
        <w:lvlJc w:val="left"/>
        <w:pPr>
          <w:ind w:left="567" w:hanging="567"/>
        </w:pPr>
        <w:rPr>
          <w:rFonts w:hint="default"/>
          <w:b/>
          <w:color w:val="auto"/>
        </w:rPr>
      </w:lvl>
    </w:lvlOverride>
    <w:lvlOverride w:ilvl="2">
      <w:lvl w:ilvl="2">
        <w:start w:val="1"/>
        <w:numFmt w:val="none"/>
        <w:lvlText w:val=""/>
        <w:lvlJc w:val="left"/>
        <w:pPr>
          <w:ind w:left="567" w:firstLine="0"/>
        </w:pPr>
        <w:rPr>
          <w:rFonts w:hint="default"/>
        </w:rPr>
      </w:lvl>
    </w:lvlOverride>
    <w:lvlOverride w:ilvl="3">
      <w:lvl w:ilvl="3">
        <w:start w:val="1"/>
        <w:numFmt w:val="none"/>
        <w:lvlText w:val=""/>
        <w:lvlJc w:val="left"/>
        <w:pPr>
          <w:ind w:left="567" w:firstLine="0"/>
        </w:pPr>
        <w:rPr>
          <w:rFonts w:hint="default"/>
        </w:rPr>
      </w:lvl>
    </w:lvlOverride>
    <w:lvlOverride w:ilvl="4">
      <w:lvl w:ilvl="4">
        <w:start w:val="1"/>
        <w:numFmt w:val="none"/>
        <w:lvlText w:val=""/>
        <w:lvlJc w:val="left"/>
        <w:pPr>
          <w:ind w:left="567" w:firstLine="0"/>
        </w:pPr>
        <w:rPr>
          <w:rFonts w:hint="default"/>
        </w:rPr>
      </w:lvl>
    </w:lvlOverride>
    <w:lvlOverride w:ilvl="5">
      <w:lvl w:ilvl="5">
        <w:start w:val="1"/>
        <w:numFmt w:val="none"/>
        <w:lvlText w:val=""/>
        <w:lvlJc w:val="left"/>
        <w:pPr>
          <w:ind w:left="567" w:firstLine="0"/>
        </w:pPr>
        <w:rPr>
          <w:rFonts w:hint="default"/>
        </w:rPr>
      </w:lvl>
    </w:lvlOverride>
    <w:lvlOverride w:ilvl="6">
      <w:lvl w:ilvl="6">
        <w:start w:val="1"/>
        <w:numFmt w:val="none"/>
        <w:lvlText w:val=""/>
        <w:lvlJc w:val="left"/>
        <w:pPr>
          <w:ind w:left="567" w:firstLine="0"/>
        </w:pPr>
        <w:rPr>
          <w:rFonts w:hint="default"/>
        </w:rPr>
      </w:lvl>
    </w:lvlOverride>
    <w:lvlOverride w:ilvl="7">
      <w:lvl w:ilvl="7">
        <w:start w:val="1"/>
        <w:numFmt w:val="none"/>
        <w:lvlText w:val=""/>
        <w:lvlJc w:val="left"/>
        <w:pPr>
          <w:ind w:left="567" w:firstLine="0"/>
        </w:pPr>
        <w:rPr>
          <w:rFonts w:hint="default"/>
        </w:rPr>
      </w:lvl>
    </w:lvlOverride>
    <w:lvlOverride w:ilvl="8">
      <w:lvl w:ilvl="8">
        <w:start w:val="1"/>
        <w:numFmt w:val="none"/>
        <w:lvlText w:val=""/>
        <w:lvlJc w:val="left"/>
        <w:pPr>
          <w:ind w:left="567" w:firstLine="0"/>
        </w:pPr>
        <w:rPr>
          <w:rFonts w:hint="default"/>
        </w:rPr>
      </w:lvl>
    </w:lvlOverride>
  </w:num>
  <w:num w:numId="19">
    <w:abstractNumId w:val="14"/>
  </w:num>
  <w:num w:numId="20">
    <w:abstractNumId w:val="17"/>
  </w:num>
  <w:num w:numId="21">
    <w:abstractNumId w:val="44"/>
  </w:num>
  <w:num w:numId="22">
    <w:abstractNumId w:val="38"/>
  </w:num>
  <w:num w:numId="23">
    <w:abstractNumId w:val="37"/>
  </w:num>
  <w:num w:numId="24">
    <w:abstractNumId w:val="40"/>
  </w:num>
  <w:num w:numId="25">
    <w:abstractNumId w:val="13"/>
  </w:num>
  <w:num w:numId="26">
    <w:abstractNumId w:val="27"/>
  </w:num>
  <w:num w:numId="27">
    <w:abstractNumId w:val="47"/>
  </w:num>
  <w:num w:numId="28">
    <w:abstractNumId w:val="32"/>
  </w:num>
  <w:num w:numId="29">
    <w:abstractNumId w:val="29"/>
  </w:num>
  <w:num w:numId="30">
    <w:abstractNumId w:val="16"/>
  </w:num>
  <w:num w:numId="31">
    <w:abstractNumId w:val="31"/>
  </w:num>
  <w:num w:numId="32">
    <w:abstractNumId w:val="46"/>
  </w:num>
  <w:num w:numId="33">
    <w:abstractNumId w:val="42"/>
  </w:num>
  <w:num w:numId="34">
    <w:abstractNumId w:val="48"/>
  </w:num>
  <w:num w:numId="35">
    <w:abstractNumId w:val="24"/>
  </w:num>
  <w:num w:numId="36">
    <w:abstractNumId w:val="35"/>
  </w:num>
  <w:num w:numId="37">
    <w:abstractNumId w:val="26"/>
  </w:num>
  <w:num w:numId="38">
    <w:abstractNumId w:val="28"/>
  </w:num>
  <w:num w:numId="39">
    <w:abstractNumId w:val="19"/>
  </w:num>
  <w:num w:numId="40">
    <w:abstractNumId w:val="18"/>
  </w:num>
  <w:num w:numId="41">
    <w:abstractNumId w:val="21"/>
  </w:num>
  <w:num w:numId="42">
    <w:abstractNumId w:val="45"/>
  </w:num>
  <w:num w:numId="43">
    <w:abstractNumId w:val="34"/>
  </w:num>
  <w:num w:numId="44">
    <w:abstractNumId w:val="43"/>
  </w:num>
  <w:num w:numId="45">
    <w:abstractNumId w:val="41"/>
  </w:num>
  <w:num w:numId="46">
    <w:abstractNumId w:val="30"/>
  </w:num>
  <w:num w:numId="47">
    <w:abstractNumId w:val="10"/>
  </w:num>
  <w:num w:numId="48">
    <w:abstractNumId w:val="12"/>
  </w:num>
  <w:num w:numId="49">
    <w:abstractNumId w:val="25"/>
  </w:num>
  <w:num w:numId="50">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grammar="clean"/>
  <w:attachedTemplate r:id="rId1"/>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ocType" w:val="ReportCol1"/>
    <w:docVar w:name="Template" w:val="GF Report Template 1 Column.dotx"/>
  </w:docVars>
  <w:rsids>
    <w:rsidRoot w:val="00D8465B"/>
    <w:rsid w:val="000010E9"/>
    <w:rsid w:val="000012CD"/>
    <w:rsid w:val="0000159A"/>
    <w:rsid w:val="00001706"/>
    <w:rsid w:val="00002300"/>
    <w:rsid w:val="0000281B"/>
    <w:rsid w:val="000028BC"/>
    <w:rsid w:val="000028FE"/>
    <w:rsid w:val="000032B0"/>
    <w:rsid w:val="0000336C"/>
    <w:rsid w:val="000033F0"/>
    <w:rsid w:val="00003495"/>
    <w:rsid w:val="00003C13"/>
    <w:rsid w:val="00003C7C"/>
    <w:rsid w:val="0000491C"/>
    <w:rsid w:val="000056EB"/>
    <w:rsid w:val="00005C39"/>
    <w:rsid w:val="00005F91"/>
    <w:rsid w:val="000067A2"/>
    <w:rsid w:val="000067AC"/>
    <w:rsid w:val="00006871"/>
    <w:rsid w:val="000068AA"/>
    <w:rsid w:val="000072C0"/>
    <w:rsid w:val="00007BFF"/>
    <w:rsid w:val="00007C24"/>
    <w:rsid w:val="00010133"/>
    <w:rsid w:val="000106B6"/>
    <w:rsid w:val="00010846"/>
    <w:rsid w:val="00011D89"/>
    <w:rsid w:val="00011F9B"/>
    <w:rsid w:val="00012417"/>
    <w:rsid w:val="00014AAA"/>
    <w:rsid w:val="0001501C"/>
    <w:rsid w:val="000154C5"/>
    <w:rsid w:val="00015966"/>
    <w:rsid w:val="00015D01"/>
    <w:rsid w:val="00016305"/>
    <w:rsid w:val="000164D7"/>
    <w:rsid w:val="00016C17"/>
    <w:rsid w:val="00017B0B"/>
    <w:rsid w:val="00017D73"/>
    <w:rsid w:val="00017E44"/>
    <w:rsid w:val="00020467"/>
    <w:rsid w:val="00021A9D"/>
    <w:rsid w:val="000226A7"/>
    <w:rsid w:val="000242DD"/>
    <w:rsid w:val="0002447B"/>
    <w:rsid w:val="00024539"/>
    <w:rsid w:val="00024731"/>
    <w:rsid w:val="00024BFF"/>
    <w:rsid w:val="00024DFE"/>
    <w:rsid w:val="00024E34"/>
    <w:rsid w:val="00025F01"/>
    <w:rsid w:val="000264F2"/>
    <w:rsid w:val="00026B25"/>
    <w:rsid w:val="00026B43"/>
    <w:rsid w:val="00027195"/>
    <w:rsid w:val="00027D89"/>
    <w:rsid w:val="00027DFC"/>
    <w:rsid w:val="00027F53"/>
    <w:rsid w:val="000303DD"/>
    <w:rsid w:val="000309E8"/>
    <w:rsid w:val="000312BC"/>
    <w:rsid w:val="00031C81"/>
    <w:rsid w:val="00032486"/>
    <w:rsid w:val="00033146"/>
    <w:rsid w:val="00033319"/>
    <w:rsid w:val="00033455"/>
    <w:rsid w:val="00034567"/>
    <w:rsid w:val="00034984"/>
    <w:rsid w:val="00034B94"/>
    <w:rsid w:val="000352FE"/>
    <w:rsid w:val="00035A22"/>
    <w:rsid w:val="00035C86"/>
    <w:rsid w:val="000361DB"/>
    <w:rsid w:val="00036263"/>
    <w:rsid w:val="00036281"/>
    <w:rsid w:val="00036341"/>
    <w:rsid w:val="0003730A"/>
    <w:rsid w:val="00037366"/>
    <w:rsid w:val="0004013D"/>
    <w:rsid w:val="00040449"/>
    <w:rsid w:val="000408A7"/>
    <w:rsid w:val="00042FE2"/>
    <w:rsid w:val="000432C4"/>
    <w:rsid w:val="0004343B"/>
    <w:rsid w:val="00043F7E"/>
    <w:rsid w:val="000451C3"/>
    <w:rsid w:val="00045A1A"/>
    <w:rsid w:val="0004628A"/>
    <w:rsid w:val="00047715"/>
    <w:rsid w:val="00047C4F"/>
    <w:rsid w:val="00050302"/>
    <w:rsid w:val="00050B7A"/>
    <w:rsid w:val="00052467"/>
    <w:rsid w:val="00052E36"/>
    <w:rsid w:val="000533EF"/>
    <w:rsid w:val="00054291"/>
    <w:rsid w:val="00054E5F"/>
    <w:rsid w:val="000566E2"/>
    <w:rsid w:val="00056F69"/>
    <w:rsid w:val="00057A9B"/>
    <w:rsid w:val="00057F5E"/>
    <w:rsid w:val="0006017A"/>
    <w:rsid w:val="00060248"/>
    <w:rsid w:val="000602D6"/>
    <w:rsid w:val="0006123E"/>
    <w:rsid w:val="00061311"/>
    <w:rsid w:val="00061E43"/>
    <w:rsid w:val="00062423"/>
    <w:rsid w:val="00063935"/>
    <w:rsid w:val="0006397E"/>
    <w:rsid w:val="00063CD3"/>
    <w:rsid w:val="000646CB"/>
    <w:rsid w:val="000646CF"/>
    <w:rsid w:val="00064DD6"/>
    <w:rsid w:val="00065344"/>
    <w:rsid w:val="000656F8"/>
    <w:rsid w:val="00067799"/>
    <w:rsid w:val="00067A97"/>
    <w:rsid w:val="00067C7E"/>
    <w:rsid w:val="000703EF"/>
    <w:rsid w:val="00070798"/>
    <w:rsid w:val="000707E7"/>
    <w:rsid w:val="0007088B"/>
    <w:rsid w:val="00070CB7"/>
    <w:rsid w:val="00071463"/>
    <w:rsid w:val="00071C82"/>
    <w:rsid w:val="000727A1"/>
    <w:rsid w:val="00072CFF"/>
    <w:rsid w:val="00073F96"/>
    <w:rsid w:val="0007417C"/>
    <w:rsid w:val="00074D0F"/>
    <w:rsid w:val="00075538"/>
    <w:rsid w:val="00075919"/>
    <w:rsid w:val="00076212"/>
    <w:rsid w:val="00076BF4"/>
    <w:rsid w:val="00077133"/>
    <w:rsid w:val="0007776F"/>
    <w:rsid w:val="0008007C"/>
    <w:rsid w:val="00080707"/>
    <w:rsid w:val="00080D0E"/>
    <w:rsid w:val="00081377"/>
    <w:rsid w:val="00081AAD"/>
    <w:rsid w:val="00083551"/>
    <w:rsid w:val="0008377E"/>
    <w:rsid w:val="00084682"/>
    <w:rsid w:val="00084740"/>
    <w:rsid w:val="00084B50"/>
    <w:rsid w:val="000853D7"/>
    <w:rsid w:val="00085461"/>
    <w:rsid w:val="000866E4"/>
    <w:rsid w:val="0008675D"/>
    <w:rsid w:val="000875D3"/>
    <w:rsid w:val="0008760E"/>
    <w:rsid w:val="00087AF9"/>
    <w:rsid w:val="00087B89"/>
    <w:rsid w:val="00087E10"/>
    <w:rsid w:val="000906AC"/>
    <w:rsid w:val="000909C9"/>
    <w:rsid w:val="0009143A"/>
    <w:rsid w:val="00091F08"/>
    <w:rsid w:val="0009366A"/>
    <w:rsid w:val="00094FF6"/>
    <w:rsid w:val="0009527C"/>
    <w:rsid w:val="000952E6"/>
    <w:rsid w:val="0009536A"/>
    <w:rsid w:val="00095BEC"/>
    <w:rsid w:val="0009615F"/>
    <w:rsid w:val="000962F9"/>
    <w:rsid w:val="00096FE1"/>
    <w:rsid w:val="000A1AF2"/>
    <w:rsid w:val="000A1C57"/>
    <w:rsid w:val="000A1D26"/>
    <w:rsid w:val="000A1D46"/>
    <w:rsid w:val="000A1DDD"/>
    <w:rsid w:val="000A2A05"/>
    <w:rsid w:val="000A4C92"/>
    <w:rsid w:val="000A4E48"/>
    <w:rsid w:val="000A53ED"/>
    <w:rsid w:val="000A5488"/>
    <w:rsid w:val="000A561B"/>
    <w:rsid w:val="000A5E6B"/>
    <w:rsid w:val="000A7354"/>
    <w:rsid w:val="000B01C8"/>
    <w:rsid w:val="000B0527"/>
    <w:rsid w:val="000B064F"/>
    <w:rsid w:val="000B089D"/>
    <w:rsid w:val="000B0A5E"/>
    <w:rsid w:val="000B13A7"/>
    <w:rsid w:val="000B14F8"/>
    <w:rsid w:val="000B1D92"/>
    <w:rsid w:val="000B2681"/>
    <w:rsid w:val="000B2A47"/>
    <w:rsid w:val="000B3A80"/>
    <w:rsid w:val="000B494A"/>
    <w:rsid w:val="000B4CE5"/>
    <w:rsid w:val="000B5762"/>
    <w:rsid w:val="000B5DDB"/>
    <w:rsid w:val="000B7470"/>
    <w:rsid w:val="000B7775"/>
    <w:rsid w:val="000B793D"/>
    <w:rsid w:val="000B79DE"/>
    <w:rsid w:val="000C0004"/>
    <w:rsid w:val="000C00EF"/>
    <w:rsid w:val="000C1077"/>
    <w:rsid w:val="000C1578"/>
    <w:rsid w:val="000C2256"/>
    <w:rsid w:val="000C3453"/>
    <w:rsid w:val="000C377B"/>
    <w:rsid w:val="000C3977"/>
    <w:rsid w:val="000C4AE2"/>
    <w:rsid w:val="000C5ECA"/>
    <w:rsid w:val="000C647F"/>
    <w:rsid w:val="000C67B1"/>
    <w:rsid w:val="000C6AE6"/>
    <w:rsid w:val="000C72CB"/>
    <w:rsid w:val="000C7449"/>
    <w:rsid w:val="000C798A"/>
    <w:rsid w:val="000D0282"/>
    <w:rsid w:val="000D03B1"/>
    <w:rsid w:val="000D064F"/>
    <w:rsid w:val="000D0666"/>
    <w:rsid w:val="000D1999"/>
    <w:rsid w:val="000D1D8B"/>
    <w:rsid w:val="000D1E24"/>
    <w:rsid w:val="000D233A"/>
    <w:rsid w:val="000D247F"/>
    <w:rsid w:val="000D279D"/>
    <w:rsid w:val="000D2DD8"/>
    <w:rsid w:val="000D327D"/>
    <w:rsid w:val="000D4A8D"/>
    <w:rsid w:val="000D4DF8"/>
    <w:rsid w:val="000D52F9"/>
    <w:rsid w:val="000D5AD8"/>
    <w:rsid w:val="000D6D69"/>
    <w:rsid w:val="000E0A55"/>
    <w:rsid w:val="000E0ACF"/>
    <w:rsid w:val="000E0C57"/>
    <w:rsid w:val="000E1ADD"/>
    <w:rsid w:val="000E1D8A"/>
    <w:rsid w:val="000E1FC4"/>
    <w:rsid w:val="000E24D4"/>
    <w:rsid w:val="000E2866"/>
    <w:rsid w:val="000E3057"/>
    <w:rsid w:val="000E5085"/>
    <w:rsid w:val="000E51DC"/>
    <w:rsid w:val="000E523B"/>
    <w:rsid w:val="000E55D4"/>
    <w:rsid w:val="000E5BFC"/>
    <w:rsid w:val="000E6A8D"/>
    <w:rsid w:val="000E7815"/>
    <w:rsid w:val="000F2311"/>
    <w:rsid w:val="000F3267"/>
    <w:rsid w:val="000F32DA"/>
    <w:rsid w:val="000F46AE"/>
    <w:rsid w:val="000F5BD5"/>
    <w:rsid w:val="000F5C6A"/>
    <w:rsid w:val="000F64B0"/>
    <w:rsid w:val="000F6683"/>
    <w:rsid w:val="000F6D0C"/>
    <w:rsid w:val="000F7531"/>
    <w:rsid w:val="001003B7"/>
    <w:rsid w:val="001007DE"/>
    <w:rsid w:val="00101777"/>
    <w:rsid w:val="001024D8"/>
    <w:rsid w:val="001036AD"/>
    <w:rsid w:val="00103A6B"/>
    <w:rsid w:val="00103D6A"/>
    <w:rsid w:val="001048DC"/>
    <w:rsid w:val="00104EC6"/>
    <w:rsid w:val="00107610"/>
    <w:rsid w:val="0010764D"/>
    <w:rsid w:val="00107D94"/>
    <w:rsid w:val="00107F17"/>
    <w:rsid w:val="00110022"/>
    <w:rsid w:val="00110190"/>
    <w:rsid w:val="00110697"/>
    <w:rsid w:val="00110820"/>
    <w:rsid w:val="00110B9F"/>
    <w:rsid w:val="00110EF2"/>
    <w:rsid w:val="00111F64"/>
    <w:rsid w:val="00112420"/>
    <w:rsid w:val="001139B3"/>
    <w:rsid w:val="00114048"/>
    <w:rsid w:val="001147F1"/>
    <w:rsid w:val="00114895"/>
    <w:rsid w:val="00115DBC"/>
    <w:rsid w:val="0011676B"/>
    <w:rsid w:val="001169B8"/>
    <w:rsid w:val="00117A77"/>
    <w:rsid w:val="001207C2"/>
    <w:rsid w:val="0012123D"/>
    <w:rsid w:val="00122216"/>
    <w:rsid w:val="001226B8"/>
    <w:rsid w:val="00122E8C"/>
    <w:rsid w:val="00123822"/>
    <w:rsid w:val="001238CD"/>
    <w:rsid w:val="00123C75"/>
    <w:rsid w:val="00125656"/>
    <w:rsid w:val="0012790F"/>
    <w:rsid w:val="001300EE"/>
    <w:rsid w:val="00130B4D"/>
    <w:rsid w:val="00130C80"/>
    <w:rsid w:val="00130CEE"/>
    <w:rsid w:val="001311D9"/>
    <w:rsid w:val="00131219"/>
    <w:rsid w:val="001314D4"/>
    <w:rsid w:val="00133325"/>
    <w:rsid w:val="00133AF3"/>
    <w:rsid w:val="0013426D"/>
    <w:rsid w:val="00136494"/>
    <w:rsid w:val="001364B9"/>
    <w:rsid w:val="0013673F"/>
    <w:rsid w:val="0013691B"/>
    <w:rsid w:val="0013704C"/>
    <w:rsid w:val="001373EE"/>
    <w:rsid w:val="00137E99"/>
    <w:rsid w:val="001400B3"/>
    <w:rsid w:val="001400C3"/>
    <w:rsid w:val="0014075A"/>
    <w:rsid w:val="0014095A"/>
    <w:rsid w:val="001412E8"/>
    <w:rsid w:val="00141481"/>
    <w:rsid w:val="00141494"/>
    <w:rsid w:val="001414BE"/>
    <w:rsid w:val="001415E6"/>
    <w:rsid w:val="001417E9"/>
    <w:rsid w:val="0014243A"/>
    <w:rsid w:val="0014330A"/>
    <w:rsid w:val="001433CF"/>
    <w:rsid w:val="00143B29"/>
    <w:rsid w:val="0014527C"/>
    <w:rsid w:val="00146068"/>
    <w:rsid w:val="00146872"/>
    <w:rsid w:val="00146C73"/>
    <w:rsid w:val="0014778E"/>
    <w:rsid w:val="00147B20"/>
    <w:rsid w:val="0015005B"/>
    <w:rsid w:val="0015158A"/>
    <w:rsid w:val="001516AF"/>
    <w:rsid w:val="00152150"/>
    <w:rsid w:val="00152953"/>
    <w:rsid w:val="00152BAF"/>
    <w:rsid w:val="00153629"/>
    <w:rsid w:val="00153CB0"/>
    <w:rsid w:val="001540E2"/>
    <w:rsid w:val="00154F05"/>
    <w:rsid w:val="00155018"/>
    <w:rsid w:val="0015536A"/>
    <w:rsid w:val="00157306"/>
    <w:rsid w:val="00157352"/>
    <w:rsid w:val="001578A3"/>
    <w:rsid w:val="00157C27"/>
    <w:rsid w:val="00157C4A"/>
    <w:rsid w:val="0016011A"/>
    <w:rsid w:val="00160385"/>
    <w:rsid w:val="00161913"/>
    <w:rsid w:val="00161D5F"/>
    <w:rsid w:val="0016259E"/>
    <w:rsid w:val="001628A9"/>
    <w:rsid w:val="00163B60"/>
    <w:rsid w:val="0016549A"/>
    <w:rsid w:val="0016617F"/>
    <w:rsid w:val="00166DA1"/>
    <w:rsid w:val="00166FAF"/>
    <w:rsid w:val="00170AD6"/>
    <w:rsid w:val="0017193C"/>
    <w:rsid w:val="00171C99"/>
    <w:rsid w:val="00172EDE"/>
    <w:rsid w:val="0017301C"/>
    <w:rsid w:val="00173817"/>
    <w:rsid w:val="00173990"/>
    <w:rsid w:val="00173B8A"/>
    <w:rsid w:val="001740E2"/>
    <w:rsid w:val="00175011"/>
    <w:rsid w:val="0017536F"/>
    <w:rsid w:val="00175C7F"/>
    <w:rsid w:val="001765C8"/>
    <w:rsid w:val="001765F4"/>
    <w:rsid w:val="00176C28"/>
    <w:rsid w:val="00176EEC"/>
    <w:rsid w:val="00177C89"/>
    <w:rsid w:val="00180343"/>
    <w:rsid w:val="001807FD"/>
    <w:rsid w:val="00180DDA"/>
    <w:rsid w:val="00180ECE"/>
    <w:rsid w:val="001811C1"/>
    <w:rsid w:val="00181CA6"/>
    <w:rsid w:val="0018292F"/>
    <w:rsid w:val="001833CD"/>
    <w:rsid w:val="00184A14"/>
    <w:rsid w:val="0018510B"/>
    <w:rsid w:val="00185259"/>
    <w:rsid w:val="0018618D"/>
    <w:rsid w:val="001868EA"/>
    <w:rsid w:val="00187CC5"/>
    <w:rsid w:val="00190651"/>
    <w:rsid w:val="00190919"/>
    <w:rsid w:val="00191673"/>
    <w:rsid w:val="00192FF1"/>
    <w:rsid w:val="00193253"/>
    <w:rsid w:val="00193CF2"/>
    <w:rsid w:val="00193EB0"/>
    <w:rsid w:val="00193EBC"/>
    <w:rsid w:val="00194082"/>
    <w:rsid w:val="001940C1"/>
    <w:rsid w:val="00196169"/>
    <w:rsid w:val="00197046"/>
    <w:rsid w:val="00197AE7"/>
    <w:rsid w:val="00197B3C"/>
    <w:rsid w:val="001A0D0B"/>
    <w:rsid w:val="001A113A"/>
    <w:rsid w:val="001A116D"/>
    <w:rsid w:val="001A1661"/>
    <w:rsid w:val="001A18B2"/>
    <w:rsid w:val="001A1D6F"/>
    <w:rsid w:val="001A25D6"/>
    <w:rsid w:val="001A26F2"/>
    <w:rsid w:val="001A2B9A"/>
    <w:rsid w:val="001A3428"/>
    <w:rsid w:val="001A49A1"/>
    <w:rsid w:val="001A4A7C"/>
    <w:rsid w:val="001A4D46"/>
    <w:rsid w:val="001A5793"/>
    <w:rsid w:val="001A7668"/>
    <w:rsid w:val="001A7BF6"/>
    <w:rsid w:val="001A7CC6"/>
    <w:rsid w:val="001B03FC"/>
    <w:rsid w:val="001B244C"/>
    <w:rsid w:val="001B2814"/>
    <w:rsid w:val="001B3039"/>
    <w:rsid w:val="001B3228"/>
    <w:rsid w:val="001B385B"/>
    <w:rsid w:val="001B423F"/>
    <w:rsid w:val="001B4C7F"/>
    <w:rsid w:val="001B51E4"/>
    <w:rsid w:val="001B5638"/>
    <w:rsid w:val="001B58C0"/>
    <w:rsid w:val="001B5A5A"/>
    <w:rsid w:val="001B694E"/>
    <w:rsid w:val="001B75C2"/>
    <w:rsid w:val="001B7717"/>
    <w:rsid w:val="001B7785"/>
    <w:rsid w:val="001C0EA4"/>
    <w:rsid w:val="001C17CB"/>
    <w:rsid w:val="001C1F92"/>
    <w:rsid w:val="001C2071"/>
    <w:rsid w:val="001C2B86"/>
    <w:rsid w:val="001C3DD1"/>
    <w:rsid w:val="001C3DE9"/>
    <w:rsid w:val="001C470A"/>
    <w:rsid w:val="001C4B81"/>
    <w:rsid w:val="001C526D"/>
    <w:rsid w:val="001C6708"/>
    <w:rsid w:val="001D042E"/>
    <w:rsid w:val="001D0768"/>
    <w:rsid w:val="001D0DF5"/>
    <w:rsid w:val="001D27BE"/>
    <w:rsid w:val="001D2AD9"/>
    <w:rsid w:val="001D32A9"/>
    <w:rsid w:val="001D3A6E"/>
    <w:rsid w:val="001D3DFF"/>
    <w:rsid w:val="001D4608"/>
    <w:rsid w:val="001D48BD"/>
    <w:rsid w:val="001D5354"/>
    <w:rsid w:val="001D57CE"/>
    <w:rsid w:val="001D599C"/>
    <w:rsid w:val="001D5B4B"/>
    <w:rsid w:val="001D5CEF"/>
    <w:rsid w:val="001D5EB2"/>
    <w:rsid w:val="001D7C8B"/>
    <w:rsid w:val="001E0205"/>
    <w:rsid w:val="001E1ADF"/>
    <w:rsid w:val="001E24E5"/>
    <w:rsid w:val="001E27C6"/>
    <w:rsid w:val="001E3135"/>
    <w:rsid w:val="001E395E"/>
    <w:rsid w:val="001E4329"/>
    <w:rsid w:val="001E4991"/>
    <w:rsid w:val="001E648F"/>
    <w:rsid w:val="001E64B0"/>
    <w:rsid w:val="001E6B48"/>
    <w:rsid w:val="001E7BA1"/>
    <w:rsid w:val="001F0209"/>
    <w:rsid w:val="001F09D3"/>
    <w:rsid w:val="001F0CAA"/>
    <w:rsid w:val="001F336A"/>
    <w:rsid w:val="001F3615"/>
    <w:rsid w:val="001F37FE"/>
    <w:rsid w:val="001F3A81"/>
    <w:rsid w:val="001F43FC"/>
    <w:rsid w:val="001F4D25"/>
    <w:rsid w:val="001F52A6"/>
    <w:rsid w:val="001F6430"/>
    <w:rsid w:val="001F6FCF"/>
    <w:rsid w:val="001F730E"/>
    <w:rsid w:val="001F764C"/>
    <w:rsid w:val="001F76EF"/>
    <w:rsid w:val="001F7DDD"/>
    <w:rsid w:val="001F7F10"/>
    <w:rsid w:val="00200578"/>
    <w:rsid w:val="00200A5E"/>
    <w:rsid w:val="0020189B"/>
    <w:rsid w:val="002018F1"/>
    <w:rsid w:val="002026A0"/>
    <w:rsid w:val="00202C66"/>
    <w:rsid w:val="0020340C"/>
    <w:rsid w:val="00203511"/>
    <w:rsid w:val="00203E33"/>
    <w:rsid w:val="00204107"/>
    <w:rsid w:val="002041A8"/>
    <w:rsid w:val="002045F2"/>
    <w:rsid w:val="00204EB0"/>
    <w:rsid w:val="002050EB"/>
    <w:rsid w:val="002057ED"/>
    <w:rsid w:val="00205A44"/>
    <w:rsid w:val="0020615A"/>
    <w:rsid w:val="0020664F"/>
    <w:rsid w:val="002069BF"/>
    <w:rsid w:val="00206F20"/>
    <w:rsid w:val="002071E5"/>
    <w:rsid w:val="002075E4"/>
    <w:rsid w:val="00207659"/>
    <w:rsid w:val="00207758"/>
    <w:rsid w:val="00207DD8"/>
    <w:rsid w:val="0021003F"/>
    <w:rsid w:val="002106D2"/>
    <w:rsid w:val="002106F3"/>
    <w:rsid w:val="002115C4"/>
    <w:rsid w:val="002127A7"/>
    <w:rsid w:val="002137A0"/>
    <w:rsid w:val="00213F97"/>
    <w:rsid w:val="0021423E"/>
    <w:rsid w:val="00214849"/>
    <w:rsid w:val="00215815"/>
    <w:rsid w:val="002160E5"/>
    <w:rsid w:val="00216874"/>
    <w:rsid w:val="00216E9D"/>
    <w:rsid w:val="00216FDE"/>
    <w:rsid w:val="0021756F"/>
    <w:rsid w:val="0021787D"/>
    <w:rsid w:val="00217E14"/>
    <w:rsid w:val="00220885"/>
    <w:rsid w:val="002213C8"/>
    <w:rsid w:val="0022178C"/>
    <w:rsid w:val="00222640"/>
    <w:rsid w:val="0022273F"/>
    <w:rsid w:val="00222E69"/>
    <w:rsid w:val="00222F1D"/>
    <w:rsid w:val="00223574"/>
    <w:rsid w:val="00223E60"/>
    <w:rsid w:val="002246F7"/>
    <w:rsid w:val="00224DB7"/>
    <w:rsid w:val="002250B7"/>
    <w:rsid w:val="002251B1"/>
    <w:rsid w:val="00225DAB"/>
    <w:rsid w:val="00226154"/>
    <w:rsid w:val="00226984"/>
    <w:rsid w:val="00226F72"/>
    <w:rsid w:val="00227187"/>
    <w:rsid w:val="00227C7B"/>
    <w:rsid w:val="00227F72"/>
    <w:rsid w:val="00230DBD"/>
    <w:rsid w:val="00230ED8"/>
    <w:rsid w:val="002324C1"/>
    <w:rsid w:val="00232A85"/>
    <w:rsid w:val="00233EEC"/>
    <w:rsid w:val="00234130"/>
    <w:rsid w:val="002348FC"/>
    <w:rsid w:val="00235CA2"/>
    <w:rsid w:val="00236533"/>
    <w:rsid w:val="002367FB"/>
    <w:rsid w:val="00236822"/>
    <w:rsid w:val="002376CC"/>
    <w:rsid w:val="002376D2"/>
    <w:rsid w:val="0024020E"/>
    <w:rsid w:val="002408AE"/>
    <w:rsid w:val="00240DD6"/>
    <w:rsid w:val="00242F10"/>
    <w:rsid w:val="00242F74"/>
    <w:rsid w:val="002432B5"/>
    <w:rsid w:val="00243B86"/>
    <w:rsid w:val="00244C21"/>
    <w:rsid w:val="00244EDC"/>
    <w:rsid w:val="002452E1"/>
    <w:rsid w:val="00245BBA"/>
    <w:rsid w:val="00245EED"/>
    <w:rsid w:val="00246261"/>
    <w:rsid w:val="0024657C"/>
    <w:rsid w:val="00246706"/>
    <w:rsid w:val="00246A77"/>
    <w:rsid w:val="00246C47"/>
    <w:rsid w:val="00247F11"/>
    <w:rsid w:val="002505ED"/>
    <w:rsid w:val="0025088F"/>
    <w:rsid w:val="002510B2"/>
    <w:rsid w:val="0025131C"/>
    <w:rsid w:val="002519E2"/>
    <w:rsid w:val="002522F2"/>
    <w:rsid w:val="00252A59"/>
    <w:rsid w:val="00252BEB"/>
    <w:rsid w:val="00253480"/>
    <w:rsid w:val="0025351E"/>
    <w:rsid w:val="00253763"/>
    <w:rsid w:val="0025492B"/>
    <w:rsid w:val="00254D2F"/>
    <w:rsid w:val="002578AD"/>
    <w:rsid w:val="0026022C"/>
    <w:rsid w:val="00260A73"/>
    <w:rsid w:val="00260CDF"/>
    <w:rsid w:val="00261448"/>
    <w:rsid w:val="00261626"/>
    <w:rsid w:val="002618E7"/>
    <w:rsid w:val="002619D2"/>
    <w:rsid w:val="00261BFB"/>
    <w:rsid w:val="002624AD"/>
    <w:rsid w:val="0026298E"/>
    <w:rsid w:val="00262993"/>
    <w:rsid w:val="0026364C"/>
    <w:rsid w:val="00263A4D"/>
    <w:rsid w:val="00263E19"/>
    <w:rsid w:val="00265884"/>
    <w:rsid w:val="00266AEC"/>
    <w:rsid w:val="0027163F"/>
    <w:rsid w:val="00272966"/>
    <w:rsid w:val="00272BCB"/>
    <w:rsid w:val="00273537"/>
    <w:rsid w:val="002735B8"/>
    <w:rsid w:val="002742FC"/>
    <w:rsid w:val="002753E4"/>
    <w:rsid w:val="002756DE"/>
    <w:rsid w:val="00276608"/>
    <w:rsid w:val="00277768"/>
    <w:rsid w:val="00277870"/>
    <w:rsid w:val="002778FC"/>
    <w:rsid w:val="0028034D"/>
    <w:rsid w:val="002803E4"/>
    <w:rsid w:val="00280771"/>
    <w:rsid w:val="00280CC2"/>
    <w:rsid w:val="002817EB"/>
    <w:rsid w:val="00281CF4"/>
    <w:rsid w:val="00281EEA"/>
    <w:rsid w:val="002821B7"/>
    <w:rsid w:val="00282E1F"/>
    <w:rsid w:val="00284808"/>
    <w:rsid w:val="0028481C"/>
    <w:rsid w:val="00286D72"/>
    <w:rsid w:val="00287452"/>
    <w:rsid w:val="002908FF"/>
    <w:rsid w:val="002911CC"/>
    <w:rsid w:val="00291BF7"/>
    <w:rsid w:val="00292879"/>
    <w:rsid w:val="00292A4B"/>
    <w:rsid w:val="00292B4C"/>
    <w:rsid w:val="0029318B"/>
    <w:rsid w:val="002938CB"/>
    <w:rsid w:val="00293DAE"/>
    <w:rsid w:val="00294833"/>
    <w:rsid w:val="00294871"/>
    <w:rsid w:val="00294A62"/>
    <w:rsid w:val="00294DEA"/>
    <w:rsid w:val="00295DC6"/>
    <w:rsid w:val="00296248"/>
    <w:rsid w:val="002965FD"/>
    <w:rsid w:val="0029698E"/>
    <w:rsid w:val="0029796C"/>
    <w:rsid w:val="002A1586"/>
    <w:rsid w:val="002A4684"/>
    <w:rsid w:val="002A4D55"/>
    <w:rsid w:val="002A51FF"/>
    <w:rsid w:val="002A528A"/>
    <w:rsid w:val="002A534F"/>
    <w:rsid w:val="002A57E1"/>
    <w:rsid w:val="002A5B89"/>
    <w:rsid w:val="002A5ECB"/>
    <w:rsid w:val="002A5F6E"/>
    <w:rsid w:val="002A659A"/>
    <w:rsid w:val="002A6B37"/>
    <w:rsid w:val="002A6C05"/>
    <w:rsid w:val="002A72DB"/>
    <w:rsid w:val="002A7635"/>
    <w:rsid w:val="002B0302"/>
    <w:rsid w:val="002B07E9"/>
    <w:rsid w:val="002B0E6B"/>
    <w:rsid w:val="002B0F35"/>
    <w:rsid w:val="002B15D5"/>
    <w:rsid w:val="002B2073"/>
    <w:rsid w:val="002B24F2"/>
    <w:rsid w:val="002B2BF1"/>
    <w:rsid w:val="002B3679"/>
    <w:rsid w:val="002B3E78"/>
    <w:rsid w:val="002B4AC5"/>
    <w:rsid w:val="002B4EA3"/>
    <w:rsid w:val="002B6442"/>
    <w:rsid w:val="002B6A8E"/>
    <w:rsid w:val="002B78DA"/>
    <w:rsid w:val="002C0129"/>
    <w:rsid w:val="002C35FE"/>
    <w:rsid w:val="002C3A9A"/>
    <w:rsid w:val="002C3AA2"/>
    <w:rsid w:val="002C3C4E"/>
    <w:rsid w:val="002C3CEB"/>
    <w:rsid w:val="002C40B6"/>
    <w:rsid w:val="002C42BF"/>
    <w:rsid w:val="002C4465"/>
    <w:rsid w:val="002C471A"/>
    <w:rsid w:val="002C4CB8"/>
    <w:rsid w:val="002C4DB2"/>
    <w:rsid w:val="002C5366"/>
    <w:rsid w:val="002C545B"/>
    <w:rsid w:val="002C5EB5"/>
    <w:rsid w:val="002C60A0"/>
    <w:rsid w:val="002C632E"/>
    <w:rsid w:val="002C7951"/>
    <w:rsid w:val="002C7EB4"/>
    <w:rsid w:val="002D012D"/>
    <w:rsid w:val="002D0E28"/>
    <w:rsid w:val="002D2426"/>
    <w:rsid w:val="002D2B1B"/>
    <w:rsid w:val="002D3F91"/>
    <w:rsid w:val="002D421F"/>
    <w:rsid w:val="002D43A8"/>
    <w:rsid w:val="002D46FC"/>
    <w:rsid w:val="002D5537"/>
    <w:rsid w:val="002D597D"/>
    <w:rsid w:val="002D5A90"/>
    <w:rsid w:val="002D5B60"/>
    <w:rsid w:val="002D5C44"/>
    <w:rsid w:val="002D6C84"/>
    <w:rsid w:val="002D752C"/>
    <w:rsid w:val="002E1987"/>
    <w:rsid w:val="002E216D"/>
    <w:rsid w:val="002E28DB"/>
    <w:rsid w:val="002E2B51"/>
    <w:rsid w:val="002E38CB"/>
    <w:rsid w:val="002E4741"/>
    <w:rsid w:val="002E485A"/>
    <w:rsid w:val="002E4929"/>
    <w:rsid w:val="002E5B82"/>
    <w:rsid w:val="002E5F52"/>
    <w:rsid w:val="002E5FA9"/>
    <w:rsid w:val="002E6104"/>
    <w:rsid w:val="002E6F81"/>
    <w:rsid w:val="002E7888"/>
    <w:rsid w:val="002E7B14"/>
    <w:rsid w:val="002E7BDE"/>
    <w:rsid w:val="002F01A4"/>
    <w:rsid w:val="002F0503"/>
    <w:rsid w:val="002F15D3"/>
    <w:rsid w:val="002F1B4E"/>
    <w:rsid w:val="002F23B7"/>
    <w:rsid w:val="002F2720"/>
    <w:rsid w:val="002F2F7C"/>
    <w:rsid w:val="002F36B4"/>
    <w:rsid w:val="002F392F"/>
    <w:rsid w:val="002F40EF"/>
    <w:rsid w:val="002F4599"/>
    <w:rsid w:val="002F4EC4"/>
    <w:rsid w:val="002F5625"/>
    <w:rsid w:val="002F5A38"/>
    <w:rsid w:val="002F680A"/>
    <w:rsid w:val="002F689F"/>
    <w:rsid w:val="002F74DA"/>
    <w:rsid w:val="002F7A45"/>
    <w:rsid w:val="002F7D9F"/>
    <w:rsid w:val="003006C5"/>
    <w:rsid w:val="00300E2D"/>
    <w:rsid w:val="00301029"/>
    <w:rsid w:val="003022B3"/>
    <w:rsid w:val="00302DAA"/>
    <w:rsid w:val="0030349F"/>
    <w:rsid w:val="00303F18"/>
    <w:rsid w:val="00304EE8"/>
    <w:rsid w:val="0030540C"/>
    <w:rsid w:val="0030572C"/>
    <w:rsid w:val="00305901"/>
    <w:rsid w:val="00305CAE"/>
    <w:rsid w:val="00305F98"/>
    <w:rsid w:val="00305FA9"/>
    <w:rsid w:val="0030693E"/>
    <w:rsid w:val="003069E7"/>
    <w:rsid w:val="00307C14"/>
    <w:rsid w:val="003102A4"/>
    <w:rsid w:val="003103A0"/>
    <w:rsid w:val="003109E4"/>
    <w:rsid w:val="00311EEB"/>
    <w:rsid w:val="00311FEB"/>
    <w:rsid w:val="00313B11"/>
    <w:rsid w:val="00313D32"/>
    <w:rsid w:val="00314060"/>
    <w:rsid w:val="0031413A"/>
    <w:rsid w:val="00314800"/>
    <w:rsid w:val="00314C15"/>
    <w:rsid w:val="00315959"/>
    <w:rsid w:val="00315BCF"/>
    <w:rsid w:val="00315C39"/>
    <w:rsid w:val="00315D48"/>
    <w:rsid w:val="0031628B"/>
    <w:rsid w:val="00316EAA"/>
    <w:rsid w:val="00317B15"/>
    <w:rsid w:val="00317D9A"/>
    <w:rsid w:val="00317FDB"/>
    <w:rsid w:val="003204C8"/>
    <w:rsid w:val="00320A08"/>
    <w:rsid w:val="00320F6F"/>
    <w:rsid w:val="00320FCB"/>
    <w:rsid w:val="00322853"/>
    <w:rsid w:val="003241D5"/>
    <w:rsid w:val="0032424D"/>
    <w:rsid w:val="0032448B"/>
    <w:rsid w:val="0032468D"/>
    <w:rsid w:val="00325D20"/>
    <w:rsid w:val="00326A0F"/>
    <w:rsid w:val="00326A25"/>
    <w:rsid w:val="00326B65"/>
    <w:rsid w:val="00330275"/>
    <w:rsid w:val="00331DC3"/>
    <w:rsid w:val="00332199"/>
    <w:rsid w:val="0033299E"/>
    <w:rsid w:val="003337B8"/>
    <w:rsid w:val="00333C13"/>
    <w:rsid w:val="00333F17"/>
    <w:rsid w:val="00333F47"/>
    <w:rsid w:val="00334A2B"/>
    <w:rsid w:val="00334DBE"/>
    <w:rsid w:val="00334EDF"/>
    <w:rsid w:val="00335A19"/>
    <w:rsid w:val="0033603B"/>
    <w:rsid w:val="0033641D"/>
    <w:rsid w:val="00336E74"/>
    <w:rsid w:val="00337015"/>
    <w:rsid w:val="0034059F"/>
    <w:rsid w:val="00341F03"/>
    <w:rsid w:val="00342229"/>
    <w:rsid w:val="00342727"/>
    <w:rsid w:val="00342917"/>
    <w:rsid w:val="003436A3"/>
    <w:rsid w:val="00344AF1"/>
    <w:rsid w:val="00345796"/>
    <w:rsid w:val="00345BE7"/>
    <w:rsid w:val="00346474"/>
    <w:rsid w:val="0034672C"/>
    <w:rsid w:val="00347335"/>
    <w:rsid w:val="00347480"/>
    <w:rsid w:val="00350A18"/>
    <w:rsid w:val="00350D3E"/>
    <w:rsid w:val="00351362"/>
    <w:rsid w:val="00352CB4"/>
    <w:rsid w:val="00353A8C"/>
    <w:rsid w:val="00353D1D"/>
    <w:rsid w:val="00353D24"/>
    <w:rsid w:val="0035401C"/>
    <w:rsid w:val="00354044"/>
    <w:rsid w:val="003542E1"/>
    <w:rsid w:val="00355A94"/>
    <w:rsid w:val="00355FD3"/>
    <w:rsid w:val="00356575"/>
    <w:rsid w:val="0035698A"/>
    <w:rsid w:val="00356E94"/>
    <w:rsid w:val="00356EFB"/>
    <w:rsid w:val="003570FC"/>
    <w:rsid w:val="003579B6"/>
    <w:rsid w:val="00360056"/>
    <w:rsid w:val="0036019D"/>
    <w:rsid w:val="003608B7"/>
    <w:rsid w:val="00361089"/>
    <w:rsid w:val="0036163C"/>
    <w:rsid w:val="00361F29"/>
    <w:rsid w:val="00362A4A"/>
    <w:rsid w:val="003633CA"/>
    <w:rsid w:val="00364326"/>
    <w:rsid w:val="00365D9B"/>
    <w:rsid w:val="003669CF"/>
    <w:rsid w:val="00366C3B"/>
    <w:rsid w:val="00367534"/>
    <w:rsid w:val="00370DF3"/>
    <w:rsid w:val="003711A7"/>
    <w:rsid w:val="003715C7"/>
    <w:rsid w:val="0037258B"/>
    <w:rsid w:val="00373AE0"/>
    <w:rsid w:val="00374C4A"/>
    <w:rsid w:val="00374D4A"/>
    <w:rsid w:val="003753DF"/>
    <w:rsid w:val="0037624D"/>
    <w:rsid w:val="003763B3"/>
    <w:rsid w:val="00376575"/>
    <w:rsid w:val="00376598"/>
    <w:rsid w:val="003768F4"/>
    <w:rsid w:val="00377269"/>
    <w:rsid w:val="00377AA9"/>
    <w:rsid w:val="003808BA"/>
    <w:rsid w:val="00380C84"/>
    <w:rsid w:val="003812BA"/>
    <w:rsid w:val="0038178D"/>
    <w:rsid w:val="00381810"/>
    <w:rsid w:val="00381880"/>
    <w:rsid w:val="0038234F"/>
    <w:rsid w:val="00382BD3"/>
    <w:rsid w:val="00382D8B"/>
    <w:rsid w:val="00383E90"/>
    <w:rsid w:val="003844E1"/>
    <w:rsid w:val="00384714"/>
    <w:rsid w:val="0038486D"/>
    <w:rsid w:val="00384D7D"/>
    <w:rsid w:val="00385FF8"/>
    <w:rsid w:val="003860E7"/>
    <w:rsid w:val="00386461"/>
    <w:rsid w:val="0038675E"/>
    <w:rsid w:val="00386AD7"/>
    <w:rsid w:val="003874CC"/>
    <w:rsid w:val="003875CD"/>
    <w:rsid w:val="00387D53"/>
    <w:rsid w:val="00387DF7"/>
    <w:rsid w:val="003902D5"/>
    <w:rsid w:val="0039077F"/>
    <w:rsid w:val="00390951"/>
    <w:rsid w:val="00390E9F"/>
    <w:rsid w:val="0039122D"/>
    <w:rsid w:val="003915A1"/>
    <w:rsid w:val="0039226E"/>
    <w:rsid w:val="00392548"/>
    <w:rsid w:val="00392C77"/>
    <w:rsid w:val="00393004"/>
    <w:rsid w:val="003934C0"/>
    <w:rsid w:val="00393B18"/>
    <w:rsid w:val="00393F38"/>
    <w:rsid w:val="003946ED"/>
    <w:rsid w:val="00395135"/>
    <w:rsid w:val="003957D1"/>
    <w:rsid w:val="00395B36"/>
    <w:rsid w:val="00396ADB"/>
    <w:rsid w:val="00396FE6"/>
    <w:rsid w:val="00397B91"/>
    <w:rsid w:val="003A09BD"/>
    <w:rsid w:val="003A0F8A"/>
    <w:rsid w:val="003A13B6"/>
    <w:rsid w:val="003A19F6"/>
    <w:rsid w:val="003A1F32"/>
    <w:rsid w:val="003A34D7"/>
    <w:rsid w:val="003A366E"/>
    <w:rsid w:val="003A4972"/>
    <w:rsid w:val="003A4BF7"/>
    <w:rsid w:val="003A588A"/>
    <w:rsid w:val="003A5BC6"/>
    <w:rsid w:val="003A5EB1"/>
    <w:rsid w:val="003A6E8C"/>
    <w:rsid w:val="003A71B9"/>
    <w:rsid w:val="003A7A93"/>
    <w:rsid w:val="003B00E6"/>
    <w:rsid w:val="003B068D"/>
    <w:rsid w:val="003B079F"/>
    <w:rsid w:val="003B09C8"/>
    <w:rsid w:val="003B382A"/>
    <w:rsid w:val="003B38DB"/>
    <w:rsid w:val="003B493D"/>
    <w:rsid w:val="003B72A5"/>
    <w:rsid w:val="003B7406"/>
    <w:rsid w:val="003B744C"/>
    <w:rsid w:val="003B7F22"/>
    <w:rsid w:val="003C0AC1"/>
    <w:rsid w:val="003C107E"/>
    <w:rsid w:val="003C1ADC"/>
    <w:rsid w:val="003C20D6"/>
    <w:rsid w:val="003C21F6"/>
    <w:rsid w:val="003C260D"/>
    <w:rsid w:val="003C2CAC"/>
    <w:rsid w:val="003C2E43"/>
    <w:rsid w:val="003C319B"/>
    <w:rsid w:val="003C323B"/>
    <w:rsid w:val="003C3BC6"/>
    <w:rsid w:val="003C4471"/>
    <w:rsid w:val="003C4775"/>
    <w:rsid w:val="003C4B9E"/>
    <w:rsid w:val="003C4F64"/>
    <w:rsid w:val="003C4FBC"/>
    <w:rsid w:val="003C5578"/>
    <w:rsid w:val="003C55C9"/>
    <w:rsid w:val="003C5EA3"/>
    <w:rsid w:val="003C656F"/>
    <w:rsid w:val="003C69F6"/>
    <w:rsid w:val="003C6CEB"/>
    <w:rsid w:val="003C722F"/>
    <w:rsid w:val="003C7B23"/>
    <w:rsid w:val="003C7F2F"/>
    <w:rsid w:val="003C7FD3"/>
    <w:rsid w:val="003D0566"/>
    <w:rsid w:val="003D1C66"/>
    <w:rsid w:val="003D1CAD"/>
    <w:rsid w:val="003D280D"/>
    <w:rsid w:val="003D286E"/>
    <w:rsid w:val="003D36D4"/>
    <w:rsid w:val="003D4325"/>
    <w:rsid w:val="003D4722"/>
    <w:rsid w:val="003D4795"/>
    <w:rsid w:val="003D4DC5"/>
    <w:rsid w:val="003D59BD"/>
    <w:rsid w:val="003D5BAF"/>
    <w:rsid w:val="003D5D6D"/>
    <w:rsid w:val="003D61F2"/>
    <w:rsid w:val="003D6410"/>
    <w:rsid w:val="003D70F4"/>
    <w:rsid w:val="003D7406"/>
    <w:rsid w:val="003E19E8"/>
    <w:rsid w:val="003E208C"/>
    <w:rsid w:val="003E4E7A"/>
    <w:rsid w:val="003E58AE"/>
    <w:rsid w:val="003E58CC"/>
    <w:rsid w:val="003E5A0E"/>
    <w:rsid w:val="003E6386"/>
    <w:rsid w:val="003E7707"/>
    <w:rsid w:val="003E78F3"/>
    <w:rsid w:val="003E7D1B"/>
    <w:rsid w:val="003F0032"/>
    <w:rsid w:val="003F0790"/>
    <w:rsid w:val="003F092E"/>
    <w:rsid w:val="003F0B77"/>
    <w:rsid w:val="003F1605"/>
    <w:rsid w:val="003F167F"/>
    <w:rsid w:val="003F189C"/>
    <w:rsid w:val="003F1911"/>
    <w:rsid w:val="003F1956"/>
    <w:rsid w:val="003F2658"/>
    <w:rsid w:val="003F2A2A"/>
    <w:rsid w:val="003F3046"/>
    <w:rsid w:val="003F33C8"/>
    <w:rsid w:val="003F4F26"/>
    <w:rsid w:val="003F73FF"/>
    <w:rsid w:val="003F7D19"/>
    <w:rsid w:val="00400EC1"/>
    <w:rsid w:val="00401529"/>
    <w:rsid w:val="0040172B"/>
    <w:rsid w:val="0040184B"/>
    <w:rsid w:val="004032D7"/>
    <w:rsid w:val="00404876"/>
    <w:rsid w:val="004053F5"/>
    <w:rsid w:val="00406563"/>
    <w:rsid w:val="004066E5"/>
    <w:rsid w:val="004075D4"/>
    <w:rsid w:val="0041000D"/>
    <w:rsid w:val="004100F9"/>
    <w:rsid w:val="004102B7"/>
    <w:rsid w:val="00410F9E"/>
    <w:rsid w:val="00411293"/>
    <w:rsid w:val="00411A6F"/>
    <w:rsid w:val="00411AFC"/>
    <w:rsid w:val="00411C5E"/>
    <w:rsid w:val="00411CF4"/>
    <w:rsid w:val="00412D8F"/>
    <w:rsid w:val="00412F86"/>
    <w:rsid w:val="0041327D"/>
    <w:rsid w:val="00413649"/>
    <w:rsid w:val="0041369C"/>
    <w:rsid w:val="004139A8"/>
    <w:rsid w:val="00413EDD"/>
    <w:rsid w:val="00414164"/>
    <w:rsid w:val="00414929"/>
    <w:rsid w:val="00414D85"/>
    <w:rsid w:val="004161D0"/>
    <w:rsid w:val="00416877"/>
    <w:rsid w:val="00416B90"/>
    <w:rsid w:val="0041751E"/>
    <w:rsid w:val="0042079A"/>
    <w:rsid w:val="004207DF"/>
    <w:rsid w:val="00420D97"/>
    <w:rsid w:val="00421004"/>
    <w:rsid w:val="004210F1"/>
    <w:rsid w:val="004214C5"/>
    <w:rsid w:val="00422BB4"/>
    <w:rsid w:val="00422F32"/>
    <w:rsid w:val="00423462"/>
    <w:rsid w:val="00423D82"/>
    <w:rsid w:val="00424998"/>
    <w:rsid w:val="00424BFA"/>
    <w:rsid w:val="00425042"/>
    <w:rsid w:val="00425441"/>
    <w:rsid w:val="00426574"/>
    <w:rsid w:val="00426893"/>
    <w:rsid w:val="00427041"/>
    <w:rsid w:val="00427B78"/>
    <w:rsid w:val="00427EDB"/>
    <w:rsid w:val="0043016C"/>
    <w:rsid w:val="004307D5"/>
    <w:rsid w:val="004308A0"/>
    <w:rsid w:val="00431A46"/>
    <w:rsid w:val="00432294"/>
    <w:rsid w:val="00432F66"/>
    <w:rsid w:val="004333FE"/>
    <w:rsid w:val="0043393A"/>
    <w:rsid w:val="00433FE4"/>
    <w:rsid w:val="00434481"/>
    <w:rsid w:val="0043453B"/>
    <w:rsid w:val="004345DC"/>
    <w:rsid w:val="00434657"/>
    <w:rsid w:val="00434D0B"/>
    <w:rsid w:val="00435164"/>
    <w:rsid w:val="004366B6"/>
    <w:rsid w:val="00436C41"/>
    <w:rsid w:val="00437B29"/>
    <w:rsid w:val="00437DC3"/>
    <w:rsid w:val="004407F0"/>
    <w:rsid w:val="00440DDD"/>
    <w:rsid w:val="00441852"/>
    <w:rsid w:val="004431F4"/>
    <w:rsid w:val="00443373"/>
    <w:rsid w:val="00443C2F"/>
    <w:rsid w:val="00445225"/>
    <w:rsid w:val="00445418"/>
    <w:rsid w:val="004456B9"/>
    <w:rsid w:val="00445D2C"/>
    <w:rsid w:val="004463A9"/>
    <w:rsid w:val="004468C2"/>
    <w:rsid w:val="00446E5F"/>
    <w:rsid w:val="004470BD"/>
    <w:rsid w:val="004473B4"/>
    <w:rsid w:val="00447915"/>
    <w:rsid w:val="00447973"/>
    <w:rsid w:val="004479C1"/>
    <w:rsid w:val="00450076"/>
    <w:rsid w:val="00450256"/>
    <w:rsid w:val="0045066A"/>
    <w:rsid w:val="00451229"/>
    <w:rsid w:val="00451CBE"/>
    <w:rsid w:val="00452C10"/>
    <w:rsid w:val="00453F51"/>
    <w:rsid w:val="00454124"/>
    <w:rsid w:val="00454A78"/>
    <w:rsid w:val="00454E8A"/>
    <w:rsid w:val="004551D2"/>
    <w:rsid w:val="00457134"/>
    <w:rsid w:val="00457163"/>
    <w:rsid w:val="00457496"/>
    <w:rsid w:val="00460612"/>
    <w:rsid w:val="004619FD"/>
    <w:rsid w:val="0046220E"/>
    <w:rsid w:val="00463433"/>
    <w:rsid w:val="00463442"/>
    <w:rsid w:val="00463ACA"/>
    <w:rsid w:val="00464851"/>
    <w:rsid w:val="00464F55"/>
    <w:rsid w:val="0046759D"/>
    <w:rsid w:val="004705ED"/>
    <w:rsid w:val="00472C7C"/>
    <w:rsid w:val="00473172"/>
    <w:rsid w:val="00473490"/>
    <w:rsid w:val="00473C87"/>
    <w:rsid w:val="0047490D"/>
    <w:rsid w:val="0047497A"/>
    <w:rsid w:val="00474B49"/>
    <w:rsid w:val="004750AE"/>
    <w:rsid w:val="00475BE9"/>
    <w:rsid w:val="00475C15"/>
    <w:rsid w:val="004764C4"/>
    <w:rsid w:val="004764E6"/>
    <w:rsid w:val="00476570"/>
    <w:rsid w:val="004767C1"/>
    <w:rsid w:val="0047690A"/>
    <w:rsid w:val="00476F27"/>
    <w:rsid w:val="0047727E"/>
    <w:rsid w:val="00477290"/>
    <w:rsid w:val="004807FB"/>
    <w:rsid w:val="00481132"/>
    <w:rsid w:val="00481CFD"/>
    <w:rsid w:val="00483E0D"/>
    <w:rsid w:val="00484E70"/>
    <w:rsid w:val="00485066"/>
    <w:rsid w:val="00485133"/>
    <w:rsid w:val="00486181"/>
    <w:rsid w:val="0048640D"/>
    <w:rsid w:val="00486627"/>
    <w:rsid w:val="0048695C"/>
    <w:rsid w:val="0048706A"/>
    <w:rsid w:val="00487B6A"/>
    <w:rsid w:val="00487DE0"/>
    <w:rsid w:val="00487F02"/>
    <w:rsid w:val="00487FC9"/>
    <w:rsid w:val="00490205"/>
    <w:rsid w:val="0049046A"/>
    <w:rsid w:val="0049073F"/>
    <w:rsid w:val="00490776"/>
    <w:rsid w:val="004915BE"/>
    <w:rsid w:val="004943F0"/>
    <w:rsid w:val="0049455A"/>
    <w:rsid w:val="004948EA"/>
    <w:rsid w:val="004955E1"/>
    <w:rsid w:val="0049561C"/>
    <w:rsid w:val="004958EA"/>
    <w:rsid w:val="00496597"/>
    <w:rsid w:val="004978D9"/>
    <w:rsid w:val="004A0E28"/>
    <w:rsid w:val="004A0F5B"/>
    <w:rsid w:val="004A0F5D"/>
    <w:rsid w:val="004A1F29"/>
    <w:rsid w:val="004A2BAF"/>
    <w:rsid w:val="004A2D0A"/>
    <w:rsid w:val="004A3E1A"/>
    <w:rsid w:val="004A5EDE"/>
    <w:rsid w:val="004A6E97"/>
    <w:rsid w:val="004A767B"/>
    <w:rsid w:val="004A7E5C"/>
    <w:rsid w:val="004A7F20"/>
    <w:rsid w:val="004B0BEE"/>
    <w:rsid w:val="004B0EB1"/>
    <w:rsid w:val="004B12A7"/>
    <w:rsid w:val="004B3B81"/>
    <w:rsid w:val="004B3CB6"/>
    <w:rsid w:val="004B41A7"/>
    <w:rsid w:val="004B4B62"/>
    <w:rsid w:val="004B4E06"/>
    <w:rsid w:val="004B50E0"/>
    <w:rsid w:val="004B567E"/>
    <w:rsid w:val="004B5B52"/>
    <w:rsid w:val="004B6D76"/>
    <w:rsid w:val="004B78B6"/>
    <w:rsid w:val="004C09C4"/>
    <w:rsid w:val="004C19DD"/>
    <w:rsid w:val="004C1C0D"/>
    <w:rsid w:val="004C2307"/>
    <w:rsid w:val="004C3853"/>
    <w:rsid w:val="004C3F5E"/>
    <w:rsid w:val="004C3FC4"/>
    <w:rsid w:val="004C41DA"/>
    <w:rsid w:val="004C4679"/>
    <w:rsid w:val="004C586C"/>
    <w:rsid w:val="004C73D1"/>
    <w:rsid w:val="004D0DEF"/>
    <w:rsid w:val="004D1533"/>
    <w:rsid w:val="004D2823"/>
    <w:rsid w:val="004D3ACA"/>
    <w:rsid w:val="004D4827"/>
    <w:rsid w:val="004D5094"/>
    <w:rsid w:val="004D63B0"/>
    <w:rsid w:val="004E018E"/>
    <w:rsid w:val="004E0779"/>
    <w:rsid w:val="004E2BFA"/>
    <w:rsid w:val="004E2EF5"/>
    <w:rsid w:val="004E3404"/>
    <w:rsid w:val="004E3CF4"/>
    <w:rsid w:val="004E445E"/>
    <w:rsid w:val="004E45CF"/>
    <w:rsid w:val="004E51D8"/>
    <w:rsid w:val="004E61F6"/>
    <w:rsid w:val="004E6523"/>
    <w:rsid w:val="004E67F9"/>
    <w:rsid w:val="004E708C"/>
    <w:rsid w:val="004E7915"/>
    <w:rsid w:val="004E7BF1"/>
    <w:rsid w:val="004F034A"/>
    <w:rsid w:val="004F0ACE"/>
    <w:rsid w:val="004F13B7"/>
    <w:rsid w:val="004F282A"/>
    <w:rsid w:val="004F2CB2"/>
    <w:rsid w:val="004F3DBF"/>
    <w:rsid w:val="004F4E75"/>
    <w:rsid w:val="004F5138"/>
    <w:rsid w:val="004F51BA"/>
    <w:rsid w:val="004F6EC0"/>
    <w:rsid w:val="004F70E2"/>
    <w:rsid w:val="004F750D"/>
    <w:rsid w:val="0050029B"/>
    <w:rsid w:val="0050082E"/>
    <w:rsid w:val="005008F0"/>
    <w:rsid w:val="00500D68"/>
    <w:rsid w:val="00502865"/>
    <w:rsid w:val="005028D9"/>
    <w:rsid w:val="00502B50"/>
    <w:rsid w:val="00503355"/>
    <w:rsid w:val="00503917"/>
    <w:rsid w:val="005048BF"/>
    <w:rsid w:val="005051C1"/>
    <w:rsid w:val="00505DF8"/>
    <w:rsid w:val="00507992"/>
    <w:rsid w:val="00507D03"/>
    <w:rsid w:val="00507D31"/>
    <w:rsid w:val="00507F9E"/>
    <w:rsid w:val="005110E7"/>
    <w:rsid w:val="00511693"/>
    <w:rsid w:val="005117FB"/>
    <w:rsid w:val="00512DE0"/>
    <w:rsid w:val="00514A8E"/>
    <w:rsid w:val="0051540D"/>
    <w:rsid w:val="0051641E"/>
    <w:rsid w:val="00516717"/>
    <w:rsid w:val="00516E27"/>
    <w:rsid w:val="00516F05"/>
    <w:rsid w:val="00517EF3"/>
    <w:rsid w:val="00520859"/>
    <w:rsid w:val="005215CA"/>
    <w:rsid w:val="00522631"/>
    <w:rsid w:val="005232AC"/>
    <w:rsid w:val="005241D1"/>
    <w:rsid w:val="00524B22"/>
    <w:rsid w:val="00524C50"/>
    <w:rsid w:val="005251D5"/>
    <w:rsid w:val="00525307"/>
    <w:rsid w:val="0052537B"/>
    <w:rsid w:val="005253DC"/>
    <w:rsid w:val="00525A76"/>
    <w:rsid w:val="005261A5"/>
    <w:rsid w:val="00527203"/>
    <w:rsid w:val="0052762D"/>
    <w:rsid w:val="005279BC"/>
    <w:rsid w:val="00527C39"/>
    <w:rsid w:val="00527ED3"/>
    <w:rsid w:val="0053234A"/>
    <w:rsid w:val="005327C3"/>
    <w:rsid w:val="005338D0"/>
    <w:rsid w:val="0053397E"/>
    <w:rsid w:val="005342AC"/>
    <w:rsid w:val="0053510E"/>
    <w:rsid w:val="00535656"/>
    <w:rsid w:val="00536095"/>
    <w:rsid w:val="005363E7"/>
    <w:rsid w:val="00536EAB"/>
    <w:rsid w:val="0053784E"/>
    <w:rsid w:val="00540811"/>
    <w:rsid w:val="00540AED"/>
    <w:rsid w:val="005416B3"/>
    <w:rsid w:val="00541E75"/>
    <w:rsid w:val="005422B6"/>
    <w:rsid w:val="00542A97"/>
    <w:rsid w:val="00543DCE"/>
    <w:rsid w:val="00543FA7"/>
    <w:rsid w:val="005448DD"/>
    <w:rsid w:val="005461ED"/>
    <w:rsid w:val="0054635E"/>
    <w:rsid w:val="0054641A"/>
    <w:rsid w:val="00546CD3"/>
    <w:rsid w:val="0054791C"/>
    <w:rsid w:val="005502AF"/>
    <w:rsid w:val="00550F74"/>
    <w:rsid w:val="00551274"/>
    <w:rsid w:val="005516A6"/>
    <w:rsid w:val="00551908"/>
    <w:rsid w:val="00551BC0"/>
    <w:rsid w:val="00552AD6"/>
    <w:rsid w:val="00552B56"/>
    <w:rsid w:val="0055342D"/>
    <w:rsid w:val="0055443A"/>
    <w:rsid w:val="0055523F"/>
    <w:rsid w:val="00555534"/>
    <w:rsid w:val="00555D47"/>
    <w:rsid w:val="00555E1C"/>
    <w:rsid w:val="0055679B"/>
    <w:rsid w:val="005572C7"/>
    <w:rsid w:val="00557751"/>
    <w:rsid w:val="005578E8"/>
    <w:rsid w:val="00557C70"/>
    <w:rsid w:val="00560074"/>
    <w:rsid w:val="00560096"/>
    <w:rsid w:val="00560302"/>
    <w:rsid w:val="00560314"/>
    <w:rsid w:val="0056055F"/>
    <w:rsid w:val="0056090F"/>
    <w:rsid w:val="00560EEE"/>
    <w:rsid w:val="005612AB"/>
    <w:rsid w:val="00561767"/>
    <w:rsid w:val="00562B3D"/>
    <w:rsid w:val="00562CBF"/>
    <w:rsid w:val="0056348A"/>
    <w:rsid w:val="00564C7B"/>
    <w:rsid w:val="00564CFA"/>
    <w:rsid w:val="0056510F"/>
    <w:rsid w:val="0056523D"/>
    <w:rsid w:val="005659E0"/>
    <w:rsid w:val="00565C6B"/>
    <w:rsid w:val="00566BCD"/>
    <w:rsid w:val="0056796B"/>
    <w:rsid w:val="00570DD6"/>
    <w:rsid w:val="0057138C"/>
    <w:rsid w:val="00571A16"/>
    <w:rsid w:val="00571DA6"/>
    <w:rsid w:val="00571EC4"/>
    <w:rsid w:val="0057204D"/>
    <w:rsid w:val="00572198"/>
    <w:rsid w:val="00572227"/>
    <w:rsid w:val="005735F0"/>
    <w:rsid w:val="00573795"/>
    <w:rsid w:val="00573A39"/>
    <w:rsid w:val="00573AAB"/>
    <w:rsid w:val="0057424E"/>
    <w:rsid w:val="005742CF"/>
    <w:rsid w:val="00574AB0"/>
    <w:rsid w:val="00574F9D"/>
    <w:rsid w:val="00576254"/>
    <w:rsid w:val="00576289"/>
    <w:rsid w:val="00576E18"/>
    <w:rsid w:val="00577796"/>
    <w:rsid w:val="00581EAA"/>
    <w:rsid w:val="00582570"/>
    <w:rsid w:val="0058269C"/>
    <w:rsid w:val="0058276C"/>
    <w:rsid w:val="0058294F"/>
    <w:rsid w:val="00582BFD"/>
    <w:rsid w:val="00583359"/>
    <w:rsid w:val="0058415B"/>
    <w:rsid w:val="0058438C"/>
    <w:rsid w:val="00584CB7"/>
    <w:rsid w:val="005851F5"/>
    <w:rsid w:val="005852CD"/>
    <w:rsid w:val="005865D3"/>
    <w:rsid w:val="00586D1B"/>
    <w:rsid w:val="0059005B"/>
    <w:rsid w:val="005902A5"/>
    <w:rsid w:val="005904AC"/>
    <w:rsid w:val="00592AEF"/>
    <w:rsid w:val="00592CEF"/>
    <w:rsid w:val="005936F7"/>
    <w:rsid w:val="00594335"/>
    <w:rsid w:val="005950FB"/>
    <w:rsid w:val="0059661D"/>
    <w:rsid w:val="005976ED"/>
    <w:rsid w:val="005A0E0E"/>
    <w:rsid w:val="005A1EDA"/>
    <w:rsid w:val="005A2654"/>
    <w:rsid w:val="005A2B34"/>
    <w:rsid w:val="005A3F89"/>
    <w:rsid w:val="005A3FE7"/>
    <w:rsid w:val="005A4AFF"/>
    <w:rsid w:val="005A4BCB"/>
    <w:rsid w:val="005A4CA5"/>
    <w:rsid w:val="005A5F4F"/>
    <w:rsid w:val="005A5FC1"/>
    <w:rsid w:val="005A6125"/>
    <w:rsid w:val="005A75C8"/>
    <w:rsid w:val="005A7DE2"/>
    <w:rsid w:val="005A7F49"/>
    <w:rsid w:val="005B03D1"/>
    <w:rsid w:val="005B1937"/>
    <w:rsid w:val="005B21F7"/>
    <w:rsid w:val="005B3064"/>
    <w:rsid w:val="005B3F5B"/>
    <w:rsid w:val="005B4528"/>
    <w:rsid w:val="005B4783"/>
    <w:rsid w:val="005B4E3A"/>
    <w:rsid w:val="005B5468"/>
    <w:rsid w:val="005C0BCA"/>
    <w:rsid w:val="005C0CC4"/>
    <w:rsid w:val="005C1E7F"/>
    <w:rsid w:val="005C3ED3"/>
    <w:rsid w:val="005C42F1"/>
    <w:rsid w:val="005C4BD4"/>
    <w:rsid w:val="005C4C11"/>
    <w:rsid w:val="005C54D7"/>
    <w:rsid w:val="005C58C1"/>
    <w:rsid w:val="005C788A"/>
    <w:rsid w:val="005C7CEF"/>
    <w:rsid w:val="005D02D2"/>
    <w:rsid w:val="005D067C"/>
    <w:rsid w:val="005D080D"/>
    <w:rsid w:val="005D0888"/>
    <w:rsid w:val="005D098B"/>
    <w:rsid w:val="005D0CB5"/>
    <w:rsid w:val="005D0DCE"/>
    <w:rsid w:val="005D15DB"/>
    <w:rsid w:val="005D30BA"/>
    <w:rsid w:val="005D3EBF"/>
    <w:rsid w:val="005D3F87"/>
    <w:rsid w:val="005D4065"/>
    <w:rsid w:val="005D4524"/>
    <w:rsid w:val="005D475B"/>
    <w:rsid w:val="005D4E83"/>
    <w:rsid w:val="005D5EE2"/>
    <w:rsid w:val="005D6353"/>
    <w:rsid w:val="005D63AE"/>
    <w:rsid w:val="005D63F8"/>
    <w:rsid w:val="005D76ED"/>
    <w:rsid w:val="005E0753"/>
    <w:rsid w:val="005E0808"/>
    <w:rsid w:val="005E0AB3"/>
    <w:rsid w:val="005E0FAF"/>
    <w:rsid w:val="005E1866"/>
    <w:rsid w:val="005E283E"/>
    <w:rsid w:val="005E2BED"/>
    <w:rsid w:val="005E2D19"/>
    <w:rsid w:val="005E3103"/>
    <w:rsid w:val="005E32C8"/>
    <w:rsid w:val="005E37A9"/>
    <w:rsid w:val="005E3987"/>
    <w:rsid w:val="005E50A9"/>
    <w:rsid w:val="005E5287"/>
    <w:rsid w:val="005E57FB"/>
    <w:rsid w:val="005E58E5"/>
    <w:rsid w:val="005E5FAA"/>
    <w:rsid w:val="005E6229"/>
    <w:rsid w:val="005E78AE"/>
    <w:rsid w:val="005E7B92"/>
    <w:rsid w:val="005F04BF"/>
    <w:rsid w:val="005F06F9"/>
    <w:rsid w:val="005F0EEF"/>
    <w:rsid w:val="005F1060"/>
    <w:rsid w:val="005F1354"/>
    <w:rsid w:val="005F1D76"/>
    <w:rsid w:val="005F1FAB"/>
    <w:rsid w:val="005F213C"/>
    <w:rsid w:val="005F21D5"/>
    <w:rsid w:val="005F25F5"/>
    <w:rsid w:val="005F2BF9"/>
    <w:rsid w:val="005F40DB"/>
    <w:rsid w:val="005F4E06"/>
    <w:rsid w:val="005F4F00"/>
    <w:rsid w:val="005F4F02"/>
    <w:rsid w:val="005F574A"/>
    <w:rsid w:val="005F5C48"/>
    <w:rsid w:val="005F5F19"/>
    <w:rsid w:val="005F5FB6"/>
    <w:rsid w:val="005F6D34"/>
    <w:rsid w:val="005F7347"/>
    <w:rsid w:val="005F79F9"/>
    <w:rsid w:val="005F7BF5"/>
    <w:rsid w:val="00600BA8"/>
    <w:rsid w:val="00601209"/>
    <w:rsid w:val="00602EAD"/>
    <w:rsid w:val="00603370"/>
    <w:rsid w:val="006036C1"/>
    <w:rsid w:val="006037F1"/>
    <w:rsid w:val="00604180"/>
    <w:rsid w:val="00604CBD"/>
    <w:rsid w:val="0060519A"/>
    <w:rsid w:val="00605449"/>
    <w:rsid w:val="00606C49"/>
    <w:rsid w:val="00606F84"/>
    <w:rsid w:val="0060776D"/>
    <w:rsid w:val="00607E20"/>
    <w:rsid w:val="00607EC2"/>
    <w:rsid w:val="00611B1E"/>
    <w:rsid w:val="00611C01"/>
    <w:rsid w:val="00611DCB"/>
    <w:rsid w:val="00611DD1"/>
    <w:rsid w:val="00612589"/>
    <w:rsid w:val="006127F4"/>
    <w:rsid w:val="00613369"/>
    <w:rsid w:val="00613892"/>
    <w:rsid w:val="0061433B"/>
    <w:rsid w:val="006146D3"/>
    <w:rsid w:val="006156B1"/>
    <w:rsid w:val="00615FF6"/>
    <w:rsid w:val="0061623D"/>
    <w:rsid w:val="00616566"/>
    <w:rsid w:val="00617152"/>
    <w:rsid w:val="00620038"/>
    <w:rsid w:val="00621A2F"/>
    <w:rsid w:val="0062460F"/>
    <w:rsid w:val="006253D6"/>
    <w:rsid w:val="00626FB8"/>
    <w:rsid w:val="006272F6"/>
    <w:rsid w:val="006275E4"/>
    <w:rsid w:val="00630B14"/>
    <w:rsid w:val="00631023"/>
    <w:rsid w:val="006325F3"/>
    <w:rsid w:val="006326F8"/>
    <w:rsid w:val="00632AF9"/>
    <w:rsid w:val="00632F91"/>
    <w:rsid w:val="00633630"/>
    <w:rsid w:val="0063386B"/>
    <w:rsid w:val="00633BBC"/>
    <w:rsid w:val="00633D5C"/>
    <w:rsid w:val="0063438F"/>
    <w:rsid w:val="0063462E"/>
    <w:rsid w:val="0063467F"/>
    <w:rsid w:val="00635DB3"/>
    <w:rsid w:val="006364FF"/>
    <w:rsid w:val="006367E2"/>
    <w:rsid w:val="00636C72"/>
    <w:rsid w:val="00636E65"/>
    <w:rsid w:val="00637448"/>
    <w:rsid w:val="00637889"/>
    <w:rsid w:val="00641069"/>
    <w:rsid w:val="006410A6"/>
    <w:rsid w:val="00641B1F"/>
    <w:rsid w:val="00641C76"/>
    <w:rsid w:val="006425BE"/>
    <w:rsid w:val="006425D9"/>
    <w:rsid w:val="00643B1C"/>
    <w:rsid w:val="00643F14"/>
    <w:rsid w:val="00644ADF"/>
    <w:rsid w:val="0064514D"/>
    <w:rsid w:val="0064521E"/>
    <w:rsid w:val="0064597B"/>
    <w:rsid w:val="00646367"/>
    <w:rsid w:val="006466AF"/>
    <w:rsid w:val="00646D05"/>
    <w:rsid w:val="00646E55"/>
    <w:rsid w:val="00647124"/>
    <w:rsid w:val="0065019A"/>
    <w:rsid w:val="006505B2"/>
    <w:rsid w:val="00651164"/>
    <w:rsid w:val="00651404"/>
    <w:rsid w:val="00651751"/>
    <w:rsid w:val="006525FA"/>
    <w:rsid w:val="0065286F"/>
    <w:rsid w:val="006531A0"/>
    <w:rsid w:val="006533BD"/>
    <w:rsid w:val="0065395B"/>
    <w:rsid w:val="0065435F"/>
    <w:rsid w:val="00655307"/>
    <w:rsid w:val="006553E5"/>
    <w:rsid w:val="00655ACA"/>
    <w:rsid w:val="00656925"/>
    <w:rsid w:val="00656CB0"/>
    <w:rsid w:val="00656D89"/>
    <w:rsid w:val="00656DBC"/>
    <w:rsid w:val="0065718A"/>
    <w:rsid w:val="00660375"/>
    <w:rsid w:val="00661A5A"/>
    <w:rsid w:val="00661AE2"/>
    <w:rsid w:val="00661C1B"/>
    <w:rsid w:val="0066207C"/>
    <w:rsid w:val="00662315"/>
    <w:rsid w:val="00662E24"/>
    <w:rsid w:val="00662E8B"/>
    <w:rsid w:val="0066306A"/>
    <w:rsid w:val="00663D90"/>
    <w:rsid w:val="00663FBF"/>
    <w:rsid w:val="0066424E"/>
    <w:rsid w:val="00664D00"/>
    <w:rsid w:val="00664F9B"/>
    <w:rsid w:val="00664FDF"/>
    <w:rsid w:val="00665798"/>
    <w:rsid w:val="0066584E"/>
    <w:rsid w:val="00666FCA"/>
    <w:rsid w:val="006670AD"/>
    <w:rsid w:val="00667C84"/>
    <w:rsid w:val="00667DEC"/>
    <w:rsid w:val="00667DF0"/>
    <w:rsid w:val="00670FE8"/>
    <w:rsid w:val="00671956"/>
    <w:rsid w:val="006720BF"/>
    <w:rsid w:val="00673318"/>
    <w:rsid w:val="00673D5D"/>
    <w:rsid w:val="0067503A"/>
    <w:rsid w:val="00675C66"/>
    <w:rsid w:val="006767DB"/>
    <w:rsid w:val="00676987"/>
    <w:rsid w:val="00676CF9"/>
    <w:rsid w:val="00677D0D"/>
    <w:rsid w:val="006807B4"/>
    <w:rsid w:val="00680AC6"/>
    <w:rsid w:val="006810B2"/>
    <w:rsid w:val="0068171B"/>
    <w:rsid w:val="00681ABF"/>
    <w:rsid w:val="00681D1C"/>
    <w:rsid w:val="00681D31"/>
    <w:rsid w:val="006821C3"/>
    <w:rsid w:val="0068287C"/>
    <w:rsid w:val="00682891"/>
    <w:rsid w:val="00682E73"/>
    <w:rsid w:val="0068328C"/>
    <w:rsid w:val="006833AB"/>
    <w:rsid w:val="00686515"/>
    <w:rsid w:val="006869DC"/>
    <w:rsid w:val="00686B66"/>
    <w:rsid w:val="0068751B"/>
    <w:rsid w:val="00687B1C"/>
    <w:rsid w:val="00687BA3"/>
    <w:rsid w:val="00690152"/>
    <w:rsid w:val="00690D28"/>
    <w:rsid w:val="0069127F"/>
    <w:rsid w:val="00691319"/>
    <w:rsid w:val="006915AE"/>
    <w:rsid w:val="00691D78"/>
    <w:rsid w:val="006928DF"/>
    <w:rsid w:val="006931FE"/>
    <w:rsid w:val="006934D3"/>
    <w:rsid w:val="00693ED1"/>
    <w:rsid w:val="00694A9D"/>
    <w:rsid w:val="00694F3F"/>
    <w:rsid w:val="006965D0"/>
    <w:rsid w:val="006968AF"/>
    <w:rsid w:val="006A055A"/>
    <w:rsid w:val="006A0E08"/>
    <w:rsid w:val="006A1F71"/>
    <w:rsid w:val="006A2084"/>
    <w:rsid w:val="006A22EC"/>
    <w:rsid w:val="006A38BD"/>
    <w:rsid w:val="006A7343"/>
    <w:rsid w:val="006A78B8"/>
    <w:rsid w:val="006B06E7"/>
    <w:rsid w:val="006B19B4"/>
    <w:rsid w:val="006B2304"/>
    <w:rsid w:val="006B2495"/>
    <w:rsid w:val="006B2E9C"/>
    <w:rsid w:val="006B380D"/>
    <w:rsid w:val="006B460C"/>
    <w:rsid w:val="006B4668"/>
    <w:rsid w:val="006B471A"/>
    <w:rsid w:val="006B4772"/>
    <w:rsid w:val="006B4BA8"/>
    <w:rsid w:val="006B5836"/>
    <w:rsid w:val="006B5AA6"/>
    <w:rsid w:val="006B5B74"/>
    <w:rsid w:val="006B618A"/>
    <w:rsid w:val="006B6A83"/>
    <w:rsid w:val="006B6E18"/>
    <w:rsid w:val="006B7844"/>
    <w:rsid w:val="006B7D63"/>
    <w:rsid w:val="006C0196"/>
    <w:rsid w:val="006C10E7"/>
    <w:rsid w:val="006C1655"/>
    <w:rsid w:val="006C3106"/>
    <w:rsid w:val="006C3675"/>
    <w:rsid w:val="006C38BC"/>
    <w:rsid w:val="006C4001"/>
    <w:rsid w:val="006C49B1"/>
    <w:rsid w:val="006C5FFF"/>
    <w:rsid w:val="006C66C5"/>
    <w:rsid w:val="006C7671"/>
    <w:rsid w:val="006C7912"/>
    <w:rsid w:val="006C7BE5"/>
    <w:rsid w:val="006D0588"/>
    <w:rsid w:val="006D07BD"/>
    <w:rsid w:val="006D0D0D"/>
    <w:rsid w:val="006D1555"/>
    <w:rsid w:val="006D1810"/>
    <w:rsid w:val="006D1A08"/>
    <w:rsid w:val="006D20F0"/>
    <w:rsid w:val="006D22C0"/>
    <w:rsid w:val="006D5223"/>
    <w:rsid w:val="006D65C9"/>
    <w:rsid w:val="006D6FFD"/>
    <w:rsid w:val="006D7841"/>
    <w:rsid w:val="006D7C30"/>
    <w:rsid w:val="006D7EAB"/>
    <w:rsid w:val="006E039F"/>
    <w:rsid w:val="006E0942"/>
    <w:rsid w:val="006E0BE4"/>
    <w:rsid w:val="006E0F4A"/>
    <w:rsid w:val="006E15C4"/>
    <w:rsid w:val="006E1D05"/>
    <w:rsid w:val="006E1F58"/>
    <w:rsid w:val="006E2136"/>
    <w:rsid w:val="006E25A0"/>
    <w:rsid w:val="006E2854"/>
    <w:rsid w:val="006E2E2E"/>
    <w:rsid w:val="006E35EA"/>
    <w:rsid w:val="006E3D54"/>
    <w:rsid w:val="006E417E"/>
    <w:rsid w:val="006E5B3B"/>
    <w:rsid w:val="006E5FEA"/>
    <w:rsid w:val="006E65CA"/>
    <w:rsid w:val="006E6875"/>
    <w:rsid w:val="006E7902"/>
    <w:rsid w:val="006E7DC0"/>
    <w:rsid w:val="006F0C76"/>
    <w:rsid w:val="006F136C"/>
    <w:rsid w:val="006F2316"/>
    <w:rsid w:val="006F2771"/>
    <w:rsid w:val="006F32C4"/>
    <w:rsid w:val="006F4286"/>
    <w:rsid w:val="006F56F7"/>
    <w:rsid w:val="006F6575"/>
    <w:rsid w:val="006F6F93"/>
    <w:rsid w:val="006F74C5"/>
    <w:rsid w:val="006F7E40"/>
    <w:rsid w:val="0070020E"/>
    <w:rsid w:val="007009AC"/>
    <w:rsid w:val="00700E91"/>
    <w:rsid w:val="00701406"/>
    <w:rsid w:val="0070200C"/>
    <w:rsid w:val="00702091"/>
    <w:rsid w:val="00702357"/>
    <w:rsid w:val="00702678"/>
    <w:rsid w:val="00702F51"/>
    <w:rsid w:val="007039A3"/>
    <w:rsid w:val="00703E32"/>
    <w:rsid w:val="007043C7"/>
    <w:rsid w:val="007047B3"/>
    <w:rsid w:val="0070492E"/>
    <w:rsid w:val="00704A58"/>
    <w:rsid w:val="00705DFD"/>
    <w:rsid w:val="007062F1"/>
    <w:rsid w:val="00706337"/>
    <w:rsid w:val="0070650E"/>
    <w:rsid w:val="00706553"/>
    <w:rsid w:val="00706A12"/>
    <w:rsid w:val="00706E6F"/>
    <w:rsid w:val="007071E7"/>
    <w:rsid w:val="0070742B"/>
    <w:rsid w:val="00710A12"/>
    <w:rsid w:val="00710DDE"/>
    <w:rsid w:val="00711695"/>
    <w:rsid w:val="00711A1F"/>
    <w:rsid w:val="00711EC6"/>
    <w:rsid w:val="0071234C"/>
    <w:rsid w:val="00713F75"/>
    <w:rsid w:val="0071454E"/>
    <w:rsid w:val="007145AE"/>
    <w:rsid w:val="00714A10"/>
    <w:rsid w:val="007167AF"/>
    <w:rsid w:val="00717890"/>
    <w:rsid w:val="00717973"/>
    <w:rsid w:val="007201FE"/>
    <w:rsid w:val="00720B79"/>
    <w:rsid w:val="00720E3D"/>
    <w:rsid w:val="00721B22"/>
    <w:rsid w:val="00722FAA"/>
    <w:rsid w:val="007232FF"/>
    <w:rsid w:val="00723316"/>
    <w:rsid w:val="00723D34"/>
    <w:rsid w:val="00723D43"/>
    <w:rsid w:val="00724BC4"/>
    <w:rsid w:val="00724DFE"/>
    <w:rsid w:val="007266DC"/>
    <w:rsid w:val="0072741D"/>
    <w:rsid w:val="00727981"/>
    <w:rsid w:val="00730168"/>
    <w:rsid w:val="0073063E"/>
    <w:rsid w:val="00731A0B"/>
    <w:rsid w:val="00731C31"/>
    <w:rsid w:val="00732085"/>
    <w:rsid w:val="007321CC"/>
    <w:rsid w:val="00732E9C"/>
    <w:rsid w:val="007340F4"/>
    <w:rsid w:val="00735CD8"/>
    <w:rsid w:val="00735DDE"/>
    <w:rsid w:val="007364E8"/>
    <w:rsid w:val="00736551"/>
    <w:rsid w:val="00736AAF"/>
    <w:rsid w:val="00737179"/>
    <w:rsid w:val="007375ED"/>
    <w:rsid w:val="007376F2"/>
    <w:rsid w:val="00737DA9"/>
    <w:rsid w:val="00740264"/>
    <w:rsid w:val="007405D7"/>
    <w:rsid w:val="007410E8"/>
    <w:rsid w:val="007410FD"/>
    <w:rsid w:val="0074146F"/>
    <w:rsid w:val="007416F1"/>
    <w:rsid w:val="007418FD"/>
    <w:rsid w:val="00741B1B"/>
    <w:rsid w:val="00741D88"/>
    <w:rsid w:val="0074279E"/>
    <w:rsid w:val="00744E31"/>
    <w:rsid w:val="0074629C"/>
    <w:rsid w:val="007471DF"/>
    <w:rsid w:val="00750B66"/>
    <w:rsid w:val="00751531"/>
    <w:rsid w:val="007516CB"/>
    <w:rsid w:val="0075170E"/>
    <w:rsid w:val="007519D0"/>
    <w:rsid w:val="0075219E"/>
    <w:rsid w:val="00752AF3"/>
    <w:rsid w:val="007535BD"/>
    <w:rsid w:val="00754738"/>
    <w:rsid w:val="007547EF"/>
    <w:rsid w:val="00754DB1"/>
    <w:rsid w:val="00755E5F"/>
    <w:rsid w:val="00756002"/>
    <w:rsid w:val="00756839"/>
    <w:rsid w:val="00756BA1"/>
    <w:rsid w:val="00756C84"/>
    <w:rsid w:val="00756D32"/>
    <w:rsid w:val="0075707F"/>
    <w:rsid w:val="0075738C"/>
    <w:rsid w:val="00757F2D"/>
    <w:rsid w:val="00757FA6"/>
    <w:rsid w:val="00760AF4"/>
    <w:rsid w:val="0076189D"/>
    <w:rsid w:val="00761F4E"/>
    <w:rsid w:val="007629F9"/>
    <w:rsid w:val="00763E69"/>
    <w:rsid w:val="007646FD"/>
    <w:rsid w:val="00764773"/>
    <w:rsid w:val="00765061"/>
    <w:rsid w:val="00765C1E"/>
    <w:rsid w:val="00765FE9"/>
    <w:rsid w:val="007660A7"/>
    <w:rsid w:val="00766139"/>
    <w:rsid w:val="0076637B"/>
    <w:rsid w:val="0076650F"/>
    <w:rsid w:val="00766593"/>
    <w:rsid w:val="00767833"/>
    <w:rsid w:val="00770078"/>
    <w:rsid w:val="0077196D"/>
    <w:rsid w:val="00771BC8"/>
    <w:rsid w:val="00772C05"/>
    <w:rsid w:val="007732D0"/>
    <w:rsid w:val="0077390D"/>
    <w:rsid w:val="007740D2"/>
    <w:rsid w:val="007744D8"/>
    <w:rsid w:val="007744DC"/>
    <w:rsid w:val="00774A6E"/>
    <w:rsid w:val="00774AB2"/>
    <w:rsid w:val="0077518A"/>
    <w:rsid w:val="0077563D"/>
    <w:rsid w:val="00775854"/>
    <w:rsid w:val="00776342"/>
    <w:rsid w:val="00777155"/>
    <w:rsid w:val="00777F70"/>
    <w:rsid w:val="00780AC3"/>
    <w:rsid w:val="00781873"/>
    <w:rsid w:val="007824F1"/>
    <w:rsid w:val="007827A7"/>
    <w:rsid w:val="00782EE5"/>
    <w:rsid w:val="00783960"/>
    <w:rsid w:val="00783B77"/>
    <w:rsid w:val="00783DB6"/>
    <w:rsid w:val="00784EAA"/>
    <w:rsid w:val="00786982"/>
    <w:rsid w:val="00786ABD"/>
    <w:rsid w:val="0078718D"/>
    <w:rsid w:val="007877B5"/>
    <w:rsid w:val="00787858"/>
    <w:rsid w:val="00787F6E"/>
    <w:rsid w:val="007901A2"/>
    <w:rsid w:val="00790711"/>
    <w:rsid w:val="00790D33"/>
    <w:rsid w:val="0079175F"/>
    <w:rsid w:val="00792674"/>
    <w:rsid w:val="007938AF"/>
    <w:rsid w:val="00793A03"/>
    <w:rsid w:val="00794CE6"/>
    <w:rsid w:val="00795EB5"/>
    <w:rsid w:val="0079624E"/>
    <w:rsid w:val="00796889"/>
    <w:rsid w:val="007969D6"/>
    <w:rsid w:val="007970D6"/>
    <w:rsid w:val="0079761C"/>
    <w:rsid w:val="007976CB"/>
    <w:rsid w:val="00797D58"/>
    <w:rsid w:val="007A1E80"/>
    <w:rsid w:val="007A1F44"/>
    <w:rsid w:val="007A2146"/>
    <w:rsid w:val="007A2B25"/>
    <w:rsid w:val="007A2B94"/>
    <w:rsid w:val="007A36E9"/>
    <w:rsid w:val="007A516A"/>
    <w:rsid w:val="007A59CE"/>
    <w:rsid w:val="007A5D57"/>
    <w:rsid w:val="007A74F7"/>
    <w:rsid w:val="007A7F70"/>
    <w:rsid w:val="007B0ADA"/>
    <w:rsid w:val="007B1DD2"/>
    <w:rsid w:val="007B1F00"/>
    <w:rsid w:val="007B2BFF"/>
    <w:rsid w:val="007B2FF3"/>
    <w:rsid w:val="007B5316"/>
    <w:rsid w:val="007B7B3A"/>
    <w:rsid w:val="007B7DC7"/>
    <w:rsid w:val="007B7E1D"/>
    <w:rsid w:val="007C0508"/>
    <w:rsid w:val="007C064C"/>
    <w:rsid w:val="007C1690"/>
    <w:rsid w:val="007C19C2"/>
    <w:rsid w:val="007C19E8"/>
    <w:rsid w:val="007C2271"/>
    <w:rsid w:val="007C2859"/>
    <w:rsid w:val="007C30EE"/>
    <w:rsid w:val="007C3FF7"/>
    <w:rsid w:val="007C5D6E"/>
    <w:rsid w:val="007C650C"/>
    <w:rsid w:val="007C6AF1"/>
    <w:rsid w:val="007C72C8"/>
    <w:rsid w:val="007C7857"/>
    <w:rsid w:val="007D0D31"/>
    <w:rsid w:val="007D1158"/>
    <w:rsid w:val="007D14E9"/>
    <w:rsid w:val="007D3D1E"/>
    <w:rsid w:val="007D47CD"/>
    <w:rsid w:val="007D4CB1"/>
    <w:rsid w:val="007D5889"/>
    <w:rsid w:val="007D62D4"/>
    <w:rsid w:val="007D687F"/>
    <w:rsid w:val="007D713B"/>
    <w:rsid w:val="007D7561"/>
    <w:rsid w:val="007E0318"/>
    <w:rsid w:val="007E0AFB"/>
    <w:rsid w:val="007E15E5"/>
    <w:rsid w:val="007E186D"/>
    <w:rsid w:val="007E1E29"/>
    <w:rsid w:val="007E2786"/>
    <w:rsid w:val="007E309B"/>
    <w:rsid w:val="007E40F9"/>
    <w:rsid w:val="007E6375"/>
    <w:rsid w:val="007E7CEB"/>
    <w:rsid w:val="007E7E50"/>
    <w:rsid w:val="007F04BC"/>
    <w:rsid w:val="007F1274"/>
    <w:rsid w:val="007F25F3"/>
    <w:rsid w:val="007F2891"/>
    <w:rsid w:val="007F2A46"/>
    <w:rsid w:val="007F3995"/>
    <w:rsid w:val="007F3EC3"/>
    <w:rsid w:val="007F4461"/>
    <w:rsid w:val="007F45BE"/>
    <w:rsid w:val="007F5869"/>
    <w:rsid w:val="007F5BBF"/>
    <w:rsid w:val="007F5E43"/>
    <w:rsid w:val="007F62D0"/>
    <w:rsid w:val="007F6346"/>
    <w:rsid w:val="007F6CC2"/>
    <w:rsid w:val="007F7216"/>
    <w:rsid w:val="00800FC1"/>
    <w:rsid w:val="008010EE"/>
    <w:rsid w:val="0080179F"/>
    <w:rsid w:val="00801A60"/>
    <w:rsid w:val="00802149"/>
    <w:rsid w:val="008025B8"/>
    <w:rsid w:val="008029B8"/>
    <w:rsid w:val="00802A1B"/>
    <w:rsid w:val="00802CD9"/>
    <w:rsid w:val="00803100"/>
    <w:rsid w:val="00803660"/>
    <w:rsid w:val="00803993"/>
    <w:rsid w:val="00804414"/>
    <w:rsid w:val="0080478C"/>
    <w:rsid w:val="00804C45"/>
    <w:rsid w:val="00805062"/>
    <w:rsid w:val="00805279"/>
    <w:rsid w:val="0080668F"/>
    <w:rsid w:val="00806980"/>
    <w:rsid w:val="00807313"/>
    <w:rsid w:val="008075BE"/>
    <w:rsid w:val="00807A9F"/>
    <w:rsid w:val="008105BA"/>
    <w:rsid w:val="0081091F"/>
    <w:rsid w:val="008109C8"/>
    <w:rsid w:val="00810CCB"/>
    <w:rsid w:val="00811B5A"/>
    <w:rsid w:val="00811BFC"/>
    <w:rsid w:val="0081244F"/>
    <w:rsid w:val="008129C4"/>
    <w:rsid w:val="00813B93"/>
    <w:rsid w:val="00813F55"/>
    <w:rsid w:val="00813FFA"/>
    <w:rsid w:val="008140B4"/>
    <w:rsid w:val="008141A9"/>
    <w:rsid w:val="00814970"/>
    <w:rsid w:val="008149E4"/>
    <w:rsid w:val="00814A6B"/>
    <w:rsid w:val="008153B8"/>
    <w:rsid w:val="008153C9"/>
    <w:rsid w:val="008159AB"/>
    <w:rsid w:val="008164C3"/>
    <w:rsid w:val="0081653D"/>
    <w:rsid w:val="008167C0"/>
    <w:rsid w:val="008205E5"/>
    <w:rsid w:val="00820E28"/>
    <w:rsid w:val="00822D0E"/>
    <w:rsid w:val="00822DDF"/>
    <w:rsid w:val="0082336E"/>
    <w:rsid w:val="00823A34"/>
    <w:rsid w:val="00823DFD"/>
    <w:rsid w:val="0082448F"/>
    <w:rsid w:val="00824609"/>
    <w:rsid w:val="0082466E"/>
    <w:rsid w:val="008246DB"/>
    <w:rsid w:val="00824C1E"/>
    <w:rsid w:val="00824D66"/>
    <w:rsid w:val="00825607"/>
    <w:rsid w:val="008260F5"/>
    <w:rsid w:val="008262E8"/>
    <w:rsid w:val="00826D0B"/>
    <w:rsid w:val="0082771E"/>
    <w:rsid w:val="008277CE"/>
    <w:rsid w:val="00827B26"/>
    <w:rsid w:val="00827B8D"/>
    <w:rsid w:val="00827C8C"/>
    <w:rsid w:val="00827EF9"/>
    <w:rsid w:val="00830451"/>
    <w:rsid w:val="008304BF"/>
    <w:rsid w:val="008305A9"/>
    <w:rsid w:val="00830790"/>
    <w:rsid w:val="00830E19"/>
    <w:rsid w:val="0083139A"/>
    <w:rsid w:val="00831C8C"/>
    <w:rsid w:val="00832467"/>
    <w:rsid w:val="00832930"/>
    <w:rsid w:val="00833625"/>
    <w:rsid w:val="00833D2C"/>
    <w:rsid w:val="00833FD9"/>
    <w:rsid w:val="0083459F"/>
    <w:rsid w:val="00836083"/>
    <w:rsid w:val="00836E8C"/>
    <w:rsid w:val="00840232"/>
    <w:rsid w:val="00840B6F"/>
    <w:rsid w:val="00841501"/>
    <w:rsid w:val="0084154A"/>
    <w:rsid w:val="00841731"/>
    <w:rsid w:val="008418DD"/>
    <w:rsid w:val="0084228B"/>
    <w:rsid w:val="00843EFE"/>
    <w:rsid w:val="0084406F"/>
    <w:rsid w:val="008440C1"/>
    <w:rsid w:val="00844368"/>
    <w:rsid w:val="0084448C"/>
    <w:rsid w:val="00844F07"/>
    <w:rsid w:val="008450C8"/>
    <w:rsid w:val="0084572C"/>
    <w:rsid w:val="008467C9"/>
    <w:rsid w:val="008467E8"/>
    <w:rsid w:val="008479CC"/>
    <w:rsid w:val="00850830"/>
    <w:rsid w:val="00850A36"/>
    <w:rsid w:val="00850EF3"/>
    <w:rsid w:val="00851347"/>
    <w:rsid w:val="008514B0"/>
    <w:rsid w:val="00851B7F"/>
    <w:rsid w:val="00851B9B"/>
    <w:rsid w:val="00851DC2"/>
    <w:rsid w:val="00853686"/>
    <w:rsid w:val="00854A89"/>
    <w:rsid w:val="00856080"/>
    <w:rsid w:val="00856909"/>
    <w:rsid w:val="008576DA"/>
    <w:rsid w:val="008578CE"/>
    <w:rsid w:val="008578E8"/>
    <w:rsid w:val="00857A6B"/>
    <w:rsid w:val="00857D5E"/>
    <w:rsid w:val="008610B9"/>
    <w:rsid w:val="00861A97"/>
    <w:rsid w:val="00861C39"/>
    <w:rsid w:val="00862145"/>
    <w:rsid w:val="008634D0"/>
    <w:rsid w:val="00863945"/>
    <w:rsid w:val="00865245"/>
    <w:rsid w:val="00865512"/>
    <w:rsid w:val="00865821"/>
    <w:rsid w:val="00865F19"/>
    <w:rsid w:val="0086619D"/>
    <w:rsid w:val="008664A6"/>
    <w:rsid w:val="00866542"/>
    <w:rsid w:val="00867586"/>
    <w:rsid w:val="00867B59"/>
    <w:rsid w:val="00870259"/>
    <w:rsid w:val="0087191C"/>
    <w:rsid w:val="0087224E"/>
    <w:rsid w:val="0087339F"/>
    <w:rsid w:val="0087373E"/>
    <w:rsid w:val="00873FDD"/>
    <w:rsid w:val="008740A4"/>
    <w:rsid w:val="00874D6C"/>
    <w:rsid w:val="00874E17"/>
    <w:rsid w:val="00874EBD"/>
    <w:rsid w:val="0087616F"/>
    <w:rsid w:val="008762F7"/>
    <w:rsid w:val="00876C33"/>
    <w:rsid w:val="008779D0"/>
    <w:rsid w:val="00881456"/>
    <w:rsid w:val="00881628"/>
    <w:rsid w:val="0088185D"/>
    <w:rsid w:val="00882958"/>
    <w:rsid w:val="00882DC3"/>
    <w:rsid w:val="00882F89"/>
    <w:rsid w:val="008831A3"/>
    <w:rsid w:val="00883367"/>
    <w:rsid w:val="008833A1"/>
    <w:rsid w:val="008839B5"/>
    <w:rsid w:val="0088433C"/>
    <w:rsid w:val="00884A2D"/>
    <w:rsid w:val="00884F40"/>
    <w:rsid w:val="00885011"/>
    <w:rsid w:val="00885209"/>
    <w:rsid w:val="0088652B"/>
    <w:rsid w:val="00886E49"/>
    <w:rsid w:val="008879AD"/>
    <w:rsid w:val="00887AAF"/>
    <w:rsid w:val="00887D0D"/>
    <w:rsid w:val="0089046C"/>
    <w:rsid w:val="00890D60"/>
    <w:rsid w:val="0089117B"/>
    <w:rsid w:val="00891434"/>
    <w:rsid w:val="00891A44"/>
    <w:rsid w:val="008920F9"/>
    <w:rsid w:val="008924BB"/>
    <w:rsid w:val="008931A1"/>
    <w:rsid w:val="008932E6"/>
    <w:rsid w:val="00893E56"/>
    <w:rsid w:val="0089414A"/>
    <w:rsid w:val="00894895"/>
    <w:rsid w:val="0089575B"/>
    <w:rsid w:val="00895988"/>
    <w:rsid w:val="00895C85"/>
    <w:rsid w:val="00895D04"/>
    <w:rsid w:val="00895F59"/>
    <w:rsid w:val="0089778F"/>
    <w:rsid w:val="008A0580"/>
    <w:rsid w:val="008A084B"/>
    <w:rsid w:val="008A1082"/>
    <w:rsid w:val="008A1100"/>
    <w:rsid w:val="008A135D"/>
    <w:rsid w:val="008A1A48"/>
    <w:rsid w:val="008A2252"/>
    <w:rsid w:val="008A2411"/>
    <w:rsid w:val="008A2F57"/>
    <w:rsid w:val="008A3F1D"/>
    <w:rsid w:val="008A4A8F"/>
    <w:rsid w:val="008A5161"/>
    <w:rsid w:val="008A54C7"/>
    <w:rsid w:val="008A605E"/>
    <w:rsid w:val="008A60FA"/>
    <w:rsid w:val="008A6551"/>
    <w:rsid w:val="008A6AEA"/>
    <w:rsid w:val="008A6B79"/>
    <w:rsid w:val="008A7F7E"/>
    <w:rsid w:val="008B0700"/>
    <w:rsid w:val="008B0FDB"/>
    <w:rsid w:val="008B1A4A"/>
    <w:rsid w:val="008B2146"/>
    <w:rsid w:val="008B2305"/>
    <w:rsid w:val="008B2BE5"/>
    <w:rsid w:val="008B33B9"/>
    <w:rsid w:val="008B3BF5"/>
    <w:rsid w:val="008B4877"/>
    <w:rsid w:val="008B4CC6"/>
    <w:rsid w:val="008B4DA8"/>
    <w:rsid w:val="008B5F37"/>
    <w:rsid w:val="008B6739"/>
    <w:rsid w:val="008B73A7"/>
    <w:rsid w:val="008B741B"/>
    <w:rsid w:val="008C0836"/>
    <w:rsid w:val="008C0962"/>
    <w:rsid w:val="008C0F2F"/>
    <w:rsid w:val="008C21CF"/>
    <w:rsid w:val="008C31B2"/>
    <w:rsid w:val="008C33FC"/>
    <w:rsid w:val="008C36D5"/>
    <w:rsid w:val="008C47CD"/>
    <w:rsid w:val="008C4B6D"/>
    <w:rsid w:val="008C4E79"/>
    <w:rsid w:val="008C5028"/>
    <w:rsid w:val="008D023F"/>
    <w:rsid w:val="008D0720"/>
    <w:rsid w:val="008D08DA"/>
    <w:rsid w:val="008D08EB"/>
    <w:rsid w:val="008D0B88"/>
    <w:rsid w:val="008D0BBB"/>
    <w:rsid w:val="008D20FA"/>
    <w:rsid w:val="008D3585"/>
    <w:rsid w:val="008D490F"/>
    <w:rsid w:val="008D4ABC"/>
    <w:rsid w:val="008D544A"/>
    <w:rsid w:val="008D5732"/>
    <w:rsid w:val="008D5CAE"/>
    <w:rsid w:val="008D6A22"/>
    <w:rsid w:val="008D7A4A"/>
    <w:rsid w:val="008D7ACE"/>
    <w:rsid w:val="008D7FF5"/>
    <w:rsid w:val="008E0287"/>
    <w:rsid w:val="008E0742"/>
    <w:rsid w:val="008E078A"/>
    <w:rsid w:val="008E080C"/>
    <w:rsid w:val="008E123D"/>
    <w:rsid w:val="008E1846"/>
    <w:rsid w:val="008E1B1A"/>
    <w:rsid w:val="008E2C99"/>
    <w:rsid w:val="008E369D"/>
    <w:rsid w:val="008E3807"/>
    <w:rsid w:val="008E4FF0"/>
    <w:rsid w:val="008E5384"/>
    <w:rsid w:val="008E59D3"/>
    <w:rsid w:val="008E7A44"/>
    <w:rsid w:val="008F079A"/>
    <w:rsid w:val="008F150C"/>
    <w:rsid w:val="008F1EC9"/>
    <w:rsid w:val="008F3240"/>
    <w:rsid w:val="008F33DB"/>
    <w:rsid w:val="008F3576"/>
    <w:rsid w:val="008F3E19"/>
    <w:rsid w:val="008F4B94"/>
    <w:rsid w:val="008F4CE4"/>
    <w:rsid w:val="008F5199"/>
    <w:rsid w:val="008F54A0"/>
    <w:rsid w:val="008F5951"/>
    <w:rsid w:val="008F63ED"/>
    <w:rsid w:val="008F6B82"/>
    <w:rsid w:val="008F7111"/>
    <w:rsid w:val="008F75D2"/>
    <w:rsid w:val="008F7F51"/>
    <w:rsid w:val="009026A1"/>
    <w:rsid w:val="009029CE"/>
    <w:rsid w:val="00903F2F"/>
    <w:rsid w:val="0090487A"/>
    <w:rsid w:val="00904DE4"/>
    <w:rsid w:val="00905AC7"/>
    <w:rsid w:val="0090607D"/>
    <w:rsid w:val="0090611F"/>
    <w:rsid w:val="00906417"/>
    <w:rsid w:val="00906555"/>
    <w:rsid w:val="00906629"/>
    <w:rsid w:val="00906BA3"/>
    <w:rsid w:val="00906E0A"/>
    <w:rsid w:val="0090722F"/>
    <w:rsid w:val="00907A66"/>
    <w:rsid w:val="00907BB7"/>
    <w:rsid w:val="00907DE9"/>
    <w:rsid w:val="00907F5C"/>
    <w:rsid w:val="00910134"/>
    <w:rsid w:val="009102CC"/>
    <w:rsid w:val="00910C10"/>
    <w:rsid w:val="00910D99"/>
    <w:rsid w:val="009111BE"/>
    <w:rsid w:val="009114A7"/>
    <w:rsid w:val="0091177A"/>
    <w:rsid w:val="00911D52"/>
    <w:rsid w:val="009127C5"/>
    <w:rsid w:val="00912EA3"/>
    <w:rsid w:val="00913111"/>
    <w:rsid w:val="00913540"/>
    <w:rsid w:val="00913A8E"/>
    <w:rsid w:val="00913F53"/>
    <w:rsid w:val="00914197"/>
    <w:rsid w:val="00914387"/>
    <w:rsid w:val="009156A0"/>
    <w:rsid w:val="00915B7B"/>
    <w:rsid w:val="00915EE4"/>
    <w:rsid w:val="009203E3"/>
    <w:rsid w:val="0092301F"/>
    <w:rsid w:val="00923A6E"/>
    <w:rsid w:val="00923C51"/>
    <w:rsid w:val="0092472E"/>
    <w:rsid w:val="00925822"/>
    <w:rsid w:val="00926793"/>
    <w:rsid w:val="00927F6A"/>
    <w:rsid w:val="00930029"/>
    <w:rsid w:val="00930799"/>
    <w:rsid w:val="00930929"/>
    <w:rsid w:val="00930B9F"/>
    <w:rsid w:val="00930D72"/>
    <w:rsid w:val="009310F7"/>
    <w:rsid w:val="00931153"/>
    <w:rsid w:val="009312ED"/>
    <w:rsid w:val="00931AFF"/>
    <w:rsid w:val="009330ED"/>
    <w:rsid w:val="00933E79"/>
    <w:rsid w:val="00934262"/>
    <w:rsid w:val="00935020"/>
    <w:rsid w:val="0093503E"/>
    <w:rsid w:val="0093555B"/>
    <w:rsid w:val="00935B0E"/>
    <w:rsid w:val="00936FD9"/>
    <w:rsid w:val="009378CB"/>
    <w:rsid w:val="009378FB"/>
    <w:rsid w:val="00937FD5"/>
    <w:rsid w:val="00940386"/>
    <w:rsid w:val="00940877"/>
    <w:rsid w:val="009415E2"/>
    <w:rsid w:val="0094167C"/>
    <w:rsid w:val="00941A18"/>
    <w:rsid w:val="0094238B"/>
    <w:rsid w:val="009424F5"/>
    <w:rsid w:val="00942CD3"/>
    <w:rsid w:val="0094470C"/>
    <w:rsid w:val="009447F3"/>
    <w:rsid w:val="0094486C"/>
    <w:rsid w:val="00944E76"/>
    <w:rsid w:val="00944E89"/>
    <w:rsid w:val="00945196"/>
    <w:rsid w:val="00946600"/>
    <w:rsid w:val="00946D30"/>
    <w:rsid w:val="009477A3"/>
    <w:rsid w:val="00950025"/>
    <w:rsid w:val="00950D4F"/>
    <w:rsid w:val="00951CB1"/>
    <w:rsid w:val="00951DCC"/>
    <w:rsid w:val="00952277"/>
    <w:rsid w:val="0095283D"/>
    <w:rsid w:val="00952FDB"/>
    <w:rsid w:val="00953F18"/>
    <w:rsid w:val="00953F45"/>
    <w:rsid w:val="009546F9"/>
    <w:rsid w:val="00955777"/>
    <w:rsid w:val="00955C9C"/>
    <w:rsid w:val="00956070"/>
    <w:rsid w:val="00956A5B"/>
    <w:rsid w:val="00957A4D"/>
    <w:rsid w:val="00957A89"/>
    <w:rsid w:val="009602DE"/>
    <w:rsid w:val="00960566"/>
    <w:rsid w:val="009606BD"/>
    <w:rsid w:val="0096072C"/>
    <w:rsid w:val="0096146C"/>
    <w:rsid w:val="00961BAD"/>
    <w:rsid w:val="00961D64"/>
    <w:rsid w:val="00961DC7"/>
    <w:rsid w:val="009621A0"/>
    <w:rsid w:val="009621E3"/>
    <w:rsid w:val="009625ED"/>
    <w:rsid w:val="009627EC"/>
    <w:rsid w:val="0096410B"/>
    <w:rsid w:val="009643F8"/>
    <w:rsid w:val="009644BE"/>
    <w:rsid w:val="00964D55"/>
    <w:rsid w:val="00965066"/>
    <w:rsid w:val="0096540E"/>
    <w:rsid w:val="00965C09"/>
    <w:rsid w:val="00966EAD"/>
    <w:rsid w:val="00967730"/>
    <w:rsid w:val="00970277"/>
    <w:rsid w:val="00970A36"/>
    <w:rsid w:val="0097116F"/>
    <w:rsid w:val="0097126C"/>
    <w:rsid w:val="00971AA9"/>
    <w:rsid w:val="00971DBD"/>
    <w:rsid w:val="0097269C"/>
    <w:rsid w:val="00972711"/>
    <w:rsid w:val="00973C55"/>
    <w:rsid w:val="00973C83"/>
    <w:rsid w:val="00973D68"/>
    <w:rsid w:val="009740DA"/>
    <w:rsid w:val="009747DC"/>
    <w:rsid w:val="00974816"/>
    <w:rsid w:val="009748D3"/>
    <w:rsid w:val="00974AA2"/>
    <w:rsid w:val="00974FD7"/>
    <w:rsid w:val="009750AF"/>
    <w:rsid w:val="00975618"/>
    <w:rsid w:val="00975B59"/>
    <w:rsid w:val="00975D66"/>
    <w:rsid w:val="00975FCB"/>
    <w:rsid w:val="0097669A"/>
    <w:rsid w:val="00980733"/>
    <w:rsid w:val="009808B2"/>
    <w:rsid w:val="00980C2D"/>
    <w:rsid w:val="009811D3"/>
    <w:rsid w:val="0098143C"/>
    <w:rsid w:val="009815BB"/>
    <w:rsid w:val="009835CB"/>
    <w:rsid w:val="00983C2F"/>
    <w:rsid w:val="00984753"/>
    <w:rsid w:val="00984CD4"/>
    <w:rsid w:val="00984E51"/>
    <w:rsid w:val="00985307"/>
    <w:rsid w:val="00985446"/>
    <w:rsid w:val="00985BF5"/>
    <w:rsid w:val="0098682A"/>
    <w:rsid w:val="009874C6"/>
    <w:rsid w:val="009912D8"/>
    <w:rsid w:val="00992B2A"/>
    <w:rsid w:val="009947F4"/>
    <w:rsid w:val="00994D0E"/>
    <w:rsid w:val="00995F42"/>
    <w:rsid w:val="00996546"/>
    <w:rsid w:val="009976FD"/>
    <w:rsid w:val="00997941"/>
    <w:rsid w:val="00997AEE"/>
    <w:rsid w:val="009A0608"/>
    <w:rsid w:val="009A1DC8"/>
    <w:rsid w:val="009A28E5"/>
    <w:rsid w:val="009A312A"/>
    <w:rsid w:val="009A3C69"/>
    <w:rsid w:val="009A3DD3"/>
    <w:rsid w:val="009A63DB"/>
    <w:rsid w:val="009A6DE4"/>
    <w:rsid w:val="009B0708"/>
    <w:rsid w:val="009B1630"/>
    <w:rsid w:val="009B192C"/>
    <w:rsid w:val="009B1A12"/>
    <w:rsid w:val="009B1ADB"/>
    <w:rsid w:val="009B1BDA"/>
    <w:rsid w:val="009B3886"/>
    <w:rsid w:val="009B4594"/>
    <w:rsid w:val="009B4D07"/>
    <w:rsid w:val="009B4F60"/>
    <w:rsid w:val="009B5897"/>
    <w:rsid w:val="009B5B41"/>
    <w:rsid w:val="009B64F0"/>
    <w:rsid w:val="009B6763"/>
    <w:rsid w:val="009B7209"/>
    <w:rsid w:val="009C027B"/>
    <w:rsid w:val="009C089B"/>
    <w:rsid w:val="009C0E35"/>
    <w:rsid w:val="009C14DE"/>
    <w:rsid w:val="009C15DD"/>
    <w:rsid w:val="009C1849"/>
    <w:rsid w:val="009C1A68"/>
    <w:rsid w:val="009C264B"/>
    <w:rsid w:val="009C3146"/>
    <w:rsid w:val="009C34C7"/>
    <w:rsid w:val="009C3637"/>
    <w:rsid w:val="009C36AB"/>
    <w:rsid w:val="009C3E86"/>
    <w:rsid w:val="009C45DA"/>
    <w:rsid w:val="009C4A2A"/>
    <w:rsid w:val="009C5050"/>
    <w:rsid w:val="009C590B"/>
    <w:rsid w:val="009C5AC2"/>
    <w:rsid w:val="009C5BD1"/>
    <w:rsid w:val="009C5E17"/>
    <w:rsid w:val="009C63A7"/>
    <w:rsid w:val="009C6C33"/>
    <w:rsid w:val="009D0017"/>
    <w:rsid w:val="009D0FD6"/>
    <w:rsid w:val="009D159E"/>
    <w:rsid w:val="009D1617"/>
    <w:rsid w:val="009D1B05"/>
    <w:rsid w:val="009D2BAD"/>
    <w:rsid w:val="009D2D44"/>
    <w:rsid w:val="009D2FC3"/>
    <w:rsid w:val="009D32FF"/>
    <w:rsid w:val="009D4449"/>
    <w:rsid w:val="009D4DC5"/>
    <w:rsid w:val="009D6305"/>
    <w:rsid w:val="009D76E1"/>
    <w:rsid w:val="009D7A0A"/>
    <w:rsid w:val="009D7DD5"/>
    <w:rsid w:val="009D7EE9"/>
    <w:rsid w:val="009D7F1A"/>
    <w:rsid w:val="009E0007"/>
    <w:rsid w:val="009E01AA"/>
    <w:rsid w:val="009E0AAD"/>
    <w:rsid w:val="009E1131"/>
    <w:rsid w:val="009E1377"/>
    <w:rsid w:val="009E1669"/>
    <w:rsid w:val="009E22C9"/>
    <w:rsid w:val="009E330A"/>
    <w:rsid w:val="009E3637"/>
    <w:rsid w:val="009E45E3"/>
    <w:rsid w:val="009E4F7B"/>
    <w:rsid w:val="009E5331"/>
    <w:rsid w:val="009E6060"/>
    <w:rsid w:val="009E6222"/>
    <w:rsid w:val="009E7BD0"/>
    <w:rsid w:val="009E7CF3"/>
    <w:rsid w:val="009F0C9D"/>
    <w:rsid w:val="009F121D"/>
    <w:rsid w:val="009F14F5"/>
    <w:rsid w:val="009F1A4B"/>
    <w:rsid w:val="009F1F7D"/>
    <w:rsid w:val="009F27CF"/>
    <w:rsid w:val="009F3110"/>
    <w:rsid w:val="009F3F61"/>
    <w:rsid w:val="009F4815"/>
    <w:rsid w:val="009F4E58"/>
    <w:rsid w:val="009F52F1"/>
    <w:rsid w:val="009F5807"/>
    <w:rsid w:val="009F60B0"/>
    <w:rsid w:val="009F640A"/>
    <w:rsid w:val="009F69F1"/>
    <w:rsid w:val="009F7182"/>
    <w:rsid w:val="009F750B"/>
    <w:rsid w:val="00A00237"/>
    <w:rsid w:val="00A00E0A"/>
    <w:rsid w:val="00A02F84"/>
    <w:rsid w:val="00A03A70"/>
    <w:rsid w:val="00A0472B"/>
    <w:rsid w:val="00A05C82"/>
    <w:rsid w:val="00A0652A"/>
    <w:rsid w:val="00A06BA5"/>
    <w:rsid w:val="00A07546"/>
    <w:rsid w:val="00A078B2"/>
    <w:rsid w:val="00A078CD"/>
    <w:rsid w:val="00A07EF7"/>
    <w:rsid w:val="00A103BD"/>
    <w:rsid w:val="00A10DAE"/>
    <w:rsid w:val="00A10FE0"/>
    <w:rsid w:val="00A122B1"/>
    <w:rsid w:val="00A12359"/>
    <w:rsid w:val="00A13A2F"/>
    <w:rsid w:val="00A13C52"/>
    <w:rsid w:val="00A14044"/>
    <w:rsid w:val="00A14709"/>
    <w:rsid w:val="00A14C13"/>
    <w:rsid w:val="00A16327"/>
    <w:rsid w:val="00A1685C"/>
    <w:rsid w:val="00A1688D"/>
    <w:rsid w:val="00A17039"/>
    <w:rsid w:val="00A17138"/>
    <w:rsid w:val="00A200CE"/>
    <w:rsid w:val="00A20314"/>
    <w:rsid w:val="00A205F8"/>
    <w:rsid w:val="00A21376"/>
    <w:rsid w:val="00A218A8"/>
    <w:rsid w:val="00A219B8"/>
    <w:rsid w:val="00A22ABD"/>
    <w:rsid w:val="00A22D2D"/>
    <w:rsid w:val="00A22F62"/>
    <w:rsid w:val="00A2340F"/>
    <w:rsid w:val="00A23751"/>
    <w:rsid w:val="00A2453B"/>
    <w:rsid w:val="00A24D6D"/>
    <w:rsid w:val="00A24EE3"/>
    <w:rsid w:val="00A259A3"/>
    <w:rsid w:val="00A25E4C"/>
    <w:rsid w:val="00A26E7F"/>
    <w:rsid w:val="00A2726F"/>
    <w:rsid w:val="00A31A44"/>
    <w:rsid w:val="00A3327B"/>
    <w:rsid w:val="00A3346F"/>
    <w:rsid w:val="00A33760"/>
    <w:rsid w:val="00A3464D"/>
    <w:rsid w:val="00A34D59"/>
    <w:rsid w:val="00A372CB"/>
    <w:rsid w:val="00A373CC"/>
    <w:rsid w:val="00A375A9"/>
    <w:rsid w:val="00A37D68"/>
    <w:rsid w:val="00A37E9C"/>
    <w:rsid w:val="00A40C93"/>
    <w:rsid w:val="00A41230"/>
    <w:rsid w:val="00A412C2"/>
    <w:rsid w:val="00A415E1"/>
    <w:rsid w:val="00A425D8"/>
    <w:rsid w:val="00A42601"/>
    <w:rsid w:val="00A42819"/>
    <w:rsid w:val="00A42939"/>
    <w:rsid w:val="00A43AAD"/>
    <w:rsid w:val="00A44177"/>
    <w:rsid w:val="00A4488C"/>
    <w:rsid w:val="00A4492A"/>
    <w:rsid w:val="00A44966"/>
    <w:rsid w:val="00A44B9A"/>
    <w:rsid w:val="00A45702"/>
    <w:rsid w:val="00A4646F"/>
    <w:rsid w:val="00A46A3D"/>
    <w:rsid w:val="00A47DDC"/>
    <w:rsid w:val="00A5005F"/>
    <w:rsid w:val="00A50245"/>
    <w:rsid w:val="00A502CF"/>
    <w:rsid w:val="00A505A2"/>
    <w:rsid w:val="00A50943"/>
    <w:rsid w:val="00A51E79"/>
    <w:rsid w:val="00A522BA"/>
    <w:rsid w:val="00A52F48"/>
    <w:rsid w:val="00A539C4"/>
    <w:rsid w:val="00A55015"/>
    <w:rsid w:val="00A55BD8"/>
    <w:rsid w:val="00A55D45"/>
    <w:rsid w:val="00A56B13"/>
    <w:rsid w:val="00A57B94"/>
    <w:rsid w:val="00A57DC5"/>
    <w:rsid w:val="00A603C6"/>
    <w:rsid w:val="00A60FF8"/>
    <w:rsid w:val="00A623F6"/>
    <w:rsid w:val="00A62464"/>
    <w:rsid w:val="00A6282C"/>
    <w:rsid w:val="00A62A7D"/>
    <w:rsid w:val="00A6327A"/>
    <w:rsid w:val="00A63FBD"/>
    <w:rsid w:val="00A6407D"/>
    <w:rsid w:val="00A644BC"/>
    <w:rsid w:val="00A653F7"/>
    <w:rsid w:val="00A66B29"/>
    <w:rsid w:val="00A66D63"/>
    <w:rsid w:val="00A67343"/>
    <w:rsid w:val="00A67A3F"/>
    <w:rsid w:val="00A70089"/>
    <w:rsid w:val="00A70C41"/>
    <w:rsid w:val="00A71BB7"/>
    <w:rsid w:val="00A733E9"/>
    <w:rsid w:val="00A737F9"/>
    <w:rsid w:val="00A73BCA"/>
    <w:rsid w:val="00A74535"/>
    <w:rsid w:val="00A74F4C"/>
    <w:rsid w:val="00A757CB"/>
    <w:rsid w:val="00A75901"/>
    <w:rsid w:val="00A76B8F"/>
    <w:rsid w:val="00A76BD8"/>
    <w:rsid w:val="00A77418"/>
    <w:rsid w:val="00A77789"/>
    <w:rsid w:val="00A77CCB"/>
    <w:rsid w:val="00A77FA8"/>
    <w:rsid w:val="00A80BD5"/>
    <w:rsid w:val="00A8113A"/>
    <w:rsid w:val="00A81C2F"/>
    <w:rsid w:val="00A84699"/>
    <w:rsid w:val="00A850B3"/>
    <w:rsid w:val="00A855E1"/>
    <w:rsid w:val="00A87430"/>
    <w:rsid w:val="00A87B4A"/>
    <w:rsid w:val="00A905E1"/>
    <w:rsid w:val="00A91049"/>
    <w:rsid w:val="00A91268"/>
    <w:rsid w:val="00A91C4D"/>
    <w:rsid w:val="00A91D5B"/>
    <w:rsid w:val="00A91FE5"/>
    <w:rsid w:val="00A9211E"/>
    <w:rsid w:val="00A9213B"/>
    <w:rsid w:val="00A9326D"/>
    <w:rsid w:val="00A936B5"/>
    <w:rsid w:val="00A941AF"/>
    <w:rsid w:val="00A95164"/>
    <w:rsid w:val="00A952F0"/>
    <w:rsid w:val="00A96B76"/>
    <w:rsid w:val="00A971AC"/>
    <w:rsid w:val="00AA002C"/>
    <w:rsid w:val="00AA01C9"/>
    <w:rsid w:val="00AA062F"/>
    <w:rsid w:val="00AA0923"/>
    <w:rsid w:val="00AA1140"/>
    <w:rsid w:val="00AA1879"/>
    <w:rsid w:val="00AA1A16"/>
    <w:rsid w:val="00AA1E00"/>
    <w:rsid w:val="00AA2609"/>
    <w:rsid w:val="00AA2BD4"/>
    <w:rsid w:val="00AA3073"/>
    <w:rsid w:val="00AA4427"/>
    <w:rsid w:val="00AA45C3"/>
    <w:rsid w:val="00AA4E66"/>
    <w:rsid w:val="00AA5782"/>
    <w:rsid w:val="00AA6133"/>
    <w:rsid w:val="00AA64EC"/>
    <w:rsid w:val="00AA7942"/>
    <w:rsid w:val="00AB0421"/>
    <w:rsid w:val="00AB0657"/>
    <w:rsid w:val="00AB193B"/>
    <w:rsid w:val="00AB2019"/>
    <w:rsid w:val="00AB41AE"/>
    <w:rsid w:val="00AB6271"/>
    <w:rsid w:val="00AB6367"/>
    <w:rsid w:val="00AB65FF"/>
    <w:rsid w:val="00AB74CB"/>
    <w:rsid w:val="00AB771B"/>
    <w:rsid w:val="00AB7753"/>
    <w:rsid w:val="00AB7CE7"/>
    <w:rsid w:val="00AC0246"/>
    <w:rsid w:val="00AC06C8"/>
    <w:rsid w:val="00AC1031"/>
    <w:rsid w:val="00AC1EAA"/>
    <w:rsid w:val="00AC2216"/>
    <w:rsid w:val="00AC4096"/>
    <w:rsid w:val="00AC4334"/>
    <w:rsid w:val="00AC4430"/>
    <w:rsid w:val="00AC5858"/>
    <w:rsid w:val="00AC593E"/>
    <w:rsid w:val="00AC5EC3"/>
    <w:rsid w:val="00AC61F3"/>
    <w:rsid w:val="00AC6C08"/>
    <w:rsid w:val="00AC7459"/>
    <w:rsid w:val="00AD08BB"/>
    <w:rsid w:val="00AD11AC"/>
    <w:rsid w:val="00AD143A"/>
    <w:rsid w:val="00AD161C"/>
    <w:rsid w:val="00AD189E"/>
    <w:rsid w:val="00AD1BF4"/>
    <w:rsid w:val="00AD1CB3"/>
    <w:rsid w:val="00AD205B"/>
    <w:rsid w:val="00AD22D3"/>
    <w:rsid w:val="00AD2EFA"/>
    <w:rsid w:val="00AD3018"/>
    <w:rsid w:val="00AD32ED"/>
    <w:rsid w:val="00AD462A"/>
    <w:rsid w:val="00AD474E"/>
    <w:rsid w:val="00AD4AE7"/>
    <w:rsid w:val="00AD4E01"/>
    <w:rsid w:val="00AD69AB"/>
    <w:rsid w:val="00AD7466"/>
    <w:rsid w:val="00AD7915"/>
    <w:rsid w:val="00AD7D4F"/>
    <w:rsid w:val="00AD7D8D"/>
    <w:rsid w:val="00AE1B9F"/>
    <w:rsid w:val="00AE2387"/>
    <w:rsid w:val="00AE2E65"/>
    <w:rsid w:val="00AE3B42"/>
    <w:rsid w:val="00AE4232"/>
    <w:rsid w:val="00AE4354"/>
    <w:rsid w:val="00AE4681"/>
    <w:rsid w:val="00AE65C2"/>
    <w:rsid w:val="00AE6926"/>
    <w:rsid w:val="00AE6AD9"/>
    <w:rsid w:val="00AE70D3"/>
    <w:rsid w:val="00AE7A47"/>
    <w:rsid w:val="00AE7BA7"/>
    <w:rsid w:val="00AE7BFA"/>
    <w:rsid w:val="00AF0614"/>
    <w:rsid w:val="00AF0843"/>
    <w:rsid w:val="00AF0F0F"/>
    <w:rsid w:val="00AF191E"/>
    <w:rsid w:val="00AF19B0"/>
    <w:rsid w:val="00AF1C8E"/>
    <w:rsid w:val="00AF1FA7"/>
    <w:rsid w:val="00AF2473"/>
    <w:rsid w:val="00AF28C7"/>
    <w:rsid w:val="00AF2D87"/>
    <w:rsid w:val="00AF2E43"/>
    <w:rsid w:val="00AF3B95"/>
    <w:rsid w:val="00AF3FA1"/>
    <w:rsid w:val="00AF4123"/>
    <w:rsid w:val="00AF60A3"/>
    <w:rsid w:val="00AF6BB4"/>
    <w:rsid w:val="00AF708F"/>
    <w:rsid w:val="00B00844"/>
    <w:rsid w:val="00B017B3"/>
    <w:rsid w:val="00B01A3C"/>
    <w:rsid w:val="00B022BE"/>
    <w:rsid w:val="00B02CAE"/>
    <w:rsid w:val="00B02D8A"/>
    <w:rsid w:val="00B0385F"/>
    <w:rsid w:val="00B047CB"/>
    <w:rsid w:val="00B049E6"/>
    <w:rsid w:val="00B04DAE"/>
    <w:rsid w:val="00B059E0"/>
    <w:rsid w:val="00B05A28"/>
    <w:rsid w:val="00B05D67"/>
    <w:rsid w:val="00B065F4"/>
    <w:rsid w:val="00B06607"/>
    <w:rsid w:val="00B06C18"/>
    <w:rsid w:val="00B072B0"/>
    <w:rsid w:val="00B07356"/>
    <w:rsid w:val="00B07B01"/>
    <w:rsid w:val="00B13B31"/>
    <w:rsid w:val="00B13CCB"/>
    <w:rsid w:val="00B1496C"/>
    <w:rsid w:val="00B14DBA"/>
    <w:rsid w:val="00B15812"/>
    <w:rsid w:val="00B1605A"/>
    <w:rsid w:val="00B1654A"/>
    <w:rsid w:val="00B175AC"/>
    <w:rsid w:val="00B20664"/>
    <w:rsid w:val="00B2080C"/>
    <w:rsid w:val="00B20828"/>
    <w:rsid w:val="00B20D45"/>
    <w:rsid w:val="00B20F3C"/>
    <w:rsid w:val="00B21929"/>
    <w:rsid w:val="00B21AD1"/>
    <w:rsid w:val="00B22260"/>
    <w:rsid w:val="00B25071"/>
    <w:rsid w:val="00B25E0F"/>
    <w:rsid w:val="00B26122"/>
    <w:rsid w:val="00B26609"/>
    <w:rsid w:val="00B266D3"/>
    <w:rsid w:val="00B267DE"/>
    <w:rsid w:val="00B26CC9"/>
    <w:rsid w:val="00B27189"/>
    <w:rsid w:val="00B271DB"/>
    <w:rsid w:val="00B2724B"/>
    <w:rsid w:val="00B300B3"/>
    <w:rsid w:val="00B305C8"/>
    <w:rsid w:val="00B30FFA"/>
    <w:rsid w:val="00B3131C"/>
    <w:rsid w:val="00B31D7F"/>
    <w:rsid w:val="00B31E45"/>
    <w:rsid w:val="00B32300"/>
    <w:rsid w:val="00B33430"/>
    <w:rsid w:val="00B33A61"/>
    <w:rsid w:val="00B342F4"/>
    <w:rsid w:val="00B3456C"/>
    <w:rsid w:val="00B34BCF"/>
    <w:rsid w:val="00B353EF"/>
    <w:rsid w:val="00B35645"/>
    <w:rsid w:val="00B368D8"/>
    <w:rsid w:val="00B3691F"/>
    <w:rsid w:val="00B37E91"/>
    <w:rsid w:val="00B4024E"/>
    <w:rsid w:val="00B40633"/>
    <w:rsid w:val="00B4065D"/>
    <w:rsid w:val="00B4096F"/>
    <w:rsid w:val="00B41F3B"/>
    <w:rsid w:val="00B42AC7"/>
    <w:rsid w:val="00B42D11"/>
    <w:rsid w:val="00B43A71"/>
    <w:rsid w:val="00B44EAD"/>
    <w:rsid w:val="00B45357"/>
    <w:rsid w:val="00B45F46"/>
    <w:rsid w:val="00B46A3D"/>
    <w:rsid w:val="00B479A6"/>
    <w:rsid w:val="00B47BF6"/>
    <w:rsid w:val="00B501E9"/>
    <w:rsid w:val="00B507BC"/>
    <w:rsid w:val="00B511CE"/>
    <w:rsid w:val="00B51D27"/>
    <w:rsid w:val="00B52F3C"/>
    <w:rsid w:val="00B550DB"/>
    <w:rsid w:val="00B559D5"/>
    <w:rsid w:val="00B55C95"/>
    <w:rsid w:val="00B56217"/>
    <w:rsid w:val="00B568E7"/>
    <w:rsid w:val="00B57683"/>
    <w:rsid w:val="00B60A27"/>
    <w:rsid w:val="00B60E4D"/>
    <w:rsid w:val="00B60E99"/>
    <w:rsid w:val="00B61DAC"/>
    <w:rsid w:val="00B61E7C"/>
    <w:rsid w:val="00B627F0"/>
    <w:rsid w:val="00B62C03"/>
    <w:rsid w:val="00B63C35"/>
    <w:rsid w:val="00B63CDA"/>
    <w:rsid w:val="00B63D1C"/>
    <w:rsid w:val="00B63E66"/>
    <w:rsid w:val="00B6427F"/>
    <w:rsid w:val="00B6467A"/>
    <w:rsid w:val="00B64869"/>
    <w:rsid w:val="00B64910"/>
    <w:rsid w:val="00B64F9A"/>
    <w:rsid w:val="00B64FBE"/>
    <w:rsid w:val="00B6534E"/>
    <w:rsid w:val="00B654E1"/>
    <w:rsid w:val="00B6568F"/>
    <w:rsid w:val="00B6645B"/>
    <w:rsid w:val="00B670E3"/>
    <w:rsid w:val="00B674E0"/>
    <w:rsid w:val="00B677ED"/>
    <w:rsid w:val="00B7129E"/>
    <w:rsid w:val="00B71565"/>
    <w:rsid w:val="00B71B2E"/>
    <w:rsid w:val="00B72A56"/>
    <w:rsid w:val="00B72AD7"/>
    <w:rsid w:val="00B73361"/>
    <w:rsid w:val="00B73441"/>
    <w:rsid w:val="00B7419A"/>
    <w:rsid w:val="00B74274"/>
    <w:rsid w:val="00B74615"/>
    <w:rsid w:val="00B74DAA"/>
    <w:rsid w:val="00B74E53"/>
    <w:rsid w:val="00B75451"/>
    <w:rsid w:val="00B75F95"/>
    <w:rsid w:val="00B76D95"/>
    <w:rsid w:val="00B77213"/>
    <w:rsid w:val="00B77531"/>
    <w:rsid w:val="00B77EEA"/>
    <w:rsid w:val="00B8084F"/>
    <w:rsid w:val="00B81C78"/>
    <w:rsid w:val="00B82170"/>
    <w:rsid w:val="00B83954"/>
    <w:rsid w:val="00B846B4"/>
    <w:rsid w:val="00B8511E"/>
    <w:rsid w:val="00B853EC"/>
    <w:rsid w:val="00B85547"/>
    <w:rsid w:val="00B85D51"/>
    <w:rsid w:val="00B85DAF"/>
    <w:rsid w:val="00B85DC1"/>
    <w:rsid w:val="00B87573"/>
    <w:rsid w:val="00B87B50"/>
    <w:rsid w:val="00B87E2A"/>
    <w:rsid w:val="00B87E3A"/>
    <w:rsid w:val="00B90406"/>
    <w:rsid w:val="00B92234"/>
    <w:rsid w:val="00B926AF"/>
    <w:rsid w:val="00B92739"/>
    <w:rsid w:val="00B93137"/>
    <w:rsid w:val="00B957DD"/>
    <w:rsid w:val="00B958CE"/>
    <w:rsid w:val="00B95D7A"/>
    <w:rsid w:val="00B96226"/>
    <w:rsid w:val="00B96A8B"/>
    <w:rsid w:val="00B972D0"/>
    <w:rsid w:val="00B977C1"/>
    <w:rsid w:val="00BA0033"/>
    <w:rsid w:val="00BA0675"/>
    <w:rsid w:val="00BA0F29"/>
    <w:rsid w:val="00BA1751"/>
    <w:rsid w:val="00BA192E"/>
    <w:rsid w:val="00BA2035"/>
    <w:rsid w:val="00BA263C"/>
    <w:rsid w:val="00BA2712"/>
    <w:rsid w:val="00BA2C95"/>
    <w:rsid w:val="00BA36EF"/>
    <w:rsid w:val="00BA3B72"/>
    <w:rsid w:val="00BA3F77"/>
    <w:rsid w:val="00BA4024"/>
    <w:rsid w:val="00BA4B58"/>
    <w:rsid w:val="00BA5047"/>
    <w:rsid w:val="00BA60E7"/>
    <w:rsid w:val="00BA6809"/>
    <w:rsid w:val="00BA7951"/>
    <w:rsid w:val="00BA7DA6"/>
    <w:rsid w:val="00BB0254"/>
    <w:rsid w:val="00BB072B"/>
    <w:rsid w:val="00BB198E"/>
    <w:rsid w:val="00BB19BE"/>
    <w:rsid w:val="00BB1D65"/>
    <w:rsid w:val="00BB1FDA"/>
    <w:rsid w:val="00BB2141"/>
    <w:rsid w:val="00BB24B8"/>
    <w:rsid w:val="00BB2826"/>
    <w:rsid w:val="00BB2D5C"/>
    <w:rsid w:val="00BB304D"/>
    <w:rsid w:val="00BB316B"/>
    <w:rsid w:val="00BB476D"/>
    <w:rsid w:val="00BB4815"/>
    <w:rsid w:val="00BB488C"/>
    <w:rsid w:val="00BB56B4"/>
    <w:rsid w:val="00BB6500"/>
    <w:rsid w:val="00BB7035"/>
    <w:rsid w:val="00BB7474"/>
    <w:rsid w:val="00BB76C1"/>
    <w:rsid w:val="00BB77C6"/>
    <w:rsid w:val="00BB782B"/>
    <w:rsid w:val="00BB7A76"/>
    <w:rsid w:val="00BC19AC"/>
    <w:rsid w:val="00BC1C7A"/>
    <w:rsid w:val="00BC24B3"/>
    <w:rsid w:val="00BC2612"/>
    <w:rsid w:val="00BC2720"/>
    <w:rsid w:val="00BC28F9"/>
    <w:rsid w:val="00BC29F0"/>
    <w:rsid w:val="00BC2E3A"/>
    <w:rsid w:val="00BC3A87"/>
    <w:rsid w:val="00BC3B05"/>
    <w:rsid w:val="00BC4241"/>
    <w:rsid w:val="00BC4D5C"/>
    <w:rsid w:val="00BC5063"/>
    <w:rsid w:val="00BC64EB"/>
    <w:rsid w:val="00BC6570"/>
    <w:rsid w:val="00BC6637"/>
    <w:rsid w:val="00BC6828"/>
    <w:rsid w:val="00BC6A55"/>
    <w:rsid w:val="00BC72DC"/>
    <w:rsid w:val="00BC73DE"/>
    <w:rsid w:val="00BC7B0F"/>
    <w:rsid w:val="00BC7C1E"/>
    <w:rsid w:val="00BC7E86"/>
    <w:rsid w:val="00BD0D06"/>
    <w:rsid w:val="00BD0E34"/>
    <w:rsid w:val="00BD0EE6"/>
    <w:rsid w:val="00BD1700"/>
    <w:rsid w:val="00BD19BF"/>
    <w:rsid w:val="00BD1BDF"/>
    <w:rsid w:val="00BD27EC"/>
    <w:rsid w:val="00BD2E23"/>
    <w:rsid w:val="00BD50B8"/>
    <w:rsid w:val="00BD5732"/>
    <w:rsid w:val="00BD5A1B"/>
    <w:rsid w:val="00BD65C6"/>
    <w:rsid w:val="00BD6943"/>
    <w:rsid w:val="00BD6B50"/>
    <w:rsid w:val="00BD6C36"/>
    <w:rsid w:val="00BD6DEA"/>
    <w:rsid w:val="00BD7BDA"/>
    <w:rsid w:val="00BD7E34"/>
    <w:rsid w:val="00BE0F0C"/>
    <w:rsid w:val="00BE1058"/>
    <w:rsid w:val="00BE1E57"/>
    <w:rsid w:val="00BE1E69"/>
    <w:rsid w:val="00BE2DC4"/>
    <w:rsid w:val="00BE3393"/>
    <w:rsid w:val="00BE36D9"/>
    <w:rsid w:val="00BE3CC1"/>
    <w:rsid w:val="00BE41BE"/>
    <w:rsid w:val="00BE49C2"/>
    <w:rsid w:val="00BE4DC0"/>
    <w:rsid w:val="00BE504C"/>
    <w:rsid w:val="00BE5632"/>
    <w:rsid w:val="00BE661F"/>
    <w:rsid w:val="00BE6DED"/>
    <w:rsid w:val="00BE74E6"/>
    <w:rsid w:val="00BE770F"/>
    <w:rsid w:val="00BE7AFE"/>
    <w:rsid w:val="00BE7E96"/>
    <w:rsid w:val="00BF118D"/>
    <w:rsid w:val="00BF1A33"/>
    <w:rsid w:val="00BF215B"/>
    <w:rsid w:val="00BF2372"/>
    <w:rsid w:val="00BF32BE"/>
    <w:rsid w:val="00BF333D"/>
    <w:rsid w:val="00BF4BEE"/>
    <w:rsid w:val="00BF574C"/>
    <w:rsid w:val="00BF576B"/>
    <w:rsid w:val="00BF7701"/>
    <w:rsid w:val="00C011D1"/>
    <w:rsid w:val="00C017AB"/>
    <w:rsid w:val="00C022C1"/>
    <w:rsid w:val="00C039AF"/>
    <w:rsid w:val="00C03DE0"/>
    <w:rsid w:val="00C03EFD"/>
    <w:rsid w:val="00C04146"/>
    <w:rsid w:val="00C04E7D"/>
    <w:rsid w:val="00C05107"/>
    <w:rsid w:val="00C058B3"/>
    <w:rsid w:val="00C0689C"/>
    <w:rsid w:val="00C06D56"/>
    <w:rsid w:val="00C06EEC"/>
    <w:rsid w:val="00C076AA"/>
    <w:rsid w:val="00C07935"/>
    <w:rsid w:val="00C07F83"/>
    <w:rsid w:val="00C1000E"/>
    <w:rsid w:val="00C10854"/>
    <w:rsid w:val="00C10987"/>
    <w:rsid w:val="00C10CC3"/>
    <w:rsid w:val="00C10CDD"/>
    <w:rsid w:val="00C10E73"/>
    <w:rsid w:val="00C10EB5"/>
    <w:rsid w:val="00C111D1"/>
    <w:rsid w:val="00C11288"/>
    <w:rsid w:val="00C11349"/>
    <w:rsid w:val="00C12EF6"/>
    <w:rsid w:val="00C13856"/>
    <w:rsid w:val="00C14D74"/>
    <w:rsid w:val="00C150AA"/>
    <w:rsid w:val="00C15198"/>
    <w:rsid w:val="00C15697"/>
    <w:rsid w:val="00C15EE4"/>
    <w:rsid w:val="00C15F68"/>
    <w:rsid w:val="00C1608E"/>
    <w:rsid w:val="00C164E6"/>
    <w:rsid w:val="00C16F89"/>
    <w:rsid w:val="00C170DE"/>
    <w:rsid w:val="00C17444"/>
    <w:rsid w:val="00C17964"/>
    <w:rsid w:val="00C17CDB"/>
    <w:rsid w:val="00C20C16"/>
    <w:rsid w:val="00C228F9"/>
    <w:rsid w:val="00C22B36"/>
    <w:rsid w:val="00C23719"/>
    <w:rsid w:val="00C23DEE"/>
    <w:rsid w:val="00C2411B"/>
    <w:rsid w:val="00C246A3"/>
    <w:rsid w:val="00C24753"/>
    <w:rsid w:val="00C24EAA"/>
    <w:rsid w:val="00C25475"/>
    <w:rsid w:val="00C25F86"/>
    <w:rsid w:val="00C26026"/>
    <w:rsid w:val="00C26862"/>
    <w:rsid w:val="00C27693"/>
    <w:rsid w:val="00C27D96"/>
    <w:rsid w:val="00C30798"/>
    <w:rsid w:val="00C30A05"/>
    <w:rsid w:val="00C30A9B"/>
    <w:rsid w:val="00C30B6A"/>
    <w:rsid w:val="00C30BD7"/>
    <w:rsid w:val="00C30BDC"/>
    <w:rsid w:val="00C30C6B"/>
    <w:rsid w:val="00C30CF6"/>
    <w:rsid w:val="00C3150A"/>
    <w:rsid w:val="00C325A5"/>
    <w:rsid w:val="00C326CE"/>
    <w:rsid w:val="00C32E99"/>
    <w:rsid w:val="00C3391E"/>
    <w:rsid w:val="00C3399B"/>
    <w:rsid w:val="00C340C0"/>
    <w:rsid w:val="00C34136"/>
    <w:rsid w:val="00C34260"/>
    <w:rsid w:val="00C3483A"/>
    <w:rsid w:val="00C3496A"/>
    <w:rsid w:val="00C352FB"/>
    <w:rsid w:val="00C353C1"/>
    <w:rsid w:val="00C35547"/>
    <w:rsid w:val="00C35F90"/>
    <w:rsid w:val="00C360B9"/>
    <w:rsid w:val="00C36AF0"/>
    <w:rsid w:val="00C36CE8"/>
    <w:rsid w:val="00C373B8"/>
    <w:rsid w:val="00C40A24"/>
    <w:rsid w:val="00C41214"/>
    <w:rsid w:val="00C42018"/>
    <w:rsid w:val="00C4234A"/>
    <w:rsid w:val="00C4269B"/>
    <w:rsid w:val="00C42BAF"/>
    <w:rsid w:val="00C4368A"/>
    <w:rsid w:val="00C43D7B"/>
    <w:rsid w:val="00C44807"/>
    <w:rsid w:val="00C44B2C"/>
    <w:rsid w:val="00C44EA3"/>
    <w:rsid w:val="00C4551D"/>
    <w:rsid w:val="00C460F1"/>
    <w:rsid w:val="00C463EE"/>
    <w:rsid w:val="00C46C25"/>
    <w:rsid w:val="00C46DC7"/>
    <w:rsid w:val="00C47397"/>
    <w:rsid w:val="00C475E8"/>
    <w:rsid w:val="00C47C14"/>
    <w:rsid w:val="00C51F63"/>
    <w:rsid w:val="00C52433"/>
    <w:rsid w:val="00C528C0"/>
    <w:rsid w:val="00C53040"/>
    <w:rsid w:val="00C5315C"/>
    <w:rsid w:val="00C53A40"/>
    <w:rsid w:val="00C551FC"/>
    <w:rsid w:val="00C552AB"/>
    <w:rsid w:val="00C552BF"/>
    <w:rsid w:val="00C557BE"/>
    <w:rsid w:val="00C55DB0"/>
    <w:rsid w:val="00C5634C"/>
    <w:rsid w:val="00C600EB"/>
    <w:rsid w:val="00C60EB0"/>
    <w:rsid w:val="00C6157F"/>
    <w:rsid w:val="00C61697"/>
    <w:rsid w:val="00C629AD"/>
    <w:rsid w:val="00C629C5"/>
    <w:rsid w:val="00C6387A"/>
    <w:rsid w:val="00C63B7D"/>
    <w:rsid w:val="00C642C5"/>
    <w:rsid w:val="00C65C3F"/>
    <w:rsid w:val="00C66310"/>
    <w:rsid w:val="00C66623"/>
    <w:rsid w:val="00C66932"/>
    <w:rsid w:val="00C66AE4"/>
    <w:rsid w:val="00C67D46"/>
    <w:rsid w:val="00C71666"/>
    <w:rsid w:val="00C71952"/>
    <w:rsid w:val="00C71BC2"/>
    <w:rsid w:val="00C72278"/>
    <w:rsid w:val="00C725DF"/>
    <w:rsid w:val="00C72CC4"/>
    <w:rsid w:val="00C74E42"/>
    <w:rsid w:val="00C7512F"/>
    <w:rsid w:val="00C75ACA"/>
    <w:rsid w:val="00C772CE"/>
    <w:rsid w:val="00C77717"/>
    <w:rsid w:val="00C77FC1"/>
    <w:rsid w:val="00C802E3"/>
    <w:rsid w:val="00C81783"/>
    <w:rsid w:val="00C81F8E"/>
    <w:rsid w:val="00C824E1"/>
    <w:rsid w:val="00C82BB0"/>
    <w:rsid w:val="00C82F60"/>
    <w:rsid w:val="00C82FA8"/>
    <w:rsid w:val="00C83059"/>
    <w:rsid w:val="00C84DB5"/>
    <w:rsid w:val="00C85349"/>
    <w:rsid w:val="00C85FD1"/>
    <w:rsid w:val="00C86E78"/>
    <w:rsid w:val="00C87C76"/>
    <w:rsid w:val="00C90AD1"/>
    <w:rsid w:val="00C912CA"/>
    <w:rsid w:val="00C91550"/>
    <w:rsid w:val="00C91C09"/>
    <w:rsid w:val="00C91D7B"/>
    <w:rsid w:val="00C921BC"/>
    <w:rsid w:val="00C92AD2"/>
    <w:rsid w:val="00C92CD1"/>
    <w:rsid w:val="00C93154"/>
    <w:rsid w:val="00C938B2"/>
    <w:rsid w:val="00C93EEA"/>
    <w:rsid w:val="00C94486"/>
    <w:rsid w:val="00C945B8"/>
    <w:rsid w:val="00C94850"/>
    <w:rsid w:val="00C95135"/>
    <w:rsid w:val="00C9647B"/>
    <w:rsid w:val="00C96EAB"/>
    <w:rsid w:val="00C96ED5"/>
    <w:rsid w:val="00C97C39"/>
    <w:rsid w:val="00C97CBC"/>
    <w:rsid w:val="00CA1283"/>
    <w:rsid w:val="00CA1714"/>
    <w:rsid w:val="00CA2A53"/>
    <w:rsid w:val="00CA4016"/>
    <w:rsid w:val="00CA4019"/>
    <w:rsid w:val="00CA452E"/>
    <w:rsid w:val="00CA47ED"/>
    <w:rsid w:val="00CA5409"/>
    <w:rsid w:val="00CA5885"/>
    <w:rsid w:val="00CA5D02"/>
    <w:rsid w:val="00CA5FC1"/>
    <w:rsid w:val="00CA637C"/>
    <w:rsid w:val="00CA63D0"/>
    <w:rsid w:val="00CA674F"/>
    <w:rsid w:val="00CA71AB"/>
    <w:rsid w:val="00CA7D8E"/>
    <w:rsid w:val="00CB02A0"/>
    <w:rsid w:val="00CB0AF3"/>
    <w:rsid w:val="00CB172E"/>
    <w:rsid w:val="00CB1A0B"/>
    <w:rsid w:val="00CB1B14"/>
    <w:rsid w:val="00CB2166"/>
    <w:rsid w:val="00CB23AA"/>
    <w:rsid w:val="00CB3215"/>
    <w:rsid w:val="00CB3645"/>
    <w:rsid w:val="00CB376A"/>
    <w:rsid w:val="00CB467A"/>
    <w:rsid w:val="00CB4F03"/>
    <w:rsid w:val="00CB5276"/>
    <w:rsid w:val="00CB52EB"/>
    <w:rsid w:val="00CB539C"/>
    <w:rsid w:val="00CB5575"/>
    <w:rsid w:val="00CB5C69"/>
    <w:rsid w:val="00CB5F7B"/>
    <w:rsid w:val="00CB61C4"/>
    <w:rsid w:val="00CB63FE"/>
    <w:rsid w:val="00CB7363"/>
    <w:rsid w:val="00CB7565"/>
    <w:rsid w:val="00CC008C"/>
    <w:rsid w:val="00CC0257"/>
    <w:rsid w:val="00CC03CB"/>
    <w:rsid w:val="00CC0FCF"/>
    <w:rsid w:val="00CC14C5"/>
    <w:rsid w:val="00CC15C6"/>
    <w:rsid w:val="00CC1B08"/>
    <w:rsid w:val="00CC23BB"/>
    <w:rsid w:val="00CC285D"/>
    <w:rsid w:val="00CC37A6"/>
    <w:rsid w:val="00CC3A93"/>
    <w:rsid w:val="00CC3D8D"/>
    <w:rsid w:val="00CC4651"/>
    <w:rsid w:val="00CC47C3"/>
    <w:rsid w:val="00CC49DD"/>
    <w:rsid w:val="00CC4DD2"/>
    <w:rsid w:val="00CC521F"/>
    <w:rsid w:val="00CC58F4"/>
    <w:rsid w:val="00CC5931"/>
    <w:rsid w:val="00CC6522"/>
    <w:rsid w:val="00CC7165"/>
    <w:rsid w:val="00CD000A"/>
    <w:rsid w:val="00CD0532"/>
    <w:rsid w:val="00CD0881"/>
    <w:rsid w:val="00CD0C20"/>
    <w:rsid w:val="00CD17C0"/>
    <w:rsid w:val="00CD1ECD"/>
    <w:rsid w:val="00CD366F"/>
    <w:rsid w:val="00CD3C70"/>
    <w:rsid w:val="00CD50F1"/>
    <w:rsid w:val="00CD5701"/>
    <w:rsid w:val="00CD5D50"/>
    <w:rsid w:val="00CD5DDE"/>
    <w:rsid w:val="00CD5F17"/>
    <w:rsid w:val="00CD61F6"/>
    <w:rsid w:val="00CD643E"/>
    <w:rsid w:val="00CD666D"/>
    <w:rsid w:val="00CD7492"/>
    <w:rsid w:val="00CE092A"/>
    <w:rsid w:val="00CE0D68"/>
    <w:rsid w:val="00CE34B1"/>
    <w:rsid w:val="00CE53CD"/>
    <w:rsid w:val="00CE5CFA"/>
    <w:rsid w:val="00CE65F1"/>
    <w:rsid w:val="00CE665B"/>
    <w:rsid w:val="00CE6C55"/>
    <w:rsid w:val="00CF198D"/>
    <w:rsid w:val="00CF1D44"/>
    <w:rsid w:val="00CF2029"/>
    <w:rsid w:val="00CF2448"/>
    <w:rsid w:val="00CF264E"/>
    <w:rsid w:val="00CF3200"/>
    <w:rsid w:val="00CF7105"/>
    <w:rsid w:val="00CF7150"/>
    <w:rsid w:val="00CF74DD"/>
    <w:rsid w:val="00CF7D6A"/>
    <w:rsid w:val="00CF7E5B"/>
    <w:rsid w:val="00CF7FA4"/>
    <w:rsid w:val="00D00093"/>
    <w:rsid w:val="00D0095D"/>
    <w:rsid w:val="00D00F64"/>
    <w:rsid w:val="00D0285A"/>
    <w:rsid w:val="00D02943"/>
    <w:rsid w:val="00D02C53"/>
    <w:rsid w:val="00D02DB2"/>
    <w:rsid w:val="00D02ED6"/>
    <w:rsid w:val="00D047B1"/>
    <w:rsid w:val="00D04AB2"/>
    <w:rsid w:val="00D0528A"/>
    <w:rsid w:val="00D06ADA"/>
    <w:rsid w:val="00D06AE6"/>
    <w:rsid w:val="00D07F38"/>
    <w:rsid w:val="00D1070E"/>
    <w:rsid w:val="00D109FB"/>
    <w:rsid w:val="00D10ABF"/>
    <w:rsid w:val="00D110DF"/>
    <w:rsid w:val="00D11438"/>
    <w:rsid w:val="00D115BA"/>
    <w:rsid w:val="00D11C85"/>
    <w:rsid w:val="00D125BD"/>
    <w:rsid w:val="00D131DD"/>
    <w:rsid w:val="00D136EA"/>
    <w:rsid w:val="00D13F7E"/>
    <w:rsid w:val="00D141F7"/>
    <w:rsid w:val="00D1429F"/>
    <w:rsid w:val="00D14BB4"/>
    <w:rsid w:val="00D14D32"/>
    <w:rsid w:val="00D16878"/>
    <w:rsid w:val="00D169E4"/>
    <w:rsid w:val="00D16C7C"/>
    <w:rsid w:val="00D16FEC"/>
    <w:rsid w:val="00D17D61"/>
    <w:rsid w:val="00D17E4F"/>
    <w:rsid w:val="00D2003C"/>
    <w:rsid w:val="00D200CC"/>
    <w:rsid w:val="00D20451"/>
    <w:rsid w:val="00D2069F"/>
    <w:rsid w:val="00D2105B"/>
    <w:rsid w:val="00D21468"/>
    <w:rsid w:val="00D2174E"/>
    <w:rsid w:val="00D21E85"/>
    <w:rsid w:val="00D2238A"/>
    <w:rsid w:val="00D23AD2"/>
    <w:rsid w:val="00D24512"/>
    <w:rsid w:val="00D24B11"/>
    <w:rsid w:val="00D253EF"/>
    <w:rsid w:val="00D26046"/>
    <w:rsid w:val="00D26895"/>
    <w:rsid w:val="00D2692A"/>
    <w:rsid w:val="00D26BB9"/>
    <w:rsid w:val="00D26E2E"/>
    <w:rsid w:val="00D276B4"/>
    <w:rsid w:val="00D305AE"/>
    <w:rsid w:val="00D305C5"/>
    <w:rsid w:val="00D307A7"/>
    <w:rsid w:val="00D30BFB"/>
    <w:rsid w:val="00D31C7A"/>
    <w:rsid w:val="00D31E31"/>
    <w:rsid w:val="00D32057"/>
    <w:rsid w:val="00D3270E"/>
    <w:rsid w:val="00D33288"/>
    <w:rsid w:val="00D33FF4"/>
    <w:rsid w:val="00D34F13"/>
    <w:rsid w:val="00D352CF"/>
    <w:rsid w:val="00D364F2"/>
    <w:rsid w:val="00D3673E"/>
    <w:rsid w:val="00D368F2"/>
    <w:rsid w:val="00D36FDA"/>
    <w:rsid w:val="00D37019"/>
    <w:rsid w:val="00D374E6"/>
    <w:rsid w:val="00D37DF2"/>
    <w:rsid w:val="00D4043C"/>
    <w:rsid w:val="00D40A39"/>
    <w:rsid w:val="00D41CB3"/>
    <w:rsid w:val="00D4271F"/>
    <w:rsid w:val="00D427E5"/>
    <w:rsid w:val="00D42C6A"/>
    <w:rsid w:val="00D43410"/>
    <w:rsid w:val="00D44950"/>
    <w:rsid w:val="00D44D0D"/>
    <w:rsid w:val="00D455CA"/>
    <w:rsid w:val="00D46645"/>
    <w:rsid w:val="00D467EB"/>
    <w:rsid w:val="00D46946"/>
    <w:rsid w:val="00D47241"/>
    <w:rsid w:val="00D47C59"/>
    <w:rsid w:val="00D47D12"/>
    <w:rsid w:val="00D508CF"/>
    <w:rsid w:val="00D514BA"/>
    <w:rsid w:val="00D522EB"/>
    <w:rsid w:val="00D525CB"/>
    <w:rsid w:val="00D5313F"/>
    <w:rsid w:val="00D53C79"/>
    <w:rsid w:val="00D5438E"/>
    <w:rsid w:val="00D549CB"/>
    <w:rsid w:val="00D5529E"/>
    <w:rsid w:val="00D55972"/>
    <w:rsid w:val="00D55974"/>
    <w:rsid w:val="00D55F94"/>
    <w:rsid w:val="00D56611"/>
    <w:rsid w:val="00D56725"/>
    <w:rsid w:val="00D57A5E"/>
    <w:rsid w:val="00D57AE0"/>
    <w:rsid w:val="00D57C41"/>
    <w:rsid w:val="00D61372"/>
    <w:rsid w:val="00D61991"/>
    <w:rsid w:val="00D621BD"/>
    <w:rsid w:val="00D63718"/>
    <w:rsid w:val="00D63909"/>
    <w:rsid w:val="00D639EB"/>
    <w:rsid w:val="00D63B62"/>
    <w:rsid w:val="00D63E25"/>
    <w:rsid w:val="00D63FB9"/>
    <w:rsid w:val="00D642CC"/>
    <w:rsid w:val="00D64F8A"/>
    <w:rsid w:val="00D663BA"/>
    <w:rsid w:val="00D66627"/>
    <w:rsid w:val="00D6698F"/>
    <w:rsid w:val="00D66BDA"/>
    <w:rsid w:val="00D67924"/>
    <w:rsid w:val="00D70187"/>
    <w:rsid w:val="00D719E7"/>
    <w:rsid w:val="00D71BE7"/>
    <w:rsid w:val="00D72F08"/>
    <w:rsid w:val="00D7319D"/>
    <w:rsid w:val="00D73B3D"/>
    <w:rsid w:val="00D74091"/>
    <w:rsid w:val="00D74BD8"/>
    <w:rsid w:val="00D75120"/>
    <w:rsid w:val="00D75A09"/>
    <w:rsid w:val="00D75AF6"/>
    <w:rsid w:val="00D75C2D"/>
    <w:rsid w:val="00D75F8C"/>
    <w:rsid w:val="00D76657"/>
    <w:rsid w:val="00D7701A"/>
    <w:rsid w:val="00D7756E"/>
    <w:rsid w:val="00D77998"/>
    <w:rsid w:val="00D80307"/>
    <w:rsid w:val="00D80BB6"/>
    <w:rsid w:val="00D80ED2"/>
    <w:rsid w:val="00D80F06"/>
    <w:rsid w:val="00D810F5"/>
    <w:rsid w:val="00D813D1"/>
    <w:rsid w:val="00D81808"/>
    <w:rsid w:val="00D81D62"/>
    <w:rsid w:val="00D82106"/>
    <w:rsid w:val="00D82B78"/>
    <w:rsid w:val="00D8309B"/>
    <w:rsid w:val="00D83824"/>
    <w:rsid w:val="00D840CF"/>
    <w:rsid w:val="00D8441E"/>
    <w:rsid w:val="00D8465B"/>
    <w:rsid w:val="00D85344"/>
    <w:rsid w:val="00D86AEE"/>
    <w:rsid w:val="00D86ED9"/>
    <w:rsid w:val="00D86F73"/>
    <w:rsid w:val="00D8759B"/>
    <w:rsid w:val="00D87CCD"/>
    <w:rsid w:val="00D87E1A"/>
    <w:rsid w:val="00D87F02"/>
    <w:rsid w:val="00D9037D"/>
    <w:rsid w:val="00D9045C"/>
    <w:rsid w:val="00D9056E"/>
    <w:rsid w:val="00D90A57"/>
    <w:rsid w:val="00D90A5E"/>
    <w:rsid w:val="00D90C63"/>
    <w:rsid w:val="00D910C6"/>
    <w:rsid w:val="00D91C86"/>
    <w:rsid w:val="00D91ED7"/>
    <w:rsid w:val="00D920B8"/>
    <w:rsid w:val="00D92C34"/>
    <w:rsid w:val="00D93095"/>
    <w:rsid w:val="00D9310E"/>
    <w:rsid w:val="00D9350E"/>
    <w:rsid w:val="00D94565"/>
    <w:rsid w:val="00D94EC0"/>
    <w:rsid w:val="00D95F31"/>
    <w:rsid w:val="00D9603B"/>
    <w:rsid w:val="00D96678"/>
    <w:rsid w:val="00D96E24"/>
    <w:rsid w:val="00D97332"/>
    <w:rsid w:val="00D97DA8"/>
    <w:rsid w:val="00D97F00"/>
    <w:rsid w:val="00DA08C8"/>
    <w:rsid w:val="00DA0EEE"/>
    <w:rsid w:val="00DA115A"/>
    <w:rsid w:val="00DA14AE"/>
    <w:rsid w:val="00DA1C10"/>
    <w:rsid w:val="00DA2DF7"/>
    <w:rsid w:val="00DA4102"/>
    <w:rsid w:val="00DA438D"/>
    <w:rsid w:val="00DA43CC"/>
    <w:rsid w:val="00DA537A"/>
    <w:rsid w:val="00DA551B"/>
    <w:rsid w:val="00DA56A6"/>
    <w:rsid w:val="00DA574D"/>
    <w:rsid w:val="00DA5C2B"/>
    <w:rsid w:val="00DA7F4C"/>
    <w:rsid w:val="00DB35FE"/>
    <w:rsid w:val="00DB3689"/>
    <w:rsid w:val="00DB3838"/>
    <w:rsid w:val="00DB3A83"/>
    <w:rsid w:val="00DB3DB8"/>
    <w:rsid w:val="00DB438A"/>
    <w:rsid w:val="00DB4BE6"/>
    <w:rsid w:val="00DB5101"/>
    <w:rsid w:val="00DB5CED"/>
    <w:rsid w:val="00DB6F89"/>
    <w:rsid w:val="00DB76D0"/>
    <w:rsid w:val="00DB7CC7"/>
    <w:rsid w:val="00DC037C"/>
    <w:rsid w:val="00DC0E1D"/>
    <w:rsid w:val="00DC16E3"/>
    <w:rsid w:val="00DC2306"/>
    <w:rsid w:val="00DC2872"/>
    <w:rsid w:val="00DC32A6"/>
    <w:rsid w:val="00DC4385"/>
    <w:rsid w:val="00DC761B"/>
    <w:rsid w:val="00DC7BE1"/>
    <w:rsid w:val="00DD00F9"/>
    <w:rsid w:val="00DD0321"/>
    <w:rsid w:val="00DD0920"/>
    <w:rsid w:val="00DD0D74"/>
    <w:rsid w:val="00DD1073"/>
    <w:rsid w:val="00DD169D"/>
    <w:rsid w:val="00DD1768"/>
    <w:rsid w:val="00DD1D6F"/>
    <w:rsid w:val="00DD2FA1"/>
    <w:rsid w:val="00DD2FB2"/>
    <w:rsid w:val="00DD342D"/>
    <w:rsid w:val="00DD3592"/>
    <w:rsid w:val="00DD6709"/>
    <w:rsid w:val="00DD7076"/>
    <w:rsid w:val="00DD7C2E"/>
    <w:rsid w:val="00DD7DAE"/>
    <w:rsid w:val="00DE02C6"/>
    <w:rsid w:val="00DE0413"/>
    <w:rsid w:val="00DE07FB"/>
    <w:rsid w:val="00DE0B02"/>
    <w:rsid w:val="00DE1C90"/>
    <w:rsid w:val="00DE25F3"/>
    <w:rsid w:val="00DE28A3"/>
    <w:rsid w:val="00DE492E"/>
    <w:rsid w:val="00DE57AB"/>
    <w:rsid w:val="00DE5E1F"/>
    <w:rsid w:val="00DE5E60"/>
    <w:rsid w:val="00DE6268"/>
    <w:rsid w:val="00DE6973"/>
    <w:rsid w:val="00DE7463"/>
    <w:rsid w:val="00DE7A48"/>
    <w:rsid w:val="00DF06F8"/>
    <w:rsid w:val="00DF075F"/>
    <w:rsid w:val="00DF1353"/>
    <w:rsid w:val="00DF2AB2"/>
    <w:rsid w:val="00DF3ABE"/>
    <w:rsid w:val="00DF3BF1"/>
    <w:rsid w:val="00DF4111"/>
    <w:rsid w:val="00DF447D"/>
    <w:rsid w:val="00DF52B1"/>
    <w:rsid w:val="00DF593B"/>
    <w:rsid w:val="00DF5CC7"/>
    <w:rsid w:val="00DF5F38"/>
    <w:rsid w:val="00DF642E"/>
    <w:rsid w:val="00DF6578"/>
    <w:rsid w:val="00DF6993"/>
    <w:rsid w:val="00E00BA1"/>
    <w:rsid w:val="00E011C0"/>
    <w:rsid w:val="00E01205"/>
    <w:rsid w:val="00E01376"/>
    <w:rsid w:val="00E01403"/>
    <w:rsid w:val="00E018FB"/>
    <w:rsid w:val="00E01E39"/>
    <w:rsid w:val="00E02BB8"/>
    <w:rsid w:val="00E0344E"/>
    <w:rsid w:val="00E04573"/>
    <w:rsid w:val="00E04A64"/>
    <w:rsid w:val="00E05205"/>
    <w:rsid w:val="00E0662C"/>
    <w:rsid w:val="00E06F0C"/>
    <w:rsid w:val="00E06FB1"/>
    <w:rsid w:val="00E0762D"/>
    <w:rsid w:val="00E07667"/>
    <w:rsid w:val="00E07808"/>
    <w:rsid w:val="00E07DC9"/>
    <w:rsid w:val="00E07DE9"/>
    <w:rsid w:val="00E10306"/>
    <w:rsid w:val="00E10689"/>
    <w:rsid w:val="00E10E17"/>
    <w:rsid w:val="00E11E5C"/>
    <w:rsid w:val="00E1235F"/>
    <w:rsid w:val="00E12B4D"/>
    <w:rsid w:val="00E12FFA"/>
    <w:rsid w:val="00E15101"/>
    <w:rsid w:val="00E15301"/>
    <w:rsid w:val="00E15857"/>
    <w:rsid w:val="00E1651E"/>
    <w:rsid w:val="00E165A6"/>
    <w:rsid w:val="00E17783"/>
    <w:rsid w:val="00E17D58"/>
    <w:rsid w:val="00E2029C"/>
    <w:rsid w:val="00E21AA3"/>
    <w:rsid w:val="00E22563"/>
    <w:rsid w:val="00E2270C"/>
    <w:rsid w:val="00E227D5"/>
    <w:rsid w:val="00E23710"/>
    <w:rsid w:val="00E23C32"/>
    <w:rsid w:val="00E23CC6"/>
    <w:rsid w:val="00E244B4"/>
    <w:rsid w:val="00E2457E"/>
    <w:rsid w:val="00E24AC3"/>
    <w:rsid w:val="00E25398"/>
    <w:rsid w:val="00E2627A"/>
    <w:rsid w:val="00E26334"/>
    <w:rsid w:val="00E264DF"/>
    <w:rsid w:val="00E26A43"/>
    <w:rsid w:val="00E2715B"/>
    <w:rsid w:val="00E27935"/>
    <w:rsid w:val="00E303D3"/>
    <w:rsid w:val="00E34782"/>
    <w:rsid w:val="00E350E6"/>
    <w:rsid w:val="00E35386"/>
    <w:rsid w:val="00E35845"/>
    <w:rsid w:val="00E358EB"/>
    <w:rsid w:val="00E35F4B"/>
    <w:rsid w:val="00E362B7"/>
    <w:rsid w:val="00E36D0F"/>
    <w:rsid w:val="00E37807"/>
    <w:rsid w:val="00E37E0C"/>
    <w:rsid w:val="00E408FA"/>
    <w:rsid w:val="00E4167E"/>
    <w:rsid w:val="00E4252F"/>
    <w:rsid w:val="00E4255D"/>
    <w:rsid w:val="00E4295B"/>
    <w:rsid w:val="00E429A2"/>
    <w:rsid w:val="00E42F93"/>
    <w:rsid w:val="00E43B39"/>
    <w:rsid w:val="00E440BE"/>
    <w:rsid w:val="00E441AC"/>
    <w:rsid w:val="00E442A2"/>
    <w:rsid w:val="00E450AD"/>
    <w:rsid w:val="00E45936"/>
    <w:rsid w:val="00E45A75"/>
    <w:rsid w:val="00E46296"/>
    <w:rsid w:val="00E46CA3"/>
    <w:rsid w:val="00E46D88"/>
    <w:rsid w:val="00E46E3E"/>
    <w:rsid w:val="00E47F69"/>
    <w:rsid w:val="00E51120"/>
    <w:rsid w:val="00E513D2"/>
    <w:rsid w:val="00E51C3A"/>
    <w:rsid w:val="00E52128"/>
    <w:rsid w:val="00E541DA"/>
    <w:rsid w:val="00E543C3"/>
    <w:rsid w:val="00E54DCC"/>
    <w:rsid w:val="00E565C7"/>
    <w:rsid w:val="00E56FB0"/>
    <w:rsid w:val="00E574DB"/>
    <w:rsid w:val="00E57711"/>
    <w:rsid w:val="00E57B5E"/>
    <w:rsid w:val="00E60052"/>
    <w:rsid w:val="00E61EAC"/>
    <w:rsid w:val="00E626A7"/>
    <w:rsid w:val="00E62A34"/>
    <w:rsid w:val="00E62F88"/>
    <w:rsid w:val="00E64D4C"/>
    <w:rsid w:val="00E65784"/>
    <w:rsid w:val="00E65875"/>
    <w:rsid w:val="00E65EFC"/>
    <w:rsid w:val="00E671D9"/>
    <w:rsid w:val="00E673D7"/>
    <w:rsid w:val="00E674A5"/>
    <w:rsid w:val="00E70059"/>
    <w:rsid w:val="00E7119B"/>
    <w:rsid w:val="00E72948"/>
    <w:rsid w:val="00E73B0A"/>
    <w:rsid w:val="00E73DAF"/>
    <w:rsid w:val="00E74B67"/>
    <w:rsid w:val="00E74DEB"/>
    <w:rsid w:val="00E7516B"/>
    <w:rsid w:val="00E7582A"/>
    <w:rsid w:val="00E75DA8"/>
    <w:rsid w:val="00E772CA"/>
    <w:rsid w:val="00E777D7"/>
    <w:rsid w:val="00E8054B"/>
    <w:rsid w:val="00E80801"/>
    <w:rsid w:val="00E80833"/>
    <w:rsid w:val="00E80B49"/>
    <w:rsid w:val="00E80D1B"/>
    <w:rsid w:val="00E80D4E"/>
    <w:rsid w:val="00E81200"/>
    <w:rsid w:val="00E81D6B"/>
    <w:rsid w:val="00E81D9D"/>
    <w:rsid w:val="00E826E0"/>
    <w:rsid w:val="00E83141"/>
    <w:rsid w:val="00E83509"/>
    <w:rsid w:val="00E8392C"/>
    <w:rsid w:val="00E83BA3"/>
    <w:rsid w:val="00E8459E"/>
    <w:rsid w:val="00E84BB7"/>
    <w:rsid w:val="00E84FAE"/>
    <w:rsid w:val="00E854B3"/>
    <w:rsid w:val="00E854E4"/>
    <w:rsid w:val="00E854F8"/>
    <w:rsid w:val="00E85706"/>
    <w:rsid w:val="00E860FD"/>
    <w:rsid w:val="00E865E7"/>
    <w:rsid w:val="00E86ACF"/>
    <w:rsid w:val="00E87894"/>
    <w:rsid w:val="00E90DAA"/>
    <w:rsid w:val="00E92287"/>
    <w:rsid w:val="00E92883"/>
    <w:rsid w:val="00E92BDA"/>
    <w:rsid w:val="00E92F93"/>
    <w:rsid w:val="00E93090"/>
    <w:rsid w:val="00E93A0F"/>
    <w:rsid w:val="00E93B23"/>
    <w:rsid w:val="00E93D61"/>
    <w:rsid w:val="00E94A18"/>
    <w:rsid w:val="00E94F51"/>
    <w:rsid w:val="00E956DE"/>
    <w:rsid w:val="00E9588C"/>
    <w:rsid w:val="00E95AF6"/>
    <w:rsid w:val="00E95C2D"/>
    <w:rsid w:val="00E96739"/>
    <w:rsid w:val="00E96C99"/>
    <w:rsid w:val="00E9759A"/>
    <w:rsid w:val="00E9767B"/>
    <w:rsid w:val="00EA089C"/>
    <w:rsid w:val="00EA0E35"/>
    <w:rsid w:val="00EA1162"/>
    <w:rsid w:val="00EA1428"/>
    <w:rsid w:val="00EA1625"/>
    <w:rsid w:val="00EA28AE"/>
    <w:rsid w:val="00EA2920"/>
    <w:rsid w:val="00EA29A9"/>
    <w:rsid w:val="00EA2B1E"/>
    <w:rsid w:val="00EA47BD"/>
    <w:rsid w:val="00EA4867"/>
    <w:rsid w:val="00EA4CF8"/>
    <w:rsid w:val="00EA59D0"/>
    <w:rsid w:val="00EA6048"/>
    <w:rsid w:val="00EA6E13"/>
    <w:rsid w:val="00EA75F4"/>
    <w:rsid w:val="00EA7BF2"/>
    <w:rsid w:val="00EB08D7"/>
    <w:rsid w:val="00EB1E65"/>
    <w:rsid w:val="00EB2405"/>
    <w:rsid w:val="00EB3B54"/>
    <w:rsid w:val="00EB3BB1"/>
    <w:rsid w:val="00EB3DD8"/>
    <w:rsid w:val="00EB4177"/>
    <w:rsid w:val="00EB485D"/>
    <w:rsid w:val="00EB4FA5"/>
    <w:rsid w:val="00EB50B8"/>
    <w:rsid w:val="00EB51A7"/>
    <w:rsid w:val="00EB5474"/>
    <w:rsid w:val="00EB5F4E"/>
    <w:rsid w:val="00EB6287"/>
    <w:rsid w:val="00EB66DC"/>
    <w:rsid w:val="00EB682F"/>
    <w:rsid w:val="00EB7620"/>
    <w:rsid w:val="00EC1294"/>
    <w:rsid w:val="00EC1499"/>
    <w:rsid w:val="00EC1C2B"/>
    <w:rsid w:val="00EC2673"/>
    <w:rsid w:val="00EC3503"/>
    <w:rsid w:val="00EC4152"/>
    <w:rsid w:val="00EC4166"/>
    <w:rsid w:val="00EC419C"/>
    <w:rsid w:val="00EC4271"/>
    <w:rsid w:val="00EC4345"/>
    <w:rsid w:val="00EC4709"/>
    <w:rsid w:val="00EC5AA0"/>
    <w:rsid w:val="00EC5EDE"/>
    <w:rsid w:val="00EC68A1"/>
    <w:rsid w:val="00EC74B0"/>
    <w:rsid w:val="00EC7D5E"/>
    <w:rsid w:val="00EC7EEF"/>
    <w:rsid w:val="00EC7FAF"/>
    <w:rsid w:val="00ED06D1"/>
    <w:rsid w:val="00ED1BAE"/>
    <w:rsid w:val="00ED391D"/>
    <w:rsid w:val="00ED39DE"/>
    <w:rsid w:val="00ED3DCB"/>
    <w:rsid w:val="00ED6136"/>
    <w:rsid w:val="00ED620E"/>
    <w:rsid w:val="00ED6DEC"/>
    <w:rsid w:val="00ED79DB"/>
    <w:rsid w:val="00ED7EA7"/>
    <w:rsid w:val="00EE0668"/>
    <w:rsid w:val="00EE12BA"/>
    <w:rsid w:val="00EE1698"/>
    <w:rsid w:val="00EE1A17"/>
    <w:rsid w:val="00EE23FB"/>
    <w:rsid w:val="00EE2E56"/>
    <w:rsid w:val="00EE4958"/>
    <w:rsid w:val="00EE5B10"/>
    <w:rsid w:val="00EE6358"/>
    <w:rsid w:val="00EE75F2"/>
    <w:rsid w:val="00EE76FA"/>
    <w:rsid w:val="00EF0609"/>
    <w:rsid w:val="00EF0660"/>
    <w:rsid w:val="00EF1450"/>
    <w:rsid w:val="00EF18B9"/>
    <w:rsid w:val="00EF18CE"/>
    <w:rsid w:val="00EF2CF8"/>
    <w:rsid w:val="00EF32B1"/>
    <w:rsid w:val="00EF3807"/>
    <w:rsid w:val="00EF49D5"/>
    <w:rsid w:val="00EF4B36"/>
    <w:rsid w:val="00EF524C"/>
    <w:rsid w:val="00EF6D61"/>
    <w:rsid w:val="00EF7563"/>
    <w:rsid w:val="00EF7580"/>
    <w:rsid w:val="00F002F4"/>
    <w:rsid w:val="00F00F81"/>
    <w:rsid w:val="00F02373"/>
    <w:rsid w:val="00F02D8D"/>
    <w:rsid w:val="00F02F08"/>
    <w:rsid w:val="00F0430D"/>
    <w:rsid w:val="00F04AB2"/>
    <w:rsid w:val="00F04E4D"/>
    <w:rsid w:val="00F051F6"/>
    <w:rsid w:val="00F053A1"/>
    <w:rsid w:val="00F0562C"/>
    <w:rsid w:val="00F06770"/>
    <w:rsid w:val="00F06FF3"/>
    <w:rsid w:val="00F075D5"/>
    <w:rsid w:val="00F07890"/>
    <w:rsid w:val="00F10D0C"/>
    <w:rsid w:val="00F10E11"/>
    <w:rsid w:val="00F10F32"/>
    <w:rsid w:val="00F111F1"/>
    <w:rsid w:val="00F1127F"/>
    <w:rsid w:val="00F112AD"/>
    <w:rsid w:val="00F11CFC"/>
    <w:rsid w:val="00F127AF"/>
    <w:rsid w:val="00F1299D"/>
    <w:rsid w:val="00F12B98"/>
    <w:rsid w:val="00F12C97"/>
    <w:rsid w:val="00F13D35"/>
    <w:rsid w:val="00F140F6"/>
    <w:rsid w:val="00F14779"/>
    <w:rsid w:val="00F14853"/>
    <w:rsid w:val="00F14A3B"/>
    <w:rsid w:val="00F14D52"/>
    <w:rsid w:val="00F1561D"/>
    <w:rsid w:val="00F15693"/>
    <w:rsid w:val="00F15FAC"/>
    <w:rsid w:val="00F16FD8"/>
    <w:rsid w:val="00F179F6"/>
    <w:rsid w:val="00F2072D"/>
    <w:rsid w:val="00F20941"/>
    <w:rsid w:val="00F214F8"/>
    <w:rsid w:val="00F21DC8"/>
    <w:rsid w:val="00F21F7C"/>
    <w:rsid w:val="00F2212A"/>
    <w:rsid w:val="00F22A12"/>
    <w:rsid w:val="00F22A1A"/>
    <w:rsid w:val="00F231A6"/>
    <w:rsid w:val="00F242F7"/>
    <w:rsid w:val="00F25018"/>
    <w:rsid w:val="00F253A4"/>
    <w:rsid w:val="00F25BFE"/>
    <w:rsid w:val="00F25EDD"/>
    <w:rsid w:val="00F2644E"/>
    <w:rsid w:val="00F268A0"/>
    <w:rsid w:val="00F26D0D"/>
    <w:rsid w:val="00F27659"/>
    <w:rsid w:val="00F32F43"/>
    <w:rsid w:val="00F33C9C"/>
    <w:rsid w:val="00F33D8A"/>
    <w:rsid w:val="00F34650"/>
    <w:rsid w:val="00F34F88"/>
    <w:rsid w:val="00F35707"/>
    <w:rsid w:val="00F35CF7"/>
    <w:rsid w:val="00F35F74"/>
    <w:rsid w:val="00F35FFF"/>
    <w:rsid w:val="00F36057"/>
    <w:rsid w:val="00F363B2"/>
    <w:rsid w:val="00F368C1"/>
    <w:rsid w:val="00F36EEA"/>
    <w:rsid w:val="00F3768C"/>
    <w:rsid w:val="00F401B6"/>
    <w:rsid w:val="00F401E3"/>
    <w:rsid w:val="00F4093C"/>
    <w:rsid w:val="00F40A47"/>
    <w:rsid w:val="00F420EB"/>
    <w:rsid w:val="00F43401"/>
    <w:rsid w:val="00F43B8B"/>
    <w:rsid w:val="00F4402A"/>
    <w:rsid w:val="00F44A49"/>
    <w:rsid w:val="00F44DCA"/>
    <w:rsid w:val="00F44DDE"/>
    <w:rsid w:val="00F454EE"/>
    <w:rsid w:val="00F45FE6"/>
    <w:rsid w:val="00F462CC"/>
    <w:rsid w:val="00F46833"/>
    <w:rsid w:val="00F46906"/>
    <w:rsid w:val="00F46C9E"/>
    <w:rsid w:val="00F47032"/>
    <w:rsid w:val="00F47867"/>
    <w:rsid w:val="00F51467"/>
    <w:rsid w:val="00F5190C"/>
    <w:rsid w:val="00F51F9E"/>
    <w:rsid w:val="00F52632"/>
    <w:rsid w:val="00F527CC"/>
    <w:rsid w:val="00F52981"/>
    <w:rsid w:val="00F52B87"/>
    <w:rsid w:val="00F52D0D"/>
    <w:rsid w:val="00F53DAF"/>
    <w:rsid w:val="00F54062"/>
    <w:rsid w:val="00F540F9"/>
    <w:rsid w:val="00F55491"/>
    <w:rsid w:val="00F55D82"/>
    <w:rsid w:val="00F56047"/>
    <w:rsid w:val="00F5709E"/>
    <w:rsid w:val="00F5716A"/>
    <w:rsid w:val="00F57348"/>
    <w:rsid w:val="00F573D0"/>
    <w:rsid w:val="00F5771E"/>
    <w:rsid w:val="00F57EA4"/>
    <w:rsid w:val="00F6018D"/>
    <w:rsid w:val="00F602AE"/>
    <w:rsid w:val="00F60782"/>
    <w:rsid w:val="00F61412"/>
    <w:rsid w:val="00F617F4"/>
    <w:rsid w:val="00F61CC0"/>
    <w:rsid w:val="00F62463"/>
    <w:rsid w:val="00F62A97"/>
    <w:rsid w:val="00F63C52"/>
    <w:rsid w:val="00F6429D"/>
    <w:rsid w:val="00F64AC8"/>
    <w:rsid w:val="00F6539F"/>
    <w:rsid w:val="00F65F2C"/>
    <w:rsid w:val="00F66175"/>
    <w:rsid w:val="00F6684C"/>
    <w:rsid w:val="00F67B5D"/>
    <w:rsid w:val="00F703E8"/>
    <w:rsid w:val="00F703EB"/>
    <w:rsid w:val="00F70AF6"/>
    <w:rsid w:val="00F70C8D"/>
    <w:rsid w:val="00F710AC"/>
    <w:rsid w:val="00F713D4"/>
    <w:rsid w:val="00F71834"/>
    <w:rsid w:val="00F72277"/>
    <w:rsid w:val="00F72F15"/>
    <w:rsid w:val="00F72F75"/>
    <w:rsid w:val="00F72FF7"/>
    <w:rsid w:val="00F73012"/>
    <w:rsid w:val="00F733C0"/>
    <w:rsid w:val="00F737FD"/>
    <w:rsid w:val="00F73F07"/>
    <w:rsid w:val="00F74E28"/>
    <w:rsid w:val="00F76879"/>
    <w:rsid w:val="00F76C3E"/>
    <w:rsid w:val="00F807F7"/>
    <w:rsid w:val="00F8080D"/>
    <w:rsid w:val="00F815AB"/>
    <w:rsid w:val="00F82A37"/>
    <w:rsid w:val="00F835B9"/>
    <w:rsid w:val="00F83B8D"/>
    <w:rsid w:val="00F84CE3"/>
    <w:rsid w:val="00F84E3B"/>
    <w:rsid w:val="00F8555A"/>
    <w:rsid w:val="00F85686"/>
    <w:rsid w:val="00F85752"/>
    <w:rsid w:val="00F8742E"/>
    <w:rsid w:val="00F90F48"/>
    <w:rsid w:val="00F917D2"/>
    <w:rsid w:val="00F92959"/>
    <w:rsid w:val="00F92A23"/>
    <w:rsid w:val="00F92A38"/>
    <w:rsid w:val="00F932FD"/>
    <w:rsid w:val="00F934F6"/>
    <w:rsid w:val="00F94072"/>
    <w:rsid w:val="00F949BD"/>
    <w:rsid w:val="00F94AE3"/>
    <w:rsid w:val="00F95021"/>
    <w:rsid w:val="00F96295"/>
    <w:rsid w:val="00F96796"/>
    <w:rsid w:val="00F97405"/>
    <w:rsid w:val="00F97AA7"/>
    <w:rsid w:val="00FA0E65"/>
    <w:rsid w:val="00FA2C81"/>
    <w:rsid w:val="00FA304D"/>
    <w:rsid w:val="00FA3AF2"/>
    <w:rsid w:val="00FA3C03"/>
    <w:rsid w:val="00FA3D5E"/>
    <w:rsid w:val="00FA4331"/>
    <w:rsid w:val="00FA458D"/>
    <w:rsid w:val="00FA4590"/>
    <w:rsid w:val="00FA4F84"/>
    <w:rsid w:val="00FA59C3"/>
    <w:rsid w:val="00FA6A3F"/>
    <w:rsid w:val="00FA73DE"/>
    <w:rsid w:val="00FA76C3"/>
    <w:rsid w:val="00FA7BE6"/>
    <w:rsid w:val="00FA7F38"/>
    <w:rsid w:val="00FB0556"/>
    <w:rsid w:val="00FB0A01"/>
    <w:rsid w:val="00FB1373"/>
    <w:rsid w:val="00FB14A2"/>
    <w:rsid w:val="00FB2785"/>
    <w:rsid w:val="00FB2A12"/>
    <w:rsid w:val="00FB2F60"/>
    <w:rsid w:val="00FB3BE6"/>
    <w:rsid w:val="00FB3DB8"/>
    <w:rsid w:val="00FB46E3"/>
    <w:rsid w:val="00FB4B6F"/>
    <w:rsid w:val="00FB4D40"/>
    <w:rsid w:val="00FB56D3"/>
    <w:rsid w:val="00FB6B57"/>
    <w:rsid w:val="00FB7101"/>
    <w:rsid w:val="00FB7C99"/>
    <w:rsid w:val="00FC1B8B"/>
    <w:rsid w:val="00FC1E3C"/>
    <w:rsid w:val="00FC5758"/>
    <w:rsid w:val="00FC5E63"/>
    <w:rsid w:val="00FC63BF"/>
    <w:rsid w:val="00FC63DC"/>
    <w:rsid w:val="00FC71DD"/>
    <w:rsid w:val="00FD187B"/>
    <w:rsid w:val="00FD1D2C"/>
    <w:rsid w:val="00FD1E30"/>
    <w:rsid w:val="00FD276A"/>
    <w:rsid w:val="00FD28C2"/>
    <w:rsid w:val="00FD3FEC"/>
    <w:rsid w:val="00FD40C5"/>
    <w:rsid w:val="00FD4235"/>
    <w:rsid w:val="00FD4536"/>
    <w:rsid w:val="00FD466A"/>
    <w:rsid w:val="00FD588E"/>
    <w:rsid w:val="00FD5B5B"/>
    <w:rsid w:val="00FD6B10"/>
    <w:rsid w:val="00FD7AE2"/>
    <w:rsid w:val="00FE3051"/>
    <w:rsid w:val="00FE3B00"/>
    <w:rsid w:val="00FE3CCD"/>
    <w:rsid w:val="00FE3D09"/>
    <w:rsid w:val="00FE3F9D"/>
    <w:rsid w:val="00FE48A2"/>
    <w:rsid w:val="00FE4C15"/>
    <w:rsid w:val="00FE5300"/>
    <w:rsid w:val="00FE5753"/>
    <w:rsid w:val="00FE5CDB"/>
    <w:rsid w:val="00FE5D89"/>
    <w:rsid w:val="00FE60B8"/>
    <w:rsid w:val="00FE7521"/>
    <w:rsid w:val="00FF01F7"/>
    <w:rsid w:val="00FF02DB"/>
    <w:rsid w:val="00FF157C"/>
    <w:rsid w:val="00FF1A64"/>
    <w:rsid w:val="00FF227F"/>
    <w:rsid w:val="00FF2EFE"/>
    <w:rsid w:val="00FF3CC4"/>
    <w:rsid w:val="00FF57B2"/>
    <w:rsid w:val="00FF59F7"/>
    <w:rsid w:val="00FF633C"/>
    <w:rsid w:val="00FF6A95"/>
    <w:rsid w:val="00FF6CCA"/>
    <w:rsid w:val="00FF7814"/>
    <w:rsid w:val="00FF79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69E2BB"/>
  <w15:docId w15:val="{43F19AF2-10A0-4BD7-A38E-95A649B10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GB" w:eastAsia="en-US" w:bidi="ar-SA"/>
      </w:rPr>
    </w:rPrDefault>
    <w:pPrDefault>
      <w:pPr>
        <w:spacing w:after="160" w:line="0" w:lineRule="auto"/>
      </w:pPr>
    </w:pPrDefault>
  </w:docDefaults>
  <w:latentStyles w:defLockedState="0" w:defUIPriority="99" w:defSemiHidden="0" w:defUnhideWhenUsed="0" w:defQFormat="0" w:count="376">
    <w:lsdException w:name="Normal" w:uiPriority="5"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uiPriority w:val="5"/>
    <w:qFormat/>
    <w:rsid w:val="00F527CC"/>
    <w:pPr>
      <w:spacing w:after="120" w:line="240" w:lineRule="atLeast"/>
    </w:pPr>
    <w:rPr>
      <w:lang w:val="en-US"/>
    </w:rPr>
  </w:style>
  <w:style w:type="paragraph" w:styleId="1">
    <w:name w:val="heading 1"/>
    <w:basedOn w:val="a2"/>
    <w:next w:val="a2"/>
    <w:link w:val="10"/>
    <w:uiPriority w:val="9"/>
    <w:qFormat/>
    <w:rsid w:val="00F527CC"/>
    <w:pPr>
      <w:keepNext/>
      <w:keepLines/>
      <w:numPr>
        <w:numId w:val="13"/>
      </w:numPr>
      <w:spacing w:before="260" w:after="1000" w:line="420" w:lineRule="atLeast"/>
      <w:outlineLvl w:val="0"/>
    </w:pPr>
    <w:rPr>
      <w:rFonts w:eastAsiaTheme="majorEastAsia" w:cs="Arial"/>
      <w:bCs/>
      <w:noProof/>
      <w:sz w:val="36"/>
      <w:szCs w:val="30"/>
    </w:rPr>
  </w:style>
  <w:style w:type="paragraph" w:styleId="21">
    <w:name w:val="heading 2"/>
    <w:basedOn w:val="a2"/>
    <w:next w:val="a2"/>
    <w:link w:val="22"/>
    <w:uiPriority w:val="9"/>
    <w:qFormat/>
    <w:rsid w:val="00F527CC"/>
    <w:pPr>
      <w:keepNext/>
      <w:keepLines/>
      <w:numPr>
        <w:ilvl w:val="1"/>
        <w:numId w:val="13"/>
      </w:numPr>
      <w:spacing w:before="260" w:after="220"/>
      <w:outlineLvl w:val="1"/>
    </w:pPr>
    <w:rPr>
      <w:rFonts w:eastAsiaTheme="majorEastAsia" w:cs="Arial"/>
      <w:b/>
      <w:bCs/>
      <w:noProof/>
    </w:rPr>
  </w:style>
  <w:style w:type="paragraph" w:styleId="31">
    <w:name w:val="heading 3"/>
    <w:basedOn w:val="a2"/>
    <w:next w:val="a2"/>
    <w:link w:val="32"/>
    <w:uiPriority w:val="9"/>
    <w:qFormat/>
    <w:rsid w:val="00F527CC"/>
    <w:pPr>
      <w:keepNext/>
      <w:keepLines/>
      <w:spacing w:before="260" w:after="220"/>
      <w:ind w:left="567" w:hanging="567"/>
      <w:outlineLvl w:val="2"/>
    </w:pPr>
    <w:rPr>
      <w:rFonts w:eastAsiaTheme="majorEastAsia" w:cs="Arial"/>
      <w:b/>
      <w:szCs w:val="24"/>
    </w:rPr>
  </w:style>
  <w:style w:type="paragraph" w:styleId="41">
    <w:name w:val="heading 4"/>
    <w:basedOn w:val="a2"/>
    <w:next w:val="a2"/>
    <w:link w:val="42"/>
    <w:uiPriority w:val="9"/>
    <w:unhideWhenUsed/>
    <w:qFormat/>
    <w:rsid w:val="00F527CC"/>
    <w:pPr>
      <w:keepNext/>
      <w:keepLines/>
      <w:spacing w:before="40" w:after="0"/>
      <w:outlineLvl w:val="3"/>
    </w:pPr>
    <w:rPr>
      <w:rFonts w:eastAsiaTheme="majorEastAsia" w:cs="Arial"/>
      <w:i/>
      <w:iCs/>
      <w:color w:val="939599" w:themeColor="accent1" w:themeShade="BF"/>
    </w:rPr>
  </w:style>
  <w:style w:type="paragraph" w:styleId="50">
    <w:name w:val="heading 5"/>
    <w:basedOn w:val="a2"/>
    <w:next w:val="a2"/>
    <w:link w:val="51"/>
    <w:uiPriority w:val="9"/>
    <w:unhideWhenUsed/>
    <w:qFormat/>
    <w:rsid w:val="00F527CC"/>
    <w:pPr>
      <w:keepNext/>
      <w:keepLines/>
      <w:spacing w:before="40" w:after="0"/>
      <w:outlineLvl w:val="4"/>
    </w:pPr>
    <w:rPr>
      <w:rFonts w:eastAsiaTheme="majorEastAsia" w:cs="Arial"/>
      <w:color w:val="939599" w:themeColor="accent1" w:themeShade="BF"/>
    </w:rPr>
  </w:style>
  <w:style w:type="paragraph" w:styleId="6">
    <w:name w:val="heading 6"/>
    <w:basedOn w:val="a2"/>
    <w:next w:val="a2"/>
    <w:link w:val="60"/>
    <w:uiPriority w:val="9"/>
    <w:semiHidden/>
    <w:unhideWhenUsed/>
    <w:qFormat/>
    <w:rsid w:val="00F527CC"/>
    <w:pPr>
      <w:keepNext/>
      <w:keepLines/>
      <w:spacing w:before="40" w:after="0"/>
      <w:outlineLvl w:val="5"/>
    </w:pPr>
    <w:rPr>
      <w:rFonts w:eastAsiaTheme="majorEastAsia" w:cs="Arial"/>
      <w:color w:val="616266" w:themeColor="accent1" w:themeShade="7F"/>
    </w:rPr>
  </w:style>
  <w:style w:type="paragraph" w:styleId="7">
    <w:name w:val="heading 7"/>
    <w:basedOn w:val="a2"/>
    <w:next w:val="a2"/>
    <w:link w:val="70"/>
    <w:uiPriority w:val="9"/>
    <w:semiHidden/>
    <w:unhideWhenUsed/>
    <w:qFormat/>
    <w:rsid w:val="00F527CC"/>
    <w:pPr>
      <w:keepNext/>
      <w:keepLines/>
      <w:spacing w:before="40" w:after="0"/>
      <w:outlineLvl w:val="6"/>
    </w:pPr>
    <w:rPr>
      <w:rFonts w:eastAsiaTheme="majorEastAsia" w:cs="Arial"/>
      <w:i/>
      <w:iCs/>
      <w:color w:val="616266" w:themeColor="accent1" w:themeShade="7F"/>
    </w:rPr>
  </w:style>
  <w:style w:type="paragraph" w:styleId="8">
    <w:name w:val="heading 8"/>
    <w:basedOn w:val="a2"/>
    <w:next w:val="a2"/>
    <w:link w:val="80"/>
    <w:uiPriority w:val="9"/>
    <w:semiHidden/>
    <w:unhideWhenUsed/>
    <w:qFormat/>
    <w:rsid w:val="00F527CC"/>
    <w:pPr>
      <w:keepNext/>
      <w:keepLines/>
      <w:spacing w:before="40" w:after="0"/>
      <w:outlineLvl w:val="7"/>
    </w:pPr>
    <w:rPr>
      <w:rFonts w:eastAsiaTheme="majorEastAsia" w:cs="Arial"/>
      <w:color w:val="5D5D5D" w:themeColor="text1" w:themeTint="D8"/>
      <w:sz w:val="21"/>
      <w:szCs w:val="21"/>
    </w:rPr>
  </w:style>
  <w:style w:type="paragraph" w:styleId="9">
    <w:name w:val="heading 9"/>
    <w:basedOn w:val="a2"/>
    <w:next w:val="a2"/>
    <w:link w:val="90"/>
    <w:uiPriority w:val="9"/>
    <w:semiHidden/>
    <w:unhideWhenUsed/>
    <w:qFormat/>
    <w:rsid w:val="00F527CC"/>
    <w:pPr>
      <w:keepNext/>
      <w:keepLines/>
      <w:spacing w:before="40" w:after="0"/>
      <w:outlineLvl w:val="8"/>
    </w:pPr>
    <w:rPr>
      <w:rFonts w:eastAsiaTheme="majorEastAsia" w:cs="Arial"/>
      <w:i/>
      <w:iCs/>
      <w:color w:val="5D5D5D"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rsid w:val="00F527CC"/>
    <w:pPr>
      <w:tabs>
        <w:tab w:val="center" w:pos="4513"/>
        <w:tab w:val="right" w:pos="9026"/>
      </w:tabs>
      <w:spacing w:after="220" w:line="240" w:lineRule="auto"/>
    </w:pPr>
  </w:style>
  <w:style w:type="character" w:customStyle="1" w:styleId="a7">
    <w:name w:val="Верхний колонтитул Знак"/>
    <w:basedOn w:val="a3"/>
    <w:link w:val="a6"/>
    <w:uiPriority w:val="99"/>
    <w:rsid w:val="00F527CC"/>
    <w:rPr>
      <w:lang w:val="en-US"/>
    </w:rPr>
  </w:style>
  <w:style w:type="paragraph" w:styleId="a8">
    <w:name w:val="footer"/>
    <w:basedOn w:val="a2"/>
    <w:link w:val="a9"/>
    <w:rsid w:val="00F527CC"/>
    <w:pPr>
      <w:tabs>
        <w:tab w:val="right" w:pos="9638"/>
      </w:tabs>
      <w:spacing w:after="0" w:line="240" w:lineRule="auto"/>
    </w:pPr>
    <w:rPr>
      <w:sz w:val="16"/>
      <w:szCs w:val="16"/>
    </w:rPr>
  </w:style>
  <w:style w:type="character" w:customStyle="1" w:styleId="a9">
    <w:name w:val="Нижний колонтитул Знак"/>
    <w:basedOn w:val="a3"/>
    <w:link w:val="a8"/>
    <w:uiPriority w:val="99"/>
    <w:rsid w:val="00F527CC"/>
    <w:rPr>
      <w:sz w:val="16"/>
      <w:szCs w:val="16"/>
      <w:lang w:val="en-US"/>
    </w:rPr>
  </w:style>
  <w:style w:type="table" w:styleId="aa">
    <w:name w:val="Table Grid"/>
    <w:basedOn w:val="a4"/>
    <w:uiPriority w:val="39"/>
    <w:rsid w:val="00F52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a2"/>
    <w:semiHidden/>
    <w:qFormat/>
    <w:rsid w:val="00F527CC"/>
    <w:pPr>
      <w:spacing w:after="0" w:line="180" w:lineRule="atLeast"/>
    </w:pPr>
    <w:rPr>
      <w:noProof/>
      <w:sz w:val="15"/>
    </w:rPr>
  </w:style>
  <w:style w:type="paragraph" w:customStyle="1" w:styleId="Ourref">
    <w:name w:val="Our ref"/>
    <w:basedOn w:val="a2"/>
    <w:uiPriority w:val="1"/>
    <w:semiHidden/>
    <w:rsid w:val="00F527CC"/>
    <w:pPr>
      <w:spacing w:after="520"/>
    </w:pPr>
  </w:style>
  <w:style w:type="paragraph" w:styleId="ab">
    <w:name w:val="Date"/>
    <w:basedOn w:val="a2"/>
    <w:next w:val="a2"/>
    <w:link w:val="ac"/>
    <w:uiPriority w:val="2"/>
    <w:semiHidden/>
    <w:rsid w:val="00F527CC"/>
    <w:pPr>
      <w:spacing w:before="520" w:after="520"/>
    </w:pPr>
  </w:style>
  <w:style w:type="character" w:customStyle="1" w:styleId="ac">
    <w:name w:val="Дата Знак"/>
    <w:basedOn w:val="a3"/>
    <w:link w:val="ab"/>
    <w:uiPriority w:val="2"/>
    <w:semiHidden/>
    <w:rsid w:val="00F527CC"/>
    <w:rPr>
      <w:lang w:val="en-US"/>
    </w:rPr>
  </w:style>
  <w:style w:type="paragraph" w:customStyle="1" w:styleId="RecipientAddress">
    <w:name w:val="Recipient Address"/>
    <w:basedOn w:val="a2"/>
    <w:semiHidden/>
    <w:qFormat/>
    <w:rsid w:val="00F527CC"/>
    <w:pPr>
      <w:spacing w:after="0"/>
    </w:pPr>
  </w:style>
  <w:style w:type="paragraph" w:customStyle="1" w:styleId="Yours">
    <w:name w:val="Yours"/>
    <w:basedOn w:val="a2"/>
    <w:next w:val="Author"/>
    <w:uiPriority w:val="6"/>
    <w:semiHidden/>
    <w:qFormat/>
    <w:rsid w:val="00F527CC"/>
    <w:pPr>
      <w:keepNext/>
      <w:keepLines/>
      <w:spacing w:before="520" w:after="1000" w:line="276" w:lineRule="auto"/>
    </w:pPr>
    <w:rPr>
      <w:szCs w:val="20"/>
    </w:rPr>
  </w:style>
  <w:style w:type="paragraph" w:customStyle="1" w:styleId="Author">
    <w:name w:val="Author"/>
    <w:basedOn w:val="a2"/>
    <w:next w:val="JobTitle"/>
    <w:uiPriority w:val="7"/>
    <w:semiHidden/>
    <w:qFormat/>
    <w:rsid w:val="00F527CC"/>
    <w:pPr>
      <w:keepNext/>
      <w:keepLines/>
      <w:spacing w:after="0" w:line="276" w:lineRule="auto"/>
    </w:pPr>
    <w:rPr>
      <w:szCs w:val="20"/>
    </w:rPr>
  </w:style>
  <w:style w:type="paragraph" w:customStyle="1" w:styleId="JobTitle">
    <w:name w:val="JobTitle"/>
    <w:basedOn w:val="a2"/>
    <w:uiPriority w:val="8"/>
    <w:semiHidden/>
    <w:qFormat/>
    <w:rsid w:val="00F527CC"/>
    <w:pPr>
      <w:keepNext/>
      <w:keepLines/>
      <w:spacing w:after="240" w:line="276" w:lineRule="auto"/>
      <w:contextualSpacing/>
    </w:pPr>
    <w:rPr>
      <w:szCs w:val="20"/>
    </w:rPr>
  </w:style>
  <w:style w:type="paragraph" w:customStyle="1" w:styleId="Dear">
    <w:name w:val="Dear"/>
    <w:basedOn w:val="a2"/>
    <w:next w:val="a2"/>
    <w:uiPriority w:val="4"/>
    <w:semiHidden/>
    <w:rsid w:val="00F527CC"/>
    <w:pPr>
      <w:spacing w:before="520" w:after="260"/>
    </w:pPr>
  </w:style>
  <w:style w:type="character" w:customStyle="1" w:styleId="Subject">
    <w:name w:val="Subject"/>
    <w:basedOn w:val="a3"/>
    <w:uiPriority w:val="1"/>
    <w:semiHidden/>
    <w:rsid w:val="00F527CC"/>
    <w:rPr>
      <w:b/>
      <w:caps/>
      <w:smallCaps w:val="0"/>
      <w:lang w:val="en-US"/>
    </w:rPr>
  </w:style>
  <w:style w:type="table" w:customStyle="1" w:styleId="GlobalFund">
    <w:name w:val="Global Fund"/>
    <w:basedOn w:val="a4"/>
    <w:uiPriority w:val="99"/>
    <w:rsid w:val="00F527CC"/>
    <w:pPr>
      <w:spacing w:after="0" w:line="240" w:lineRule="auto"/>
    </w:pPr>
    <w:rPr>
      <w:color w:val="828282" w:themeColor="text1" w:themeTint="A6"/>
    </w:rPr>
    <w:tblPr>
      <w:tblStyleRowBandSize w:val="1"/>
      <w:tblCellMar>
        <w:left w:w="0" w:type="dxa"/>
      </w:tblCellMar>
    </w:tblPr>
    <w:tcPr>
      <w:vAlign w:val="center"/>
    </w:tcPr>
    <w:tblStylePr w:type="firstRow">
      <w:pPr>
        <w:jc w:val="left"/>
      </w:pPr>
      <w:rPr>
        <w:rFonts w:ascii="Arial" w:hAnsi="Arial"/>
        <w:b w:val="0"/>
        <w:i w:val="0"/>
        <w:caps/>
        <w:smallCaps w:val="0"/>
        <w:color w:val="6F6F6F" w:themeColor="text1" w:themeTint="BF"/>
      </w:rPr>
      <w:tblPr/>
      <w:tcPr>
        <w:tcBorders>
          <w:bottom w:val="single" w:sz="6" w:space="0" w:color="6F6F6F" w:themeColor="text1" w:themeTint="BF"/>
        </w:tcBorders>
      </w:tcPr>
    </w:tblStylePr>
    <w:tblStylePr w:type="lastRow">
      <w:pPr>
        <w:jc w:val="left"/>
      </w:pPr>
      <w:rPr>
        <w:rFonts w:ascii="Arial" w:hAnsi="Arial"/>
        <w:color w:val="404040" w:themeColor="text1"/>
      </w:rPr>
      <w:tblPr/>
      <w:tcPr>
        <w:tcBorders>
          <w:top w:val="single" w:sz="6" w:space="0" w:color="5C5C5C" w:themeColor="text1" w:themeTint="D9"/>
          <w:left w:val="nil"/>
          <w:bottom w:val="single" w:sz="6" w:space="0" w:color="5C5C5C" w:themeColor="text1" w:themeTint="D9"/>
          <w:right w:val="nil"/>
          <w:insideH w:val="nil"/>
          <w:insideV w:val="nil"/>
          <w:tl2br w:val="nil"/>
          <w:tr2bl w:val="nil"/>
        </w:tcBorders>
      </w:tcPr>
    </w:tblStylePr>
    <w:tblStylePr w:type="band1Horz">
      <w:pPr>
        <w:jc w:val="left"/>
      </w:pPr>
      <w:rPr>
        <w:color w:val="6F6F6F"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828282" w:themeColor="text1" w:themeTint="A6"/>
      </w:rPr>
      <w:tblPr/>
      <w:tcPr>
        <w:tcBorders>
          <w:top w:val="nil"/>
          <w:left w:val="nil"/>
          <w:bottom w:val="single" w:sz="2" w:space="0" w:color="BFBFBF" w:themeColor="background1" w:themeShade="BF"/>
          <w:right w:val="nil"/>
          <w:insideH w:val="nil"/>
          <w:insideV w:val="nil"/>
          <w:tl2br w:val="nil"/>
          <w:tr2bl w:val="nil"/>
        </w:tcBorders>
      </w:tcPr>
    </w:tblStylePr>
  </w:style>
  <w:style w:type="character" w:customStyle="1" w:styleId="10">
    <w:name w:val="Заголовок 1 Знак"/>
    <w:basedOn w:val="a3"/>
    <w:link w:val="1"/>
    <w:uiPriority w:val="9"/>
    <w:rsid w:val="00F527CC"/>
    <w:rPr>
      <w:rFonts w:eastAsiaTheme="majorEastAsia" w:cs="Arial"/>
      <w:bCs/>
      <w:noProof/>
      <w:sz w:val="36"/>
      <w:szCs w:val="30"/>
      <w:lang w:val="en-US"/>
    </w:rPr>
  </w:style>
  <w:style w:type="character" w:customStyle="1" w:styleId="22">
    <w:name w:val="Заголовок 2 Знак"/>
    <w:basedOn w:val="a3"/>
    <w:link w:val="21"/>
    <w:uiPriority w:val="9"/>
    <w:rsid w:val="00F527CC"/>
    <w:rPr>
      <w:rFonts w:eastAsiaTheme="majorEastAsia" w:cs="Arial"/>
      <w:b/>
      <w:bCs/>
      <w:noProof/>
      <w:lang w:val="en-US"/>
    </w:rPr>
  </w:style>
  <w:style w:type="paragraph" w:customStyle="1" w:styleId="NormalNoSpace">
    <w:name w:val="NormalNoSpace"/>
    <w:basedOn w:val="a2"/>
    <w:next w:val="a2"/>
    <w:uiPriority w:val="5"/>
    <w:qFormat/>
    <w:rsid w:val="00F527CC"/>
    <w:pPr>
      <w:spacing w:after="0"/>
    </w:pPr>
  </w:style>
  <w:style w:type="paragraph" w:customStyle="1" w:styleId="Note">
    <w:name w:val="Note"/>
    <w:basedOn w:val="a2"/>
    <w:next w:val="a2"/>
    <w:uiPriority w:val="29"/>
    <w:qFormat/>
    <w:rsid w:val="00F527CC"/>
    <w:pPr>
      <w:spacing w:line="220" w:lineRule="atLeast"/>
    </w:pPr>
    <w:rPr>
      <w:sz w:val="16"/>
      <w:szCs w:val="16"/>
    </w:rPr>
  </w:style>
  <w:style w:type="paragraph" w:styleId="ad">
    <w:name w:val="footnote text"/>
    <w:aliases w:val="fn,Footnote ak,footnote text,fn Char,footnote text Char,Footnotes Char,Footnote ak Char,ft,fn cafc,Footnotes Char Char,Footnote Text Char Char,fn Char Char,footnote text Char Char Char Ch,Footnote Text English,single space,FOOTNOTES,Car"/>
    <w:basedOn w:val="a2"/>
    <w:link w:val="ae"/>
    <w:unhideWhenUsed/>
    <w:rsid w:val="00F527CC"/>
    <w:pPr>
      <w:spacing w:after="0" w:line="240" w:lineRule="auto"/>
    </w:pPr>
    <w:rPr>
      <w:sz w:val="16"/>
      <w:szCs w:val="20"/>
    </w:rPr>
  </w:style>
  <w:style w:type="character" w:customStyle="1" w:styleId="ae">
    <w:name w:val="Текст сноски Знак"/>
    <w:aliases w:val="fn Знак,Footnote ak Знак,footnote text Знак,fn Char Знак,footnote text Char Знак,Footnotes Char Знак,Footnote ak Char Знак,ft Знак,fn cafc Знак,Footnotes Char Char Знак,Footnote Text Char Char Знак,fn Char Char Знак,single space Знак"/>
    <w:basedOn w:val="a3"/>
    <w:link w:val="ad"/>
    <w:rsid w:val="00F527CC"/>
    <w:rPr>
      <w:sz w:val="16"/>
      <w:szCs w:val="20"/>
      <w:lang w:val="en-US"/>
    </w:rPr>
  </w:style>
  <w:style w:type="character" w:styleId="af">
    <w:name w:val="footnote reference"/>
    <w:aliases w:val="ftref,Footnote text,16 Point,Superscript 6 Point,Superscript 6 Point + 11 pt,BVI fnr,BVI fnr Car Car,BVI fnr Car,BVI fnr Car Car Car Car,Ref,de nota al pie, BVI fnr, BVI fnr Car Car, BVI fnr Car Car Car Car, Car1,Car1,4_G,fr"/>
    <w:basedOn w:val="a3"/>
    <w:link w:val="Char2"/>
    <w:unhideWhenUsed/>
    <w:rsid w:val="00F527CC"/>
    <w:rPr>
      <w:vertAlign w:val="superscript"/>
      <w:lang w:val="en-US"/>
    </w:rPr>
  </w:style>
  <w:style w:type="paragraph" w:styleId="af0">
    <w:name w:val="No Spacing"/>
    <w:uiPriority w:val="1"/>
    <w:qFormat/>
    <w:rsid w:val="00F527CC"/>
    <w:pPr>
      <w:spacing w:after="0" w:line="240" w:lineRule="auto"/>
    </w:pPr>
    <w:rPr>
      <w:lang w:val="en-US"/>
    </w:rPr>
  </w:style>
  <w:style w:type="paragraph" w:styleId="af1">
    <w:name w:val="endnote text"/>
    <w:basedOn w:val="a2"/>
    <w:link w:val="af2"/>
    <w:uiPriority w:val="99"/>
    <w:unhideWhenUsed/>
    <w:rsid w:val="00F527CC"/>
    <w:pPr>
      <w:spacing w:after="0" w:line="240" w:lineRule="auto"/>
    </w:pPr>
    <w:rPr>
      <w:sz w:val="16"/>
      <w:szCs w:val="16"/>
    </w:rPr>
  </w:style>
  <w:style w:type="character" w:customStyle="1" w:styleId="af2">
    <w:name w:val="Текст концевой сноски Знак"/>
    <w:basedOn w:val="a3"/>
    <w:link w:val="af1"/>
    <w:uiPriority w:val="99"/>
    <w:rsid w:val="00F527CC"/>
    <w:rPr>
      <w:sz w:val="16"/>
      <w:szCs w:val="16"/>
      <w:lang w:val="en-US"/>
    </w:rPr>
  </w:style>
  <w:style w:type="character" w:styleId="af3">
    <w:name w:val="endnote reference"/>
    <w:basedOn w:val="a3"/>
    <w:uiPriority w:val="99"/>
    <w:unhideWhenUsed/>
    <w:rsid w:val="00F527CC"/>
    <w:rPr>
      <w:vertAlign w:val="superscript"/>
      <w:lang w:val="en-US"/>
    </w:rPr>
  </w:style>
  <w:style w:type="table" w:customStyle="1" w:styleId="GlobalFund1">
    <w:name w:val="Global Fund 1"/>
    <w:basedOn w:val="GlobalFund"/>
    <w:uiPriority w:val="99"/>
    <w:rsid w:val="00F527CC"/>
    <w:rPr>
      <w:color w:val="6F6F6F" w:themeColor="text1" w:themeTint="BF"/>
    </w:rPr>
    <w:tblPr>
      <w:tblCellMar>
        <w:top w:w="108" w:type="dxa"/>
        <w:bottom w:w="108" w:type="dxa"/>
      </w:tblCellMar>
    </w:tblPr>
    <w:tblStylePr w:type="firstRow">
      <w:pPr>
        <w:jc w:val="left"/>
      </w:pPr>
      <w:rPr>
        <w:rFonts w:ascii="Arial" w:hAnsi="Arial"/>
        <w:b w:val="0"/>
        <w:i w:val="0"/>
        <w:caps/>
        <w:smallCaps w:val="0"/>
        <w:color w:val="6F6F6F" w:themeColor="text1" w:themeTint="BF"/>
      </w:rPr>
      <w:tblPr/>
      <w:tcPr>
        <w:tcBorders>
          <w:bottom w:val="single" w:sz="6" w:space="0" w:color="6F6F6F" w:themeColor="text1" w:themeTint="BF"/>
        </w:tcBorders>
      </w:tcPr>
    </w:tblStylePr>
    <w:tblStylePr w:type="lastRow">
      <w:pPr>
        <w:jc w:val="left"/>
      </w:pPr>
      <w:rPr>
        <w:rFonts w:ascii="Arial" w:hAnsi="Arial"/>
        <w:color w:val="404040" w:themeColor="text1"/>
      </w:rPr>
      <w:tblPr/>
      <w:tcPr>
        <w:tcBorders>
          <w:top w:val="single" w:sz="6" w:space="0" w:color="404040" w:themeColor="text1"/>
          <w:left w:val="nil"/>
          <w:bottom w:val="single" w:sz="6" w:space="0" w:color="404040" w:themeColor="text1"/>
          <w:right w:val="nil"/>
          <w:insideH w:val="nil"/>
          <w:insideV w:val="nil"/>
          <w:tl2br w:val="nil"/>
          <w:tr2bl w:val="nil"/>
        </w:tcBorders>
      </w:tcPr>
    </w:tblStylePr>
    <w:tblStylePr w:type="band1Horz">
      <w:pPr>
        <w:jc w:val="left"/>
      </w:pPr>
      <w:rPr>
        <w:color w:val="6F6F6F"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6F6F6F" w:themeColor="text1" w:themeTint="BF"/>
      </w:rPr>
      <w:tblPr/>
      <w:tcPr>
        <w:tcBorders>
          <w:top w:val="nil"/>
          <w:left w:val="nil"/>
          <w:bottom w:val="single" w:sz="2" w:space="0" w:color="BFBFBF" w:themeColor="background1" w:themeShade="BF"/>
          <w:right w:val="nil"/>
          <w:insideH w:val="nil"/>
          <w:insideV w:val="nil"/>
          <w:tl2br w:val="nil"/>
          <w:tr2bl w:val="nil"/>
        </w:tcBorders>
      </w:tcPr>
    </w:tblStylePr>
  </w:style>
  <w:style w:type="paragraph" w:customStyle="1" w:styleId="TableTrailer">
    <w:name w:val="TableTrailer"/>
    <w:basedOn w:val="a2"/>
    <w:next w:val="a2"/>
    <w:uiPriority w:val="15"/>
    <w:semiHidden/>
    <w:rsid w:val="00F527CC"/>
    <w:pPr>
      <w:spacing w:after="0" w:line="240" w:lineRule="auto"/>
    </w:pPr>
    <w:rPr>
      <w:noProof/>
      <w:sz w:val="2"/>
    </w:rPr>
  </w:style>
  <w:style w:type="character" w:styleId="af4">
    <w:name w:val="Placeholder Text"/>
    <w:basedOn w:val="a3"/>
    <w:uiPriority w:val="99"/>
    <w:semiHidden/>
    <w:rsid w:val="00F527CC"/>
    <w:rPr>
      <w:color w:val="808080"/>
      <w:lang w:val="en-US"/>
    </w:rPr>
  </w:style>
  <w:style w:type="paragraph" w:customStyle="1" w:styleId="AddressTopLine">
    <w:name w:val="AddressTopLine"/>
    <w:basedOn w:val="Address"/>
    <w:semiHidden/>
    <w:qFormat/>
    <w:rsid w:val="00F527CC"/>
    <w:pPr>
      <w:spacing w:after="180"/>
      <w:contextualSpacing/>
    </w:pPr>
  </w:style>
  <w:style w:type="paragraph" w:customStyle="1" w:styleId="AddressTopLineSmall">
    <w:name w:val="AddressTopLineSmall"/>
    <w:basedOn w:val="AddressTopLine"/>
    <w:semiHidden/>
    <w:qFormat/>
    <w:rsid w:val="00F527CC"/>
    <w:pPr>
      <w:spacing w:line="140" w:lineRule="atLeast"/>
    </w:pPr>
    <w:rPr>
      <w:sz w:val="12"/>
    </w:rPr>
  </w:style>
  <w:style w:type="paragraph" w:customStyle="1" w:styleId="AddressSmall">
    <w:name w:val="AddressSmall"/>
    <w:basedOn w:val="Address"/>
    <w:semiHidden/>
    <w:qFormat/>
    <w:rsid w:val="00F527CC"/>
    <w:pPr>
      <w:spacing w:line="140" w:lineRule="atLeast"/>
    </w:pPr>
    <w:rPr>
      <w:sz w:val="12"/>
    </w:rPr>
  </w:style>
  <w:style w:type="paragraph" w:customStyle="1" w:styleId="Tiny">
    <w:name w:val="Tiny"/>
    <w:basedOn w:val="a2"/>
    <w:uiPriority w:val="15"/>
    <w:semiHidden/>
    <w:qFormat/>
    <w:rsid w:val="00F527CC"/>
    <w:pPr>
      <w:spacing w:after="0" w:line="240" w:lineRule="auto"/>
    </w:pPr>
    <w:rPr>
      <w:sz w:val="2"/>
    </w:rPr>
  </w:style>
  <w:style w:type="paragraph" w:styleId="af5">
    <w:name w:val="Title"/>
    <w:basedOn w:val="a2"/>
    <w:next w:val="af6"/>
    <w:link w:val="af7"/>
    <w:qFormat/>
    <w:rsid w:val="00F527CC"/>
    <w:pPr>
      <w:spacing w:after="567" w:line="240" w:lineRule="auto"/>
      <w:contextualSpacing/>
    </w:pPr>
    <w:rPr>
      <w:rFonts w:eastAsiaTheme="majorEastAsia" w:cstheme="majorBidi"/>
      <w:kern w:val="28"/>
      <w:sz w:val="48"/>
      <w:szCs w:val="48"/>
    </w:rPr>
  </w:style>
  <w:style w:type="character" w:customStyle="1" w:styleId="af7">
    <w:name w:val="Заголовок Знак"/>
    <w:basedOn w:val="a3"/>
    <w:link w:val="af5"/>
    <w:rsid w:val="00F527CC"/>
    <w:rPr>
      <w:rFonts w:eastAsiaTheme="majorEastAsia" w:cstheme="majorBidi"/>
      <w:kern w:val="28"/>
      <w:sz w:val="48"/>
      <w:szCs w:val="48"/>
      <w:lang w:val="en-US"/>
    </w:rPr>
  </w:style>
  <w:style w:type="paragraph" w:styleId="af6">
    <w:name w:val="Subtitle"/>
    <w:basedOn w:val="a2"/>
    <w:next w:val="a2"/>
    <w:link w:val="af8"/>
    <w:qFormat/>
    <w:rsid w:val="00F527CC"/>
    <w:pPr>
      <w:numPr>
        <w:ilvl w:val="1"/>
      </w:numPr>
      <w:spacing w:line="440" w:lineRule="atLeast"/>
    </w:pPr>
    <w:rPr>
      <w:rFonts w:eastAsiaTheme="minorEastAsia"/>
      <w:spacing w:val="15"/>
      <w:sz w:val="36"/>
      <w:szCs w:val="36"/>
    </w:rPr>
  </w:style>
  <w:style w:type="character" w:customStyle="1" w:styleId="af8">
    <w:name w:val="Подзаголовок Знак"/>
    <w:basedOn w:val="a3"/>
    <w:link w:val="af6"/>
    <w:rsid w:val="00F527CC"/>
    <w:rPr>
      <w:rFonts w:eastAsiaTheme="minorEastAsia"/>
      <w:spacing w:val="15"/>
      <w:sz w:val="36"/>
      <w:szCs w:val="36"/>
      <w:lang w:val="en-US"/>
    </w:rPr>
  </w:style>
  <w:style w:type="paragraph" w:customStyle="1" w:styleId="Bullet1">
    <w:name w:val="Bullet 1"/>
    <w:basedOn w:val="a2"/>
    <w:uiPriority w:val="32"/>
    <w:qFormat/>
    <w:rsid w:val="00F527CC"/>
    <w:pPr>
      <w:numPr>
        <w:numId w:val="11"/>
      </w:numPr>
      <w:spacing w:after="160" w:line="260" w:lineRule="atLeast"/>
    </w:pPr>
    <w:rPr>
      <w:szCs w:val="20"/>
    </w:rPr>
  </w:style>
  <w:style w:type="paragraph" w:customStyle="1" w:styleId="Bullet2">
    <w:name w:val="Bullet 2"/>
    <w:basedOn w:val="a2"/>
    <w:uiPriority w:val="32"/>
    <w:qFormat/>
    <w:rsid w:val="00F527CC"/>
    <w:pPr>
      <w:numPr>
        <w:ilvl w:val="1"/>
        <w:numId w:val="11"/>
      </w:numPr>
      <w:spacing w:after="160" w:line="260" w:lineRule="atLeast"/>
    </w:pPr>
    <w:rPr>
      <w:szCs w:val="20"/>
    </w:rPr>
  </w:style>
  <w:style w:type="numbering" w:customStyle="1" w:styleId="NumbLstBullet">
    <w:name w:val="NumbLstBullet"/>
    <w:uiPriority w:val="99"/>
    <w:rsid w:val="00F527CC"/>
    <w:pPr>
      <w:numPr>
        <w:numId w:val="11"/>
      </w:numPr>
    </w:pPr>
  </w:style>
  <w:style w:type="paragraph" w:customStyle="1" w:styleId="AlphaList1">
    <w:name w:val="AlphaList 1"/>
    <w:basedOn w:val="a2"/>
    <w:uiPriority w:val="31"/>
    <w:qFormat/>
    <w:rsid w:val="00F527CC"/>
    <w:pPr>
      <w:numPr>
        <w:numId w:val="14"/>
      </w:numPr>
      <w:spacing w:after="160" w:line="260" w:lineRule="atLeast"/>
    </w:pPr>
    <w:rPr>
      <w:szCs w:val="20"/>
    </w:rPr>
  </w:style>
  <w:style w:type="paragraph" w:customStyle="1" w:styleId="AlphaList2">
    <w:name w:val="AlphaList 2"/>
    <w:basedOn w:val="a2"/>
    <w:uiPriority w:val="31"/>
    <w:qFormat/>
    <w:rsid w:val="00F527CC"/>
    <w:pPr>
      <w:numPr>
        <w:ilvl w:val="1"/>
        <w:numId w:val="14"/>
      </w:numPr>
      <w:spacing w:after="160" w:line="260" w:lineRule="atLeast"/>
    </w:pPr>
    <w:rPr>
      <w:szCs w:val="20"/>
    </w:rPr>
  </w:style>
  <w:style w:type="numbering" w:customStyle="1" w:styleId="NumbListAlpha">
    <w:name w:val="NumbListAlpha"/>
    <w:uiPriority w:val="99"/>
    <w:rsid w:val="00F527CC"/>
    <w:pPr>
      <w:numPr>
        <w:numId w:val="12"/>
      </w:numPr>
    </w:pPr>
  </w:style>
  <w:style w:type="paragraph" w:customStyle="1" w:styleId="Bullet3">
    <w:name w:val="Bullet 3"/>
    <w:basedOn w:val="a2"/>
    <w:uiPriority w:val="32"/>
    <w:rsid w:val="00F527CC"/>
    <w:pPr>
      <w:numPr>
        <w:ilvl w:val="2"/>
        <w:numId w:val="11"/>
      </w:numPr>
      <w:jc w:val="both"/>
    </w:pPr>
    <w:rPr>
      <w:szCs w:val="20"/>
    </w:rPr>
  </w:style>
  <w:style w:type="numbering" w:customStyle="1" w:styleId="NumHeadingsLst">
    <w:name w:val="NumHeadingsLst"/>
    <w:uiPriority w:val="99"/>
    <w:rsid w:val="00F527CC"/>
    <w:pPr>
      <w:numPr>
        <w:numId w:val="13"/>
      </w:numPr>
    </w:pPr>
  </w:style>
  <w:style w:type="paragraph" w:styleId="23">
    <w:name w:val="Quote"/>
    <w:basedOn w:val="a2"/>
    <w:next w:val="a2"/>
    <w:link w:val="24"/>
    <w:uiPriority w:val="39"/>
    <w:unhideWhenUsed/>
    <w:qFormat/>
    <w:rsid w:val="00F527CC"/>
    <w:pPr>
      <w:spacing w:before="200"/>
      <w:ind w:left="794" w:right="794"/>
    </w:pPr>
  </w:style>
  <w:style w:type="character" w:customStyle="1" w:styleId="24">
    <w:name w:val="Цитата 2 Знак"/>
    <w:basedOn w:val="a3"/>
    <w:link w:val="23"/>
    <w:uiPriority w:val="39"/>
    <w:rsid w:val="00F527CC"/>
    <w:rPr>
      <w:lang w:val="en-US"/>
    </w:rPr>
  </w:style>
  <w:style w:type="paragraph" w:styleId="11">
    <w:name w:val="toc 1"/>
    <w:basedOn w:val="a2"/>
    <w:next w:val="a2"/>
    <w:autoRedefine/>
    <w:uiPriority w:val="39"/>
    <w:rsid w:val="00F527CC"/>
    <w:pPr>
      <w:tabs>
        <w:tab w:val="left" w:pos="567"/>
        <w:tab w:val="right" w:pos="9628"/>
      </w:tabs>
      <w:spacing w:before="540" w:after="100" w:line="420" w:lineRule="atLeast"/>
      <w:ind w:left="567" w:right="567" w:hanging="567"/>
    </w:pPr>
    <w:rPr>
      <w:noProof/>
      <w:sz w:val="36"/>
      <w:szCs w:val="36"/>
    </w:rPr>
  </w:style>
  <w:style w:type="paragraph" w:styleId="25">
    <w:name w:val="toc 2"/>
    <w:basedOn w:val="a2"/>
    <w:next w:val="a2"/>
    <w:autoRedefine/>
    <w:uiPriority w:val="39"/>
    <w:rsid w:val="00F527CC"/>
    <w:pPr>
      <w:tabs>
        <w:tab w:val="left" w:pos="567"/>
      </w:tabs>
      <w:spacing w:after="100" w:line="300" w:lineRule="atLeast"/>
      <w:ind w:left="567" w:right="567" w:hanging="567"/>
    </w:pPr>
    <w:rPr>
      <w:szCs w:val="20"/>
    </w:rPr>
  </w:style>
  <w:style w:type="character" w:styleId="af9">
    <w:name w:val="Hyperlink"/>
    <w:basedOn w:val="a3"/>
    <w:uiPriority w:val="99"/>
    <w:rsid w:val="00F527CC"/>
    <w:rPr>
      <w:color w:val="0563C1" w:themeColor="hyperlink"/>
      <w:u w:val="single"/>
      <w:lang w:val="en-US"/>
    </w:rPr>
  </w:style>
  <w:style w:type="paragraph" w:styleId="33">
    <w:name w:val="toc 3"/>
    <w:basedOn w:val="a2"/>
    <w:next w:val="a2"/>
    <w:autoRedefine/>
    <w:uiPriority w:val="39"/>
    <w:unhideWhenUsed/>
    <w:rsid w:val="00F527CC"/>
    <w:pPr>
      <w:spacing w:after="100"/>
      <w:ind w:left="440"/>
    </w:pPr>
  </w:style>
  <w:style w:type="paragraph" w:styleId="43">
    <w:name w:val="toc 4"/>
    <w:basedOn w:val="a2"/>
    <w:next w:val="a2"/>
    <w:autoRedefine/>
    <w:uiPriority w:val="39"/>
    <w:unhideWhenUsed/>
    <w:rsid w:val="00F527CC"/>
    <w:pPr>
      <w:spacing w:after="100"/>
      <w:ind w:left="660"/>
    </w:pPr>
  </w:style>
  <w:style w:type="paragraph" w:customStyle="1" w:styleId="Heading1NonNumbNoTOC">
    <w:name w:val="Heading 1 Non Numb No TOC"/>
    <w:basedOn w:val="a2"/>
    <w:next w:val="a2"/>
    <w:uiPriority w:val="10"/>
    <w:unhideWhenUsed/>
    <w:qFormat/>
    <w:rsid w:val="00F527CC"/>
    <w:pPr>
      <w:keepNext/>
      <w:pageBreakBefore/>
      <w:spacing w:before="260" w:after="1000" w:line="420" w:lineRule="atLeast"/>
    </w:pPr>
    <w:rPr>
      <w:rFonts w:cs="Arial"/>
      <w:sz w:val="36"/>
      <w:szCs w:val="36"/>
    </w:rPr>
  </w:style>
  <w:style w:type="paragraph" w:customStyle="1" w:styleId="CoverPageTitle">
    <w:name w:val="Cover Page Title"/>
    <w:basedOn w:val="a2"/>
    <w:uiPriority w:val="53"/>
    <w:qFormat/>
    <w:rsid w:val="00F527CC"/>
    <w:pPr>
      <w:spacing w:before="200" w:after="200"/>
      <w:contextualSpacing/>
      <w:jc w:val="center"/>
    </w:pPr>
    <w:rPr>
      <w:bCs/>
      <w:color w:val="1E1E1E" w:themeColor="background2"/>
      <w:kern w:val="40"/>
      <w:sz w:val="80"/>
      <w:szCs w:val="80"/>
    </w:rPr>
  </w:style>
  <w:style w:type="paragraph" w:customStyle="1" w:styleId="CoverPageDate">
    <w:name w:val="Cover Page Date"/>
    <w:basedOn w:val="a2"/>
    <w:uiPriority w:val="53"/>
    <w:qFormat/>
    <w:rsid w:val="00F527CC"/>
    <w:pPr>
      <w:jc w:val="center"/>
    </w:pPr>
    <w:rPr>
      <w:b/>
      <w:caps/>
    </w:rPr>
  </w:style>
  <w:style w:type="paragraph" w:styleId="afa">
    <w:name w:val="Balloon Text"/>
    <w:basedOn w:val="a2"/>
    <w:link w:val="afb"/>
    <w:uiPriority w:val="99"/>
    <w:semiHidden/>
    <w:unhideWhenUsed/>
    <w:rsid w:val="00F527CC"/>
    <w:pPr>
      <w:spacing w:after="0" w:line="240" w:lineRule="auto"/>
    </w:pPr>
    <w:rPr>
      <w:rFonts w:ascii="Segoe UI" w:hAnsi="Segoe UI" w:cs="Segoe UI"/>
      <w:sz w:val="18"/>
      <w:szCs w:val="18"/>
    </w:rPr>
  </w:style>
  <w:style w:type="character" w:customStyle="1" w:styleId="afb">
    <w:name w:val="Текст выноски Знак"/>
    <w:basedOn w:val="a3"/>
    <w:link w:val="afa"/>
    <w:uiPriority w:val="99"/>
    <w:semiHidden/>
    <w:rsid w:val="00F527CC"/>
    <w:rPr>
      <w:rFonts w:ascii="Segoe UI" w:hAnsi="Segoe UI" w:cs="Segoe UI"/>
      <w:sz w:val="18"/>
      <w:szCs w:val="18"/>
      <w:lang w:val="en-US"/>
    </w:rPr>
  </w:style>
  <w:style w:type="paragraph" w:styleId="afc">
    <w:name w:val="Body Text Indent"/>
    <w:basedOn w:val="a2"/>
    <w:link w:val="afd"/>
    <w:uiPriority w:val="99"/>
    <w:rsid w:val="00F527CC"/>
    <w:pPr>
      <w:ind w:left="397"/>
    </w:pPr>
    <w:rPr>
      <w:noProof/>
    </w:rPr>
  </w:style>
  <w:style w:type="character" w:customStyle="1" w:styleId="afd">
    <w:name w:val="Основной текст с отступом Знак"/>
    <w:basedOn w:val="a3"/>
    <w:link w:val="afc"/>
    <w:uiPriority w:val="99"/>
    <w:rsid w:val="00F527CC"/>
    <w:rPr>
      <w:noProof/>
      <w:lang w:val="en-US"/>
    </w:rPr>
  </w:style>
  <w:style w:type="paragraph" w:styleId="26">
    <w:name w:val="Body Text Indent 2"/>
    <w:basedOn w:val="afc"/>
    <w:link w:val="27"/>
    <w:rsid w:val="00F527CC"/>
    <w:pPr>
      <w:ind w:left="794"/>
    </w:pPr>
  </w:style>
  <w:style w:type="character" w:customStyle="1" w:styleId="27">
    <w:name w:val="Основной текст с отступом 2 Знак"/>
    <w:basedOn w:val="a3"/>
    <w:link w:val="26"/>
    <w:rsid w:val="00F527CC"/>
    <w:rPr>
      <w:noProof/>
      <w:lang w:val="en-US"/>
    </w:rPr>
  </w:style>
  <w:style w:type="paragraph" w:customStyle="1" w:styleId="HeaderHidden">
    <w:name w:val="HeaderHidden"/>
    <w:basedOn w:val="a6"/>
    <w:uiPriority w:val="5"/>
    <w:qFormat/>
    <w:rsid w:val="00F527CC"/>
    <w:rPr>
      <w:color w:val="FFFFFF" w:themeColor="text2"/>
    </w:rPr>
  </w:style>
  <w:style w:type="character" w:customStyle="1" w:styleId="32">
    <w:name w:val="Заголовок 3 Знак"/>
    <w:basedOn w:val="a3"/>
    <w:link w:val="31"/>
    <w:uiPriority w:val="9"/>
    <w:rsid w:val="00F527CC"/>
    <w:rPr>
      <w:rFonts w:eastAsiaTheme="majorEastAsia" w:cs="Arial"/>
      <w:b/>
      <w:szCs w:val="24"/>
      <w:lang w:val="en-US"/>
    </w:rPr>
  </w:style>
  <w:style w:type="character" w:customStyle="1" w:styleId="42">
    <w:name w:val="Заголовок 4 Знак"/>
    <w:basedOn w:val="a3"/>
    <w:link w:val="41"/>
    <w:uiPriority w:val="9"/>
    <w:rsid w:val="00F527CC"/>
    <w:rPr>
      <w:rFonts w:eastAsiaTheme="majorEastAsia" w:cs="Arial"/>
      <w:i/>
      <w:iCs/>
      <w:color w:val="939599" w:themeColor="accent1" w:themeShade="BF"/>
      <w:lang w:val="en-US"/>
    </w:rPr>
  </w:style>
  <w:style w:type="character" w:customStyle="1" w:styleId="51">
    <w:name w:val="Заголовок 5 Знак"/>
    <w:basedOn w:val="a3"/>
    <w:link w:val="50"/>
    <w:uiPriority w:val="9"/>
    <w:rsid w:val="00F527CC"/>
    <w:rPr>
      <w:rFonts w:eastAsiaTheme="majorEastAsia" w:cs="Arial"/>
      <w:color w:val="939599" w:themeColor="accent1" w:themeShade="BF"/>
      <w:lang w:val="en-US"/>
    </w:rPr>
  </w:style>
  <w:style w:type="character" w:customStyle="1" w:styleId="60">
    <w:name w:val="Заголовок 6 Знак"/>
    <w:basedOn w:val="a3"/>
    <w:link w:val="6"/>
    <w:uiPriority w:val="9"/>
    <w:semiHidden/>
    <w:rsid w:val="00F527CC"/>
    <w:rPr>
      <w:rFonts w:eastAsiaTheme="majorEastAsia" w:cs="Arial"/>
      <w:color w:val="616266" w:themeColor="accent1" w:themeShade="7F"/>
      <w:lang w:val="en-US"/>
    </w:rPr>
  </w:style>
  <w:style w:type="character" w:customStyle="1" w:styleId="70">
    <w:name w:val="Заголовок 7 Знак"/>
    <w:basedOn w:val="a3"/>
    <w:link w:val="7"/>
    <w:uiPriority w:val="9"/>
    <w:semiHidden/>
    <w:rsid w:val="00F527CC"/>
    <w:rPr>
      <w:rFonts w:eastAsiaTheme="majorEastAsia" w:cs="Arial"/>
      <w:i/>
      <w:iCs/>
      <w:color w:val="616266" w:themeColor="accent1" w:themeShade="7F"/>
      <w:lang w:val="en-US"/>
    </w:rPr>
  </w:style>
  <w:style w:type="character" w:customStyle="1" w:styleId="80">
    <w:name w:val="Заголовок 8 Знак"/>
    <w:basedOn w:val="a3"/>
    <w:link w:val="8"/>
    <w:uiPriority w:val="9"/>
    <w:semiHidden/>
    <w:rsid w:val="00F527CC"/>
    <w:rPr>
      <w:rFonts w:eastAsiaTheme="majorEastAsia" w:cs="Arial"/>
      <w:color w:val="5D5D5D" w:themeColor="text1" w:themeTint="D8"/>
      <w:sz w:val="21"/>
      <w:szCs w:val="21"/>
      <w:lang w:val="en-US"/>
    </w:rPr>
  </w:style>
  <w:style w:type="character" w:customStyle="1" w:styleId="90">
    <w:name w:val="Заголовок 9 Знак"/>
    <w:basedOn w:val="a3"/>
    <w:link w:val="9"/>
    <w:uiPriority w:val="9"/>
    <w:semiHidden/>
    <w:rsid w:val="00F527CC"/>
    <w:rPr>
      <w:rFonts w:eastAsiaTheme="majorEastAsia" w:cs="Arial"/>
      <w:i/>
      <w:iCs/>
      <w:color w:val="5D5D5D" w:themeColor="text1" w:themeTint="D8"/>
      <w:sz w:val="21"/>
      <w:szCs w:val="21"/>
      <w:lang w:val="en-US"/>
    </w:rPr>
  </w:style>
  <w:style w:type="numbering" w:styleId="111111">
    <w:name w:val="Outline List 2"/>
    <w:basedOn w:val="a5"/>
    <w:uiPriority w:val="99"/>
    <w:semiHidden/>
    <w:unhideWhenUsed/>
    <w:rsid w:val="00F527CC"/>
    <w:pPr>
      <w:numPr>
        <w:numId w:val="15"/>
      </w:numPr>
    </w:pPr>
  </w:style>
  <w:style w:type="numbering" w:styleId="1ai">
    <w:name w:val="Outline List 1"/>
    <w:basedOn w:val="a5"/>
    <w:uiPriority w:val="99"/>
    <w:semiHidden/>
    <w:unhideWhenUsed/>
    <w:rsid w:val="00F527CC"/>
    <w:pPr>
      <w:numPr>
        <w:numId w:val="16"/>
      </w:numPr>
    </w:pPr>
  </w:style>
  <w:style w:type="numbering" w:styleId="a1">
    <w:name w:val="Outline List 3"/>
    <w:basedOn w:val="a5"/>
    <w:uiPriority w:val="99"/>
    <w:semiHidden/>
    <w:unhideWhenUsed/>
    <w:rsid w:val="00F527CC"/>
    <w:pPr>
      <w:numPr>
        <w:numId w:val="17"/>
      </w:numPr>
    </w:pPr>
  </w:style>
  <w:style w:type="paragraph" w:styleId="afe">
    <w:name w:val="Bibliography"/>
    <w:basedOn w:val="a2"/>
    <w:next w:val="a2"/>
    <w:uiPriority w:val="37"/>
    <w:semiHidden/>
    <w:unhideWhenUsed/>
    <w:rsid w:val="00F527CC"/>
  </w:style>
  <w:style w:type="paragraph" w:styleId="aff">
    <w:name w:val="Block Text"/>
    <w:basedOn w:val="a2"/>
    <w:uiPriority w:val="99"/>
    <w:semiHidden/>
    <w:unhideWhenUsed/>
    <w:rsid w:val="00F527CC"/>
    <w:pPr>
      <w:pBdr>
        <w:top w:val="single" w:sz="2" w:space="10" w:color="C7C8CA" w:themeColor="accent1" w:frame="1"/>
        <w:left w:val="single" w:sz="2" w:space="10" w:color="C7C8CA" w:themeColor="accent1" w:frame="1"/>
        <w:bottom w:val="single" w:sz="2" w:space="10" w:color="C7C8CA" w:themeColor="accent1" w:frame="1"/>
        <w:right w:val="single" w:sz="2" w:space="10" w:color="C7C8CA" w:themeColor="accent1" w:frame="1"/>
      </w:pBdr>
      <w:ind w:left="1152" w:right="1152"/>
    </w:pPr>
    <w:rPr>
      <w:rFonts w:eastAsiaTheme="minorEastAsia" w:cs="Arial"/>
      <w:i/>
      <w:iCs/>
      <w:color w:val="C7C8CA" w:themeColor="accent1"/>
    </w:rPr>
  </w:style>
  <w:style w:type="paragraph" w:styleId="aff0">
    <w:name w:val="Body Text"/>
    <w:basedOn w:val="a2"/>
    <w:link w:val="aff1"/>
    <w:uiPriority w:val="99"/>
    <w:unhideWhenUsed/>
    <w:rsid w:val="00F527CC"/>
  </w:style>
  <w:style w:type="character" w:customStyle="1" w:styleId="aff1">
    <w:name w:val="Основной текст Знак"/>
    <w:basedOn w:val="a3"/>
    <w:link w:val="aff0"/>
    <w:uiPriority w:val="99"/>
    <w:rsid w:val="00F527CC"/>
    <w:rPr>
      <w:lang w:val="en-US"/>
    </w:rPr>
  </w:style>
  <w:style w:type="paragraph" w:styleId="28">
    <w:name w:val="Body Text 2"/>
    <w:basedOn w:val="a2"/>
    <w:link w:val="29"/>
    <w:uiPriority w:val="99"/>
    <w:semiHidden/>
    <w:unhideWhenUsed/>
    <w:rsid w:val="00F527CC"/>
    <w:pPr>
      <w:spacing w:line="480" w:lineRule="auto"/>
    </w:pPr>
  </w:style>
  <w:style w:type="character" w:customStyle="1" w:styleId="29">
    <w:name w:val="Основной текст 2 Знак"/>
    <w:basedOn w:val="a3"/>
    <w:link w:val="28"/>
    <w:uiPriority w:val="99"/>
    <w:semiHidden/>
    <w:rsid w:val="00F527CC"/>
    <w:rPr>
      <w:lang w:val="en-US"/>
    </w:rPr>
  </w:style>
  <w:style w:type="paragraph" w:styleId="34">
    <w:name w:val="Body Text 3"/>
    <w:basedOn w:val="a2"/>
    <w:link w:val="35"/>
    <w:uiPriority w:val="99"/>
    <w:semiHidden/>
    <w:unhideWhenUsed/>
    <w:rsid w:val="00F527CC"/>
    <w:rPr>
      <w:sz w:val="16"/>
      <w:szCs w:val="16"/>
    </w:rPr>
  </w:style>
  <w:style w:type="character" w:customStyle="1" w:styleId="35">
    <w:name w:val="Основной текст 3 Знак"/>
    <w:basedOn w:val="a3"/>
    <w:link w:val="34"/>
    <w:uiPriority w:val="99"/>
    <w:semiHidden/>
    <w:rsid w:val="00F527CC"/>
    <w:rPr>
      <w:sz w:val="16"/>
      <w:szCs w:val="16"/>
      <w:lang w:val="en-US"/>
    </w:rPr>
  </w:style>
  <w:style w:type="paragraph" w:styleId="aff2">
    <w:name w:val="Body Text First Indent"/>
    <w:basedOn w:val="aff0"/>
    <w:link w:val="aff3"/>
    <w:uiPriority w:val="99"/>
    <w:semiHidden/>
    <w:unhideWhenUsed/>
    <w:rsid w:val="00F527CC"/>
    <w:pPr>
      <w:ind w:firstLine="360"/>
    </w:pPr>
  </w:style>
  <w:style w:type="character" w:customStyle="1" w:styleId="aff3">
    <w:name w:val="Красная строка Знак"/>
    <w:basedOn w:val="aff1"/>
    <w:link w:val="aff2"/>
    <w:uiPriority w:val="99"/>
    <w:semiHidden/>
    <w:rsid w:val="00F527CC"/>
    <w:rPr>
      <w:lang w:val="en-US"/>
    </w:rPr>
  </w:style>
  <w:style w:type="paragraph" w:styleId="2a">
    <w:name w:val="Body Text First Indent 2"/>
    <w:basedOn w:val="afc"/>
    <w:link w:val="2b"/>
    <w:uiPriority w:val="99"/>
    <w:semiHidden/>
    <w:unhideWhenUsed/>
    <w:rsid w:val="00F527CC"/>
    <w:pPr>
      <w:ind w:left="360" w:firstLine="360"/>
    </w:pPr>
  </w:style>
  <w:style w:type="character" w:customStyle="1" w:styleId="2b">
    <w:name w:val="Красная строка 2 Знак"/>
    <w:basedOn w:val="afd"/>
    <w:link w:val="2a"/>
    <w:uiPriority w:val="99"/>
    <w:semiHidden/>
    <w:rsid w:val="00F527CC"/>
    <w:rPr>
      <w:noProof/>
      <w:lang w:val="en-US"/>
    </w:rPr>
  </w:style>
  <w:style w:type="paragraph" w:styleId="36">
    <w:name w:val="Body Text Indent 3"/>
    <w:basedOn w:val="a2"/>
    <w:link w:val="37"/>
    <w:uiPriority w:val="99"/>
    <w:semiHidden/>
    <w:unhideWhenUsed/>
    <w:rsid w:val="00F527CC"/>
    <w:pPr>
      <w:ind w:left="283"/>
    </w:pPr>
    <w:rPr>
      <w:sz w:val="16"/>
      <w:szCs w:val="16"/>
    </w:rPr>
  </w:style>
  <w:style w:type="character" w:customStyle="1" w:styleId="37">
    <w:name w:val="Основной текст с отступом 3 Знак"/>
    <w:basedOn w:val="a3"/>
    <w:link w:val="36"/>
    <w:uiPriority w:val="99"/>
    <w:semiHidden/>
    <w:rsid w:val="00F527CC"/>
    <w:rPr>
      <w:sz w:val="16"/>
      <w:szCs w:val="16"/>
      <w:lang w:val="en-US"/>
    </w:rPr>
  </w:style>
  <w:style w:type="character" w:styleId="aff4">
    <w:name w:val="Book Title"/>
    <w:basedOn w:val="a3"/>
    <w:uiPriority w:val="33"/>
    <w:qFormat/>
    <w:rsid w:val="00F527CC"/>
    <w:rPr>
      <w:b/>
      <w:bCs/>
      <w:i/>
      <w:iCs/>
      <w:spacing w:val="5"/>
      <w:lang w:val="en-US"/>
    </w:rPr>
  </w:style>
  <w:style w:type="paragraph" w:styleId="aff5">
    <w:name w:val="caption"/>
    <w:basedOn w:val="a2"/>
    <w:next w:val="a2"/>
    <w:uiPriority w:val="35"/>
    <w:unhideWhenUsed/>
    <w:qFormat/>
    <w:rsid w:val="00F527CC"/>
    <w:pPr>
      <w:spacing w:after="200" w:line="240" w:lineRule="auto"/>
    </w:pPr>
    <w:rPr>
      <w:i/>
      <w:iCs/>
      <w:color w:val="FFFFFF" w:themeColor="text2"/>
      <w:sz w:val="18"/>
      <w:szCs w:val="18"/>
    </w:rPr>
  </w:style>
  <w:style w:type="paragraph" w:styleId="aff6">
    <w:name w:val="Closing"/>
    <w:basedOn w:val="a2"/>
    <w:link w:val="aff7"/>
    <w:uiPriority w:val="99"/>
    <w:semiHidden/>
    <w:unhideWhenUsed/>
    <w:rsid w:val="00F527CC"/>
    <w:pPr>
      <w:spacing w:after="0" w:line="240" w:lineRule="auto"/>
      <w:ind w:left="4252"/>
    </w:pPr>
  </w:style>
  <w:style w:type="character" w:customStyle="1" w:styleId="aff7">
    <w:name w:val="Прощание Знак"/>
    <w:basedOn w:val="a3"/>
    <w:link w:val="aff6"/>
    <w:uiPriority w:val="99"/>
    <w:semiHidden/>
    <w:rsid w:val="00F527CC"/>
    <w:rPr>
      <w:lang w:val="en-US"/>
    </w:rPr>
  </w:style>
  <w:style w:type="table" w:styleId="aff8">
    <w:name w:val="Colorful Grid"/>
    <w:basedOn w:val="a4"/>
    <w:uiPriority w:val="73"/>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D8D8D8" w:themeFill="text1" w:themeFillTint="33"/>
    </w:tcPr>
    <w:tblStylePr w:type="firstRow">
      <w:rPr>
        <w:b/>
        <w:bCs/>
      </w:rPr>
      <w:tblPr/>
      <w:tcPr>
        <w:shd w:val="clear" w:color="auto" w:fill="B2B2B2" w:themeFill="text1" w:themeFillTint="66"/>
      </w:tcPr>
    </w:tblStylePr>
    <w:tblStylePr w:type="lastRow">
      <w:rPr>
        <w:b/>
        <w:bCs/>
        <w:color w:val="404040" w:themeColor="text1"/>
      </w:rPr>
      <w:tblPr/>
      <w:tcPr>
        <w:shd w:val="clear" w:color="auto" w:fill="B2B2B2" w:themeFill="text1" w:themeFillTint="66"/>
      </w:tcPr>
    </w:tblStylePr>
    <w:tblStylePr w:type="firstCol">
      <w:rPr>
        <w:color w:val="FFFFFF" w:themeColor="background1"/>
      </w:rPr>
      <w:tblPr/>
      <w:tcPr>
        <w:shd w:val="clear" w:color="auto" w:fill="2F2F2F" w:themeFill="text1" w:themeFillShade="BF"/>
      </w:tcPr>
    </w:tblStylePr>
    <w:tblStylePr w:type="lastCol">
      <w:rPr>
        <w:color w:val="FFFFFF" w:themeColor="background1"/>
      </w:rPr>
      <w:tblPr/>
      <w:tcPr>
        <w:shd w:val="clear" w:color="auto" w:fill="2F2F2F" w:themeFill="text1" w:themeFillShade="BF"/>
      </w:tcPr>
    </w:tblStylePr>
    <w:tblStylePr w:type="band1Vert">
      <w:tblPr/>
      <w:tcPr>
        <w:shd w:val="clear" w:color="auto" w:fill="9F9F9F" w:themeFill="text1" w:themeFillTint="7F"/>
      </w:tcPr>
    </w:tblStylePr>
    <w:tblStylePr w:type="band1Horz">
      <w:tblPr/>
      <w:tcPr>
        <w:shd w:val="clear" w:color="auto" w:fill="9F9F9F" w:themeFill="text1" w:themeFillTint="7F"/>
      </w:tcPr>
    </w:tblStylePr>
  </w:style>
  <w:style w:type="table" w:styleId="-1">
    <w:name w:val="Colorful Grid Accent 1"/>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F3F3F4" w:themeFill="accent1" w:themeFillTint="33"/>
    </w:tcPr>
    <w:tblStylePr w:type="firstRow">
      <w:rPr>
        <w:b/>
        <w:bCs/>
      </w:rPr>
      <w:tblPr/>
      <w:tcPr>
        <w:shd w:val="clear" w:color="auto" w:fill="E8E8E9" w:themeFill="accent1" w:themeFillTint="66"/>
      </w:tcPr>
    </w:tblStylePr>
    <w:tblStylePr w:type="lastRow">
      <w:rPr>
        <w:b/>
        <w:bCs/>
        <w:color w:val="404040" w:themeColor="text1"/>
      </w:rPr>
      <w:tblPr/>
      <w:tcPr>
        <w:shd w:val="clear" w:color="auto" w:fill="E8E8E9" w:themeFill="accent1" w:themeFillTint="66"/>
      </w:tcPr>
    </w:tblStylePr>
    <w:tblStylePr w:type="firstCol">
      <w:rPr>
        <w:color w:val="FFFFFF" w:themeColor="background1"/>
      </w:rPr>
      <w:tblPr/>
      <w:tcPr>
        <w:shd w:val="clear" w:color="auto" w:fill="939599" w:themeFill="accent1" w:themeFillShade="BF"/>
      </w:tcPr>
    </w:tblStylePr>
    <w:tblStylePr w:type="lastCol">
      <w:rPr>
        <w:color w:val="FFFFFF" w:themeColor="background1"/>
      </w:rPr>
      <w:tblPr/>
      <w:tcPr>
        <w:shd w:val="clear" w:color="auto" w:fill="939599" w:themeFill="accent1" w:themeFillShade="BF"/>
      </w:tcPr>
    </w:tblStylePr>
    <w:tblStylePr w:type="band1Vert">
      <w:tblPr/>
      <w:tcPr>
        <w:shd w:val="clear" w:color="auto" w:fill="E3E3E4" w:themeFill="accent1" w:themeFillTint="7F"/>
      </w:tcPr>
    </w:tblStylePr>
    <w:tblStylePr w:type="band1Horz">
      <w:tblPr/>
      <w:tcPr>
        <w:shd w:val="clear" w:color="auto" w:fill="E3E3E4" w:themeFill="accent1" w:themeFillTint="7F"/>
      </w:tcPr>
    </w:tblStylePr>
  </w:style>
  <w:style w:type="table" w:styleId="-2">
    <w:name w:val="Colorful Grid Accent 2"/>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E9E9EA" w:themeFill="accent2" w:themeFillTint="33"/>
    </w:tcPr>
    <w:tblStylePr w:type="firstRow">
      <w:rPr>
        <w:b/>
        <w:bCs/>
      </w:rPr>
      <w:tblPr/>
      <w:tcPr>
        <w:shd w:val="clear" w:color="auto" w:fill="D3D4D5" w:themeFill="accent2" w:themeFillTint="66"/>
      </w:tcPr>
    </w:tblStylePr>
    <w:tblStylePr w:type="lastRow">
      <w:rPr>
        <w:b/>
        <w:bCs/>
        <w:color w:val="404040" w:themeColor="text1"/>
      </w:rPr>
      <w:tblPr/>
      <w:tcPr>
        <w:shd w:val="clear" w:color="auto" w:fill="D3D4D5" w:themeFill="accent2" w:themeFillTint="66"/>
      </w:tcPr>
    </w:tblStylePr>
    <w:tblStylePr w:type="firstCol">
      <w:rPr>
        <w:color w:val="FFFFFF" w:themeColor="background1"/>
      </w:rPr>
      <w:tblPr/>
      <w:tcPr>
        <w:shd w:val="clear" w:color="auto" w:fill="6D6F72" w:themeFill="accent2" w:themeFillShade="BF"/>
      </w:tcPr>
    </w:tblStylePr>
    <w:tblStylePr w:type="lastCol">
      <w:rPr>
        <w:color w:val="FFFFFF" w:themeColor="background1"/>
      </w:rPr>
      <w:tblPr/>
      <w:tcPr>
        <w:shd w:val="clear" w:color="auto" w:fill="6D6F72" w:themeFill="accent2" w:themeFillShade="BF"/>
      </w:tcPr>
    </w:tblStylePr>
    <w:tblStylePr w:type="band1Vert">
      <w:tblPr/>
      <w:tcPr>
        <w:shd w:val="clear" w:color="auto" w:fill="C9CACB" w:themeFill="accent2" w:themeFillTint="7F"/>
      </w:tcPr>
    </w:tblStylePr>
    <w:tblStylePr w:type="band1Horz">
      <w:tblPr/>
      <w:tcPr>
        <w:shd w:val="clear" w:color="auto" w:fill="C9CACB" w:themeFill="accent2" w:themeFillTint="7F"/>
      </w:tcPr>
    </w:tblStylePr>
  </w:style>
  <w:style w:type="table" w:styleId="-3">
    <w:name w:val="Colorful Grid Accent 3"/>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DFDFE0" w:themeFill="accent3" w:themeFillTint="33"/>
    </w:tcPr>
    <w:tblStylePr w:type="firstRow">
      <w:rPr>
        <w:b/>
        <w:bCs/>
      </w:rPr>
      <w:tblPr/>
      <w:tcPr>
        <w:shd w:val="clear" w:color="auto" w:fill="C0C0C2" w:themeFill="accent3" w:themeFillTint="66"/>
      </w:tcPr>
    </w:tblStylePr>
    <w:tblStylePr w:type="lastRow">
      <w:rPr>
        <w:b/>
        <w:bCs/>
        <w:color w:val="404040" w:themeColor="text1"/>
      </w:rPr>
      <w:tblPr/>
      <w:tcPr>
        <w:shd w:val="clear" w:color="auto" w:fill="C0C0C2" w:themeFill="accent3" w:themeFillTint="66"/>
      </w:tcPr>
    </w:tblStylePr>
    <w:tblStylePr w:type="firstCol">
      <w:rPr>
        <w:color w:val="FFFFFF" w:themeColor="background1"/>
      </w:rPr>
      <w:tblPr/>
      <w:tcPr>
        <w:shd w:val="clear" w:color="auto" w:fill="4A4A4C" w:themeFill="accent3" w:themeFillShade="BF"/>
      </w:tcPr>
    </w:tblStylePr>
    <w:tblStylePr w:type="lastCol">
      <w:rPr>
        <w:color w:val="FFFFFF" w:themeColor="background1"/>
      </w:rPr>
      <w:tblPr/>
      <w:tcPr>
        <w:shd w:val="clear" w:color="auto" w:fill="4A4A4C" w:themeFill="accent3" w:themeFillShade="BF"/>
      </w:tcPr>
    </w:tblStylePr>
    <w:tblStylePr w:type="band1Vert">
      <w:tblPr/>
      <w:tcPr>
        <w:shd w:val="clear" w:color="auto" w:fill="B0B1B3" w:themeFill="accent3" w:themeFillTint="7F"/>
      </w:tcPr>
    </w:tblStylePr>
    <w:tblStylePr w:type="band1Horz">
      <w:tblPr/>
      <w:tcPr>
        <w:shd w:val="clear" w:color="auto" w:fill="B0B1B3" w:themeFill="accent3" w:themeFillTint="7F"/>
      </w:tcPr>
    </w:tblStylePr>
  </w:style>
  <w:style w:type="table" w:styleId="-4">
    <w:name w:val="Colorful Grid Accent 4"/>
    <w:basedOn w:val="a4"/>
    <w:uiPriority w:val="73"/>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F7CFD2" w:themeFill="accent4" w:themeFillTint="33"/>
    </w:tcPr>
    <w:tblStylePr w:type="firstRow">
      <w:rPr>
        <w:b/>
        <w:bCs/>
      </w:rPr>
      <w:tblPr/>
      <w:tcPr>
        <w:shd w:val="clear" w:color="auto" w:fill="F0A0A5" w:themeFill="accent4" w:themeFillTint="66"/>
      </w:tcPr>
    </w:tblStylePr>
    <w:tblStylePr w:type="lastRow">
      <w:rPr>
        <w:b/>
        <w:bCs/>
        <w:color w:val="404040" w:themeColor="text1"/>
      </w:rPr>
      <w:tblPr/>
      <w:tcPr>
        <w:shd w:val="clear" w:color="auto" w:fill="F0A0A5" w:themeFill="accent4" w:themeFillTint="66"/>
      </w:tcPr>
    </w:tblStylePr>
    <w:tblStylePr w:type="firstCol">
      <w:rPr>
        <w:color w:val="FFFFFF" w:themeColor="background1"/>
      </w:rPr>
      <w:tblPr/>
      <w:tcPr>
        <w:shd w:val="clear" w:color="auto" w:fill="991820" w:themeFill="accent4" w:themeFillShade="BF"/>
      </w:tcPr>
    </w:tblStylePr>
    <w:tblStylePr w:type="lastCol">
      <w:rPr>
        <w:color w:val="FFFFFF" w:themeColor="background1"/>
      </w:rPr>
      <w:tblPr/>
      <w:tcPr>
        <w:shd w:val="clear" w:color="auto" w:fill="991820" w:themeFill="accent4" w:themeFillShade="BF"/>
      </w:tcPr>
    </w:tblStylePr>
    <w:tblStylePr w:type="band1Vert">
      <w:tblPr/>
      <w:tcPr>
        <w:shd w:val="clear" w:color="auto" w:fill="EC898F" w:themeFill="accent4" w:themeFillTint="7F"/>
      </w:tcPr>
    </w:tblStylePr>
    <w:tblStylePr w:type="band1Horz">
      <w:tblPr/>
      <w:tcPr>
        <w:shd w:val="clear" w:color="auto" w:fill="EC898F" w:themeFill="accent4" w:themeFillTint="7F"/>
      </w:tcPr>
    </w:tblStylePr>
  </w:style>
  <w:style w:type="table" w:styleId="-5">
    <w:name w:val="Colorful Grid Accent 5"/>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BBDCFF" w:themeFill="accent5" w:themeFillTint="33"/>
    </w:tcPr>
    <w:tblStylePr w:type="firstRow">
      <w:rPr>
        <w:b/>
        <w:bCs/>
      </w:rPr>
      <w:tblPr/>
      <w:tcPr>
        <w:shd w:val="clear" w:color="auto" w:fill="77BAFF" w:themeFill="accent5" w:themeFillTint="66"/>
      </w:tcPr>
    </w:tblStylePr>
    <w:tblStylePr w:type="lastRow">
      <w:rPr>
        <w:b/>
        <w:bCs/>
        <w:color w:val="404040" w:themeColor="text1"/>
      </w:rPr>
      <w:tblPr/>
      <w:tcPr>
        <w:shd w:val="clear" w:color="auto" w:fill="77BAFF" w:themeFill="accent5" w:themeFillTint="66"/>
      </w:tcPr>
    </w:tblStylePr>
    <w:tblStylePr w:type="firstCol">
      <w:rPr>
        <w:color w:val="FFFFFF" w:themeColor="background1"/>
      </w:rPr>
      <w:tblPr/>
      <w:tcPr>
        <w:shd w:val="clear" w:color="auto" w:fill="003F7F" w:themeFill="accent5" w:themeFillShade="BF"/>
      </w:tcPr>
    </w:tblStylePr>
    <w:tblStylePr w:type="lastCol">
      <w:rPr>
        <w:color w:val="FFFFFF" w:themeColor="background1"/>
      </w:rPr>
      <w:tblPr/>
      <w:tcPr>
        <w:shd w:val="clear" w:color="auto" w:fill="003F7F" w:themeFill="accent5" w:themeFillShade="BF"/>
      </w:tcPr>
    </w:tblStylePr>
    <w:tblStylePr w:type="band1Vert">
      <w:tblPr/>
      <w:tcPr>
        <w:shd w:val="clear" w:color="auto" w:fill="55AAFF" w:themeFill="accent5" w:themeFillTint="7F"/>
      </w:tcPr>
    </w:tblStylePr>
    <w:tblStylePr w:type="band1Horz">
      <w:tblPr/>
      <w:tcPr>
        <w:shd w:val="clear" w:color="auto" w:fill="55AAFF" w:themeFill="accent5" w:themeFillTint="7F"/>
      </w:tcPr>
    </w:tblStylePr>
  </w:style>
  <w:style w:type="table" w:styleId="-6">
    <w:name w:val="Colorful Grid Accent 6"/>
    <w:basedOn w:val="a4"/>
    <w:uiPriority w:val="73"/>
    <w:semiHidden/>
    <w:unhideWhenUsed/>
    <w:rsid w:val="00F527CC"/>
    <w:pPr>
      <w:spacing w:after="0" w:line="240" w:lineRule="auto"/>
    </w:pPr>
    <w:rPr>
      <w:color w:val="404040" w:themeColor="text1"/>
    </w:rPr>
    <w:tblPr>
      <w:tblStyleRowBandSize w:val="1"/>
      <w:tblStyleColBandSize w:val="1"/>
      <w:tblBorders>
        <w:insideH w:val="single" w:sz="4" w:space="0" w:color="FFFFFF" w:themeColor="background1"/>
      </w:tblBorders>
    </w:tblPr>
    <w:tcPr>
      <w:shd w:val="clear" w:color="auto" w:fill="FFEDD2" w:themeFill="accent6" w:themeFillTint="33"/>
    </w:tcPr>
    <w:tblStylePr w:type="firstRow">
      <w:rPr>
        <w:b/>
        <w:bCs/>
      </w:rPr>
      <w:tblPr/>
      <w:tcPr>
        <w:shd w:val="clear" w:color="auto" w:fill="FFDCA6" w:themeFill="accent6" w:themeFillTint="66"/>
      </w:tcPr>
    </w:tblStylePr>
    <w:tblStylePr w:type="lastRow">
      <w:rPr>
        <w:b/>
        <w:bCs/>
        <w:color w:val="404040" w:themeColor="text1"/>
      </w:rPr>
      <w:tblPr/>
      <w:tcPr>
        <w:shd w:val="clear" w:color="auto" w:fill="FFDCA6" w:themeFill="accent6" w:themeFillTint="66"/>
      </w:tcPr>
    </w:tblStylePr>
    <w:tblStylePr w:type="firstCol">
      <w:rPr>
        <w:color w:val="FFFFFF" w:themeColor="background1"/>
      </w:rPr>
      <w:tblPr/>
      <w:tcPr>
        <w:shd w:val="clear" w:color="auto" w:fill="D88400" w:themeFill="accent6" w:themeFillShade="BF"/>
      </w:tcPr>
    </w:tblStylePr>
    <w:tblStylePr w:type="lastCol">
      <w:rPr>
        <w:color w:val="FFFFFF" w:themeColor="background1"/>
      </w:rPr>
      <w:tblPr/>
      <w:tcPr>
        <w:shd w:val="clear" w:color="auto" w:fill="D88400" w:themeFill="accent6" w:themeFillShade="BF"/>
      </w:tcPr>
    </w:tblStylePr>
    <w:tblStylePr w:type="band1Vert">
      <w:tblPr/>
      <w:tcPr>
        <w:shd w:val="clear" w:color="auto" w:fill="FFD490" w:themeFill="accent6" w:themeFillTint="7F"/>
      </w:tcPr>
    </w:tblStylePr>
    <w:tblStylePr w:type="band1Horz">
      <w:tblPr/>
      <w:tcPr>
        <w:shd w:val="clear" w:color="auto" w:fill="FFD490" w:themeFill="accent6" w:themeFillTint="7F"/>
      </w:tcPr>
    </w:tblStylePr>
  </w:style>
  <w:style w:type="table" w:styleId="aff9">
    <w:name w:val="Colorful List"/>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ECECEC" w:themeFill="text1" w:themeFillTint="19"/>
    </w:tcPr>
    <w:tblStylePr w:type="firstRow">
      <w:rPr>
        <w:b/>
        <w:bCs/>
        <w:color w:val="FFFFFF" w:themeColor="background1"/>
      </w:rPr>
      <w:tblPr/>
      <w:tcPr>
        <w:tcBorders>
          <w:bottom w:val="single" w:sz="12" w:space="0" w:color="FFFFFF" w:themeColor="background1"/>
        </w:tcBorders>
        <w:shd w:val="clear" w:color="auto" w:fill="74767A" w:themeFill="accent2" w:themeFillShade="CC"/>
      </w:tcPr>
    </w:tblStylePr>
    <w:tblStylePr w:type="lastRow">
      <w:rPr>
        <w:b/>
        <w:bCs/>
        <w:color w:val="74767A" w:themeColor="accent2"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F" w:themeFill="text1" w:themeFillTint="3F"/>
      </w:tcPr>
    </w:tblStylePr>
    <w:tblStylePr w:type="band1Horz">
      <w:tblPr/>
      <w:tcPr>
        <w:shd w:val="clear" w:color="auto" w:fill="D8D8D8" w:themeFill="text1" w:themeFillTint="33"/>
      </w:tcPr>
    </w:tblStylePr>
  </w:style>
  <w:style w:type="table" w:styleId="-10">
    <w:name w:val="Colorful List Accent 1"/>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F9F9F9" w:themeFill="accent1" w:themeFillTint="19"/>
    </w:tcPr>
    <w:tblStylePr w:type="firstRow">
      <w:rPr>
        <w:b/>
        <w:bCs/>
        <w:color w:val="FFFFFF" w:themeColor="background1"/>
      </w:rPr>
      <w:tblPr/>
      <w:tcPr>
        <w:tcBorders>
          <w:bottom w:val="single" w:sz="12" w:space="0" w:color="FFFFFF" w:themeColor="background1"/>
        </w:tcBorders>
        <w:shd w:val="clear" w:color="auto" w:fill="74767A" w:themeFill="accent2" w:themeFillShade="CC"/>
      </w:tcPr>
    </w:tblStylePr>
    <w:tblStylePr w:type="lastRow">
      <w:rPr>
        <w:b/>
        <w:bCs/>
        <w:color w:val="74767A" w:themeColor="accent2"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2" w:themeFill="accent1" w:themeFillTint="3F"/>
      </w:tcPr>
    </w:tblStylePr>
    <w:tblStylePr w:type="band1Horz">
      <w:tblPr/>
      <w:tcPr>
        <w:shd w:val="clear" w:color="auto" w:fill="F3F3F4" w:themeFill="accent1" w:themeFillTint="33"/>
      </w:tcPr>
    </w:tblStylePr>
  </w:style>
  <w:style w:type="table" w:styleId="-20">
    <w:name w:val="Colorful List Accent 2"/>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F4F4F4" w:themeFill="accent2" w:themeFillTint="19"/>
    </w:tcPr>
    <w:tblStylePr w:type="firstRow">
      <w:rPr>
        <w:b/>
        <w:bCs/>
        <w:color w:val="FFFFFF" w:themeColor="background1"/>
      </w:rPr>
      <w:tblPr/>
      <w:tcPr>
        <w:tcBorders>
          <w:bottom w:val="single" w:sz="12" w:space="0" w:color="FFFFFF" w:themeColor="background1"/>
        </w:tcBorders>
        <w:shd w:val="clear" w:color="auto" w:fill="74767A" w:themeFill="accent2" w:themeFillShade="CC"/>
      </w:tcPr>
    </w:tblStylePr>
    <w:tblStylePr w:type="lastRow">
      <w:rPr>
        <w:b/>
        <w:bCs/>
        <w:color w:val="74767A" w:themeColor="accent2"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4E5" w:themeFill="accent2" w:themeFillTint="3F"/>
      </w:tcPr>
    </w:tblStylePr>
    <w:tblStylePr w:type="band1Horz">
      <w:tblPr/>
      <w:tcPr>
        <w:shd w:val="clear" w:color="auto" w:fill="E9E9EA" w:themeFill="accent2" w:themeFillTint="33"/>
      </w:tcPr>
    </w:tblStylePr>
  </w:style>
  <w:style w:type="table" w:styleId="-30">
    <w:name w:val="Colorful List Accent 3"/>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EFEFF0" w:themeFill="accent3" w:themeFillTint="19"/>
    </w:tcPr>
    <w:tblStylePr w:type="firstRow">
      <w:rPr>
        <w:b/>
        <w:bCs/>
        <w:color w:val="FFFFFF" w:themeColor="background1"/>
      </w:rPr>
      <w:tblPr/>
      <w:tcPr>
        <w:tcBorders>
          <w:bottom w:val="single" w:sz="12" w:space="0" w:color="FFFFFF" w:themeColor="background1"/>
        </w:tcBorders>
        <w:shd w:val="clear" w:color="auto" w:fill="A31922" w:themeFill="accent4" w:themeFillShade="CC"/>
      </w:tcPr>
    </w:tblStylePr>
    <w:tblStylePr w:type="lastRow">
      <w:rPr>
        <w:b/>
        <w:bCs/>
        <w:color w:val="A31922" w:themeColor="accent4"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8D9" w:themeFill="accent3" w:themeFillTint="3F"/>
      </w:tcPr>
    </w:tblStylePr>
    <w:tblStylePr w:type="band1Horz">
      <w:tblPr/>
      <w:tcPr>
        <w:shd w:val="clear" w:color="auto" w:fill="DFDFE0" w:themeFill="accent3" w:themeFillTint="33"/>
      </w:tcPr>
    </w:tblStylePr>
  </w:style>
  <w:style w:type="table" w:styleId="-40">
    <w:name w:val="Colorful List Accent 4"/>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FBE7E8" w:themeFill="accent4" w:themeFillTint="19"/>
    </w:tcPr>
    <w:tblStylePr w:type="firstRow">
      <w:rPr>
        <w:b/>
        <w:bCs/>
        <w:color w:val="FFFFFF" w:themeColor="background1"/>
      </w:rPr>
      <w:tblPr/>
      <w:tcPr>
        <w:tcBorders>
          <w:bottom w:val="single" w:sz="12" w:space="0" w:color="FFFFFF" w:themeColor="background1"/>
        </w:tcBorders>
        <w:shd w:val="clear" w:color="auto" w:fill="4F5051" w:themeFill="accent3" w:themeFillShade="CC"/>
      </w:tcPr>
    </w:tblStylePr>
    <w:tblStylePr w:type="lastRow">
      <w:rPr>
        <w:b/>
        <w:bCs/>
        <w:color w:val="4F5051" w:themeColor="accent3"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4C7" w:themeFill="accent4" w:themeFillTint="3F"/>
      </w:tcPr>
    </w:tblStylePr>
    <w:tblStylePr w:type="band1Horz">
      <w:tblPr/>
      <w:tcPr>
        <w:shd w:val="clear" w:color="auto" w:fill="F7CFD2" w:themeFill="accent4" w:themeFillTint="33"/>
      </w:tcPr>
    </w:tblStylePr>
  </w:style>
  <w:style w:type="table" w:styleId="-50">
    <w:name w:val="Colorful List Accent 5"/>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DDEEFF" w:themeFill="accent5" w:themeFillTint="19"/>
    </w:tcPr>
    <w:tblStylePr w:type="firstRow">
      <w:rPr>
        <w:b/>
        <w:bCs/>
        <w:color w:val="FFFFFF" w:themeColor="background1"/>
      </w:rPr>
      <w:tblPr/>
      <w:tcPr>
        <w:tcBorders>
          <w:bottom w:val="single" w:sz="12" w:space="0" w:color="FFFFFF" w:themeColor="background1"/>
        </w:tcBorders>
        <w:shd w:val="clear" w:color="auto" w:fill="E78D00" w:themeFill="accent6" w:themeFillShade="CC"/>
      </w:tcPr>
    </w:tblStylePr>
    <w:tblStylePr w:type="lastRow">
      <w:rPr>
        <w:b/>
        <w:bCs/>
        <w:color w:val="E78D00" w:themeColor="accent6"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D4FF" w:themeFill="accent5" w:themeFillTint="3F"/>
      </w:tcPr>
    </w:tblStylePr>
    <w:tblStylePr w:type="band1Horz">
      <w:tblPr/>
      <w:tcPr>
        <w:shd w:val="clear" w:color="auto" w:fill="BBDCFF" w:themeFill="accent5" w:themeFillTint="33"/>
      </w:tcPr>
    </w:tblStylePr>
  </w:style>
  <w:style w:type="table" w:styleId="-60">
    <w:name w:val="Colorful List Accent 6"/>
    <w:basedOn w:val="a4"/>
    <w:uiPriority w:val="72"/>
    <w:semiHidden/>
    <w:unhideWhenUsed/>
    <w:rsid w:val="00F527CC"/>
    <w:pPr>
      <w:spacing w:after="0" w:line="240" w:lineRule="auto"/>
    </w:pPr>
    <w:rPr>
      <w:color w:val="404040" w:themeColor="text1"/>
    </w:rPr>
    <w:tblPr>
      <w:tblStyleRowBandSize w:val="1"/>
      <w:tblStyleColBandSize w:val="1"/>
    </w:tblPr>
    <w:tcPr>
      <w:shd w:val="clear" w:color="auto" w:fill="FFF6E9" w:themeFill="accent6" w:themeFillTint="19"/>
    </w:tcPr>
    <w:tblStylePr w:type="firstRow">
      <w:rPr>
        <w:b/>
        <w:bCs/>
        <w:color w:val="FFFFFF" w:themeColor="background1"/>
      </w:rPr>
      <w:tblPr/>
      <w:tcPr>
        <w:tcBorders>
          <w:bottom w:val="single" w:sz="12" w:space="0" w:color="FFFFFF" w:themeColor="background1"/>
        </w:tcBorders>
        <w:shd w:val="clear" w:color="auto" w:fill="004388" w:themeFill="accent5" w:themeFillShade="CC"/>
      </w:tcPr>
    </w:tblStylePr>
    <w:tblStylePr w:type="lastRow">
      <w:rPr>
        <w:b/>
        <w:bCs/>
        <w:color w:val="004388" w:themeColor="accent5" w:themeShade="CC"/>
      </w:rPr>
      <w:tblPr/>
      <w:tcPr>
        <w:tcBorders>
          <w:top w:val="single" w:sz="12" w:space="0" w:color="40404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9C8" w:themeFill="accent6" w:themeFillTint="3F"/>
      </w:tcPr>
    </w:tblStylePr>
    <w:tblStylePr w:type="band1Horz">
      <w:tblPr/>
      <w:tcPr>
        <w:shd w:val="clear" w:color="auto" w:fill="FFEDD2" w:themeFill="accent6" w:themeFillTint="33"/>
      </w:tcPr>
    </w:tblStylePr>
  </w:style>
  <w:style w:type="table" w:styleId="affa">
    <w:name w:val="Colorful Shading"/>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939598" w:themeColor="accent2"/>
        <w:left w:val="single" w:sz="4" w:space="0" w:color="404040" w:themeColor="text1"/>
        <w:bottom w:val="single" w:sz="4" w:space="0" w:color="404040" w:themeColor="text1"/>
        <w:right w:val="single" w:sz="4" w:space="0" w:color="404040" w:themeColor="text1"/>
        <w:insideH w:val="single" w:sz="4" w:space="0" w:color="FFFFFF" w:themeColor="background1"/>
        <w:insideV w:val="single" w:sz="4" w:space="0" w:color="FFFFFF" w:themeColor="background1"/>
      </w:tblBorders>
    </w:tblPr>
    <w:tcPr>
      <w:shd w:val="clear" w:color="auto" w:fill="ECECEC" w:themeFill="text1" w:themeFillTint="19"/>
    </w:tcPr>
    <w:tblStylePr w:type="firstRow">
      <w:rPr>
        <w:b/>
        <w:bCs/>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6" w:themeFill="text1" w:themeFillShade="99"/>
      </w:tcPr>
    </w:tblStylePr>
    <w:tblStylePr w:type="firstCol">
      <w:rPr>
        <w:color w:val="FFFFFF" w:themeColor="background1"/>
      </w:rPr>
      <w:tblPr/>
      <w:tcPr>
        <w:tcBorders>
          <w:top w:val="nil"/>
          <w:left w:val="nil"/>
          <w:bottom w:val="nil"/>
          <w:right w:val="nil"/>
          <w:insideH w:val="single" w:sz="4" w:space="0" w:color="262626" w:themeColor="text1" w:themeShade="99"/>
          <w:insideV w:val="nil"/>
        </w:tcBorders>
        <w:shd w:val="clear" w:color="auto" w:fill="26262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F2F2F" w:themeFill="text1" w:themeFillShade="BF"/>
      </w:tcPr>
    </w:tblStylePr>
    <w:tblStylePr w:type="band1Vert">
      <w:tblPr/>
      <w:tcPr>
        <w:shd w:val="clear" w:color="auto" w:fill="B2B2B2" w:themeFill="text1" w:themeFillTint="66"/>
      </w:tcPr>
    </w:tblStylePr>
    <w:tblStylePr w:type="band1Horz">
      <w:tblPr/>
      <w:tcPr>
        <w:shd w:val="clear" w:color="auto" w:fill="9F9F9F" w:themeFill="text1" w:themeFillTint="7F"/>
      </w:tcPr>
    </w:tblStylePr>
    <w:tblStylePr w:type="neCell">
      <w:rPr>
        <w:color w:val="404040" w:themeColor="text1"/>
      </w:rPr>
    </w:tblStylePr>
    <w:tblStylePr w:type="nwCell">
      <w:rPr>
        <w:color w:val="404040" w:themeColor="text1"/>
      </w:rPr>
    </w:tblStylePr>
  </w:style>
  <w:style w:type="table" w:styleId="-11">
    <w:name w:val="Colorful Shading Accent 1"/>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939598" w:themeColor="accent2"/>
        <w:left w:val="single" w:sz="4" w:space="0" w:color="C7C8CA" w:themeColor="accent1"/>
        <w:bottom w:val="single" w:sz="4" w:space="0" w:color="C7C8CA" w:themeColor="accent1"/>
        <w:right w:val="single" w:sz="4" w:space="0" w:color="C7C8CA" w:themeColor="accent1"/>
        <w:insideH w:val="single" w:sz="4" w:space="0" w:color="FFFFFF" w:themeColor="background1"/>
        <w:insideV w:val="single" w:sz="4" w:space="0" w:color="FFFFFF" w:themeColor="background1"/>
      </w:tblBorders>
    </w:tblPr>
    <w:tcPr>
      <w:shd w:val="clear" w:color="auto" w:fill="F9F9F9" w:themeFill="accent1" w:themeFillTint="19"/>
    </w:tcPr>
    <w:tblStylePr w:type="firstRow">
      <w:rPr>
        <w:b/>
        <w:bCs/>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77B" w:themeFill="accent1" w:themeFillShade="99"/>
      </w:tcPr>
    </w:tblStylePr>
    <w:tblStylePr w:type="firstCol">
      <w:rPr>
        <w:color w:val="FFFFFF" w:themeColor="background1"/>
      </w:rPr>
      <w:tblPr/>
      <w:tcPr>
        <w:tcBorders>
          <w:top w:val="nil"/>
          <w:left w:val="nil"/>
          <w:bottom w:val="nil"/>
          <w:right w:val="nil"/>
          <w:insideH w:val="single" w:sz="4" w:space="0" w:color="75777B" w:themeColor="accent1" w:themeShade="99"/>
          <w:insideV w:val="nil"/>
        </w:tcBorders>
        <w:shd w:val="clear" w:color="auto" w:fill="7577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5777B" w:themeFill="accent1" w:themeFillShade="99"/>
      </w:tcPr>
    </w:tblStylePr>
    <w:tblStylePr w:type="band1Vert">
      <w:tblPr/>
      <w:tcPr>
        <w:shd w:val="clear" w:color="auto" w:fill="E8E8E9" w:themeFill="accent1" w:themeFillTint="66"/>
      </w:tcPr>
    </w:tblStylePr>
    <w:tblStylePr w:type="band1Horz">
      <w:tblPr/>
      <w:tcPr>
        <w:shd w:val="clear" w:color="auto" w:fill="E3E3E4" w:themeFill="accent1" w:themeFillTint="7F"/>
      </w:tcPr>
    </w:tblStylePr>
    <w:tblStylePr w:type="neCell">
      <w:rPr>
        <w:color w:val="404040" w:themeColor="text1"/>
      </w:rPr>
    </w:tblStylePr>
    <w:tblStylePr w:type="nwCell">
      <w:rPr>
        <w:color w:val="404040" w:themeColor="text1"/>
      </w:rPr>
    </w:tblStylePr>
  </w:style>
  <w:style w:type="table" w:styleId="-21">
    <w:name w:val="Colorful Shading Accent 2"/>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939598" w:themeColor="accent2"/>
        <w:left w:val="single" w:sz="4" w:space="0" w:color="939598" w:themeColor="accent2"/>
        <w:bottom w:val="single" w:sz="4" w:space="0" w:color="939598" w:themeColor="accent2"/>
        <w:right w:val="single" w:sz="4" w:space="0" w:color="939598" w:themeColor="accent2"/>
        <w:insideH w:val="single" w:sz="4" w:space="0" w:color="FFFFFF" w:themeColor="background1"/>
        <w:insideV w:val="single" w:sz="4" w:space="0" w:color="FFFFFF" w:themeColor="background1"/>
      </w:tblBorders>
    </w:tblPr>
    <w:tcPr>
      <w:shd w:val="clear" w:color="auto" w:fill="F4F4F4" w:themeFill="accent2" w:themeFillTint="19"/>
    </w:tcPr>
    <w:tblStylePr w:type="firstRow">
      <w:rPr>
        <w:b/>
        <w:bCs/>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95B" w:themeFill="accent2" w:themeFillShade="99"/>
      </w:tcPr>
    </w:tblStylePr>
    <w:tblStylePr w:type="firstCol">
      <w:rPr>
        <w:color w:val="FFFFFF" w:themeColor="background1"/>
      </w:rPr>
      <w:tblPr/>
      <w:tcPr>
        <w:tcBorders>
          <w:top w:val="nil"/>
          <w:left w:val="nil"/>
          <w:bottom w:val="nil"/>
          <w:right w:val="nil"/>
          <w:insideH w:val="single" w:sz="4" w:space="0" w:color="57595B" w:themeColor="accent2" w:themeShade="99"/>
          <w:insideV w:val="nil"/>
        </w:tcBorders>
        <w:shd w:val="clear" w:color="auto" w:fill="57595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595B" w:themeFill="accent2" w:themeFillShade="99"/>
      </w:tcPr>
    </w:tblStylePr>
    <w:tblStylePr w:type="band1Vert">
      <w:tblPr/>
      <w:tcPr>
        <w:shd w:val="clear" w:color="auto" w:fill="D3D4D5" w:themeFill="accent2" w:themeFillTint="66"/>
      </w:tcPr>
    </w:tblStylePr>
    <w:tblStylePr w:type="band1Horz">
      <w:tblPr/>
      <w:tcPr>
        <w:shd w:val="clear" w:color="auto" w:fill="C9CACB" w:themeFill="accent2" w:themeFillTint="7F"/>
      </w:tcPr>
    </w:tblStylePr>
    <w:tblStylePr w:type="neCell">
      <w:rPr>
        <w:color w:val="404040" w:themeColor="text1"/>
      </w:rPr>
    </w:tblStylePr>
    <w:tblStylePr w:type="nwCell">
      <w:rPr>
        <w:color w:val="404040" w:themeColor="text1"/>
      </w:rPr>
    </w:tblStylePr>
  </w:style>
  <w:style w:type="table" w:styleId="-31">
    <w:name w:val="Colorful Shading Accent 3"/>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CD202C" w:themeColor="accent4"/>
        <w:left w:val="single" w:sz="4" w:space="0" w:color="636466" w:themeColor="accent3"/>
        <w:bottom w:val="single" w:sz="4" w:space="0" w:color="636466" w:themeColor="accent3"/>
        <w:right w:val="single" w:sz="4" w:space="0" w:color="636466" w:themeColor="accent3"/>
        <w:insideH w:val="single" w:sz="4" w:space="0" w:color="FFFFFF" w:themeColor="background1"/>
        <w:insideV w:val="single" w:sz="4" w:space="0" w:color="FFFFFF" w:themeColor="background1"/>
      </w:tblBorders>
    </w:tblPr>
    <w:tcPr>
      <w:shd w:val="clear" w:color="auto" w:fill="EFEFF0" w:themeFill="accent3" w:themeFillTint="19"/>
    </w:tcPr>
    <w:tblStylePr w:type="firstRow">
      <w:rPr>
        <w:b/>
        <w:bCs/>
      </w:rPr>
      <w:tblPr/>
      <w:tcPr>
        <w:tcBorders>
          <w:top w:val="nil"/>
          <w:left w:val="nil"/>
          <w:bottom w:val="single" w:sz="24" w:space="0" w:color="CD202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3B3D" w:themeFill="accent3" w:themeFillShade="99"/>
      </w:tcPr>
    </w:tblStylePr>
    <w:tblStylePr w:type="firstCol">
      <w:rPr>
        <w:color w:val="FFFFFF" w:themeColor="background1"/>
      </w:rPr>
      <w:tblPr/>
      <w:tcPr>
        <w:tcBorders>
          <w:top w:val="nil"/>
          <w:left w:val="nil"/>
          <w:bottom w:val="nil"/>
          <w:right w:val="nil"/>
          <w:insideH w:val="single" w:sz="4" w:space="0" w:color="3B3B3D" w:themeColor="accent3" w:themeShade="99"/>
          <w:insideV w:val="nil"/>
        </w:tcBorders>
        <w:shd w:val="clear" w:color="auto" w:fill="3B3B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3B3D" w:themeFill="accent3" w:themeFillShade="99"/>
      </w:tcPr>
    </w:tblStylePr>
    <w:tblStylePr w:type="band1Vert">
      <w:tblPr/>
      <w:tcPr>
        <w:shd w:val="clear" w:color="auto" w:fill="C0C0C2" w:themeFill="accent3" w:themeFillTint="66"/>
      </w:tcPr>
    </w:tblStylePr>
    <w:tblStylePr w:type="band1Horz">
      <w:tblPr/>
      <w:tcPr>
        <w:shd w:val="clear" w:color="auto" w:fill="B0B1B3" w:themeFill="accent3" w:themeFillTint="7F"/>
      </w:tcPr>
    </w:tblStylePr>
  </w:style>
  <w:style w:type="table" w:styleId="-41">
    <w:name w:val="Colorful Shading Accent 4"/>
    <w:basedOn w:val="a4"/>
    <w:uiPriority w:val="71"/>
    <w:unhideWhenUsed/>
    <w:rsid w:val="00F527CC"/>
    <w:pPr>
      <w:spacing w:after="0" w:line="240" w:lineRule="auto"/>
    </w:pPr>
    <w:rPr>
      <w:color w:val="404040" w:themeColor="text1"/>
    </w:rPr>
    <w:tblPr>
      <w:tblStyleRowBandSize w:val="1"/>
      <w:tblStyleColBandSize w:val="1"/>
      <w:tblBorders>
        <w:top w:val="single" w:sz="24" w:space="0" w:color="636466" w:themeColor="accent3"/>
        <w:left w:val="single" w:sz="4" w:space="0" w:color="CD202C" w:themeColor="accent4"/>
        <w:bottom w:val="single" w:sz="4" w:space="0" w:color="CD202C" w:themeColor="accent4"/>
        <w:right w:val="single" w:sz="4" w:space="0" w:color="CD202C" w:themeColor="accent4"/>
        <w:insideH w:val="single" w:sz="4" w:space="0" w:color="FFFFFF" w:themeColor="background1"/>
        <w:insideV w:val="single" w:sz="4" w:space="0" w:color="FFFFFF" w:themeColor="background1"/>
      </w:tblBorders>
    </w:tblPr>
    <w:tcPr>
      <w:shd w:val="clear" w:color="auto" w:fill="FBE7E8" w:themeFill="accent4" w:themeFillTint="19"/>
    </w:tcPr>
    <w:tblStylePr w:type="firstRow">
      <w:rPr>
        <w:b/>
        <w:bCs/>
      </w:rPr>
      <w:tblPr/>
      <w:tcPr>
        <w:tcBorders>
          <w:top w:val="nil"/>
          <w:left w:val="nil"/>
          <w:bottom w:val="single" w:sz="24" w:space="0" w:color="63646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131A" w:themeFill="accent4" w:themeFillShade="99"/>
      </w:tcPr>
    </w:tblStylePr>
    <w:tblStylePr w:type="firstCol">
      <w:rPr>
        <w:color w:val="FFFFFF" w:themeColor="background1"/>
      </w:rPr>
      <w:tblPr/>
      <w:tcPr>
        <w:tcBorders>
          <w:top w:val="nil"/>
          <w:left w:val="nil"/>
          <w:bottom w:val="nil"/>
          <w:right w:val="nil"/>
          <w:insideH w:val="single" w:sz="4" w:space="0" w:color="7A131A" w:themeColor="accent4" w:themeShade="99"/>
          <w:insideV w:val="nil"/>
        </w:tcBorders>
        <w:shd w:val="clear" w:color="auto" w:fill="7A131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A131A" w:themeFill="accent4" w:themeFillShade="99"/>
      </w:tcPr>
    </w:tblStylePr>
    <w:tblStylePr w:type="band1Vert">
      <w:tblPr/>
      <w:tcPr>
        <w:shd w:val="clear" w:color="auto" w:fill="F0A0A5" w:themeFill="accent4" w:themeFillTint="66"/>
      </w:tcPr>
    </w:tblStylePr>
    <w:tblStylePr w:type="band1Horz">
      <w:tblPr/>
      <w:tcPr>
        <w:shd w:val="clear" w:color="auto" w:fill="EC898F" w:themeFill="accent4" w:themeFillTint="7F"/>
      </w:tcPr>
    </w:tblStylePr>
    <w:tblStylePr w:type="neCell">
      <w:rPr>
        <w:color w:val="404040" w:themeColor="text1"/>
      </w:rPr>
    </w:tblStylePr>
    <w:tblStylePr w:type="nwCell">
      <w:rPr>
        <w:color w:val="404040" w:themeColor="text1"/>
      </w:rPr>
    </w:tblStylePr>
  </w:style>
  <w:style w:type="table" w:styleId="-51">
    <w:name w:val="Colorful Shading Accent 5"/>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FFAA22" w:themeColor="accent6"/>
        <w:left w:val="single" w:sz="4" w:space="0" w:color="0055AA" w:themeColor="accent5"/>
        <w:bottom w:val="single" w:sz="4" w:space="0" w:color="0055AA" w:themeColor="accent5"/>
        <w:right w:val="single" w:sz="4" w:space="0" w:color="0055AA" w:themeColor="accent5"/>
        <w:insideH w:val="single" w:sz="4" w:space="0" w:color="FFFFFF" w:themeColor="background1"/>
        <w:insideV w:val="single" w:sz="4" w:space="0" w:color="FFFFFF" w:themeColor="background1"/>
      </w:tblBorders>
    </w:tblPr>
    <w:tcPr>
      <w:shd w:val="clear" w:color="auto" w:fill="DDEEFF" w:themeFill="accent5" w:themeFillTint="19"/>
    </w:tcPr>
    <w:tblStylePr w:type="firstRow">
      <w:rPr>
        <w:b/>
        <w:bCs/>
      </w:rPr>
      <w:tblPr/>
      <w:tcPr>
        <w:tcBorders>
          <w:top w:val="nil"/>
          <w:left w:val="nil"/>
          <w:bottom w:val="single" w:sz="24" w:space="0" w:color="FFAA2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266" w:themeFill="accent5" w:themeFillShade="99"/>
      </w:tcPr>
    </w:tblStylePr>
    <w:tblStylePr w:type="firstCol">
      <w:rPr>
        <w:color w:val="FFFFFF" w:themeColor="background1"/>
      </w:rPr>
      <w:tblPr/>
      <w:tcPr>
        <w:tcBorders>
          <w:top w:val="nil"/>
          <w:left w:val="nil"/>
          <w:bottom w:val="nil"/>
          <w:right w:val="nil"/>
          <w:insideH w:val="single" w:sz="4" w:space="0" w:color="003266" w:themeColor="accent5" w:themeShade="99"/>
          <w:insideV w:val="nil"/>
        </w:tcBorders>
        <w:shd w:val="clear" w:color="auto" w:fill="00326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3266" w:themeFill="accent5" w:themeFillShade="99"/>
      </w:tcPr>
    </w:tblStylePr>
    <w:tblStylePr w:type="band1Vert">
      <w:tblPr/>
      <w:tcPr>
        <w:shd w:val="clear" w:color="auto" w:fill="77BAFF" w:themeFill="accent5" w:themeFillTint="66"/>
      </w:tcPr>
    </w:tblStylePr>
    <w:tblStylePr w:type="band1Horz">
      <w:tblPr/>
      <w:tcPr>
        <w:shd w:val="clear" w:color="auto" w:fill="55AAFF" w:themeFill="accent5" w:themeFillTint="7F"/>
      </w:tcPr>
    </w:tblStylePr>
    <w:tblStylePr w:type="neCell">
      <w:rPr>
        <w:color w:val="404040" w:themeColor="text1"/>
      </w:rPr>
    </w:tblStylePr>
    <w:tblStylePr w:type="nwCell">
      <w:rPr>
        <w:color w:val="404040" w:themeColor="text1"/>
      </w:rPr>
    </w:tblStylePr>
  </w:style>
  <w:style w:type="table" w:styleId="-61">
    <w:name w:val="Colorful Shading Accent 6"/>
    <w:basedOn w:val="a4"/>
    <w:uiPriority w:val="71"/>
    <w:semiHidden/>
    <w:unhideWhenUsed/>
    <w:rsid w:val="00F527CC"/>
    <w:pPr>
      <w:spacing w:after="0" w:line="240" w:lineRule="auto"/>
    </w:pPr>
    <w:rPr>
      <w:color w:val="404040" w:themeColor="text1"/>
    </w:rPr>
    <w:tblPr>
      <w:tblStyleRowBandSize w:val="1"/>
      <w:tblStyleColBandSize w:val="1"/>
      <w:tblBorders>
        <w:top w:val="single" w:sz="24" w:space="0" w:color="0055AA" w:themeColor="accent5"/>
        <w:left w:val="single" w:sz="4" w:space="0" w:color="FFAA22" w:themeColor="accent6"/>
        <w:bottom w:val="single" w:sz="4" w:space="0" w:color="FFAA22" w:themeColor="accent6"/>
        <w:right w:val="single" w:sz="4" w:space="0" w:color="FFAA22" w:themeColor="accent6"/>
        <w:insideH w:val="single" w:sz="4" w:space="0" w:color="FFFFFF" w:themeColor="background1"/>
        <w:insideV w:val="single" w:sz="4" w:space="0" w:color="FFFFFF" w:themeColor="background1"/>
      </w:tblBorders>
    </w:tblPr>
    <w:tcPr>
      <w:shd w:val="clear" w:color="auto" w:fill="FFF6E9" w:themeFill="accent6" w:themeFillTint="19"/>
    </w:tcPr>
    <w:tblStylePr w:type="firstRow">
      <w:rPr>
        <w:b/>
        <w:bCs/>
      </w:rPr>
      <w:tblPr/>
      <w:tcPr>
        <w:tcBorders>
          <w:top w:val="nil"/>
          <w:left w:val="nil"/>
          <w:bottom w:val="single" w:sz="24" w:space="0" w:color="0055A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D6A00" w:themeFill="accent6" w:themeFillShade="99"/>
      </w:tcPr>
    </w:tblStylePr>
    <w:tblStylePr w:type="firstCol">
      <w:rPr>
        <w:color w:val="FFFFFF" w:themeColor="background1"/>
      </w:rPr>
      <w:tblPr/>
      <w:tcPr>
        <w:tcBorders>
          <w:top w:val="nil"/>
          <w:left w:val="nil"/>
          <w:bottom w:val="nil"/>
          <w:right w:val="nil"/>
          <w:insideH w:val="single" w:sz="4" w:space="0" w:color="AD6A00" w:themeColor="accent6" w:themeShade="99"/>
          <w:insideV w:val="nil"/>
        </w:tcBorders>
        <w:shd w:val="clear" w:color="auto" w:fill="AD6A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D6A00" w:themeFill="accent6" w:themeFillShade="99"/>
      </w:tcPr>
    </w:tblStylePr>
    <w:tblStylePr w:type="band1Vert">
      <w:tblPr/>
      <w:tcPr>
        <w:shd w:val="clear" w:color="auto" w:fill="FFDCA6" w:themeFill="accent6" w:themeFillTint="66"/>
      </w:tcPr>
    </w:tblStylePr>
    <w:tblStylePr w:type="band1Horz">
      <w:tblPr/>
      <w:tcPr>
        <w:shd w:val="clear" w:color="auto" w:fill="FFD490" w:themeFill="accent6" w:themeFillTint="7F"/>
      </w:tcPr>
    </w:tblStylePr>
    <w:tblStylePr w:type="neCell">
      <w:rPr>
        <w:color w:val="404040" w:themeColor="text1"/>
      </w:rPr>
    </w:tblStylePr>
    <w:tblStylePr w:type="nwCell">
      <w:rPr>
        <w:color w:val="404040" w:themeColor="text1"/>
      </w:rPr>
    </w:tblStylePr>
  </w:style>
  <w:style w:type="character" w:styleId="affb">
    <w:name w:val="annotation reference"/>
    <w:basedOn w:val="a3"/>
    <w:uiPriority w:val="99"/>
    <w:unhideWhenUsed/>
    <w:rsid w:val="00F527CC"/>
    <w:rPr>
      <w:sz w:val="16"/>
      <w:szCs w:val="16"/>
      <w:lang w:val="en-US"/>
    </w:rPr>
  </w:style>
  <w:style w:type="paragraph" w:styleId="affc">
    <w:name w:val="annotation text"/>
    <w:basedOn w:val="a2"/>
    <w:link w:val="affd"/>
    <w:uiPriority w:val="99"/>
    <w:unhideWhenUsed/>
    <w:rsid w:val="00F527CC"/>
    <w:pPr>
      <w:spacing w:line="240" w:lineRule="auto"/>
    </w:pPr>
    <w:rPr>
      <w:sz w:val="20"/>
      <w:szCs w:val="20"/>
    </w:rPr>
  </w:style>
  <w:style w:type="character" w:customStyle="1" w:styleId="affd">
    <w:name w:val="Текст примечания Знак"/>
    <w:basedOn w:val="a3"/>
    <w:link w:val="affc"/>
    <w:uiPriority w:val="99"/>
    <w:rsid w:val="00F527CC"/>
    <w:rPr>
      <w:sz w:val="20"/>
      <w:szCs w:val="20"/>
      <w:lang w:val="en-US"/>
    </w:rPr>
  </w:style>
  <w:style w:type="paragraph" w:styleId="affe">
    <w:name w:val="annotation subject"/>
    <w:basedOn w:val="affc"/>
    <w:next w:val="affc"/>
    <w:link w:val="afff"/>
    <w:uiPriority w:val="99"/>
    <w:semiHidden/>
    <w:unhideWhenUsed/>
    <w:rsid w:val="00F527CC"/>
    <w:rPr>
      <w:b/>
      <w:bCs/>
    </w:rPr>
  </w:style>
  <w:style w:type="character" w:customStyle="1" w:styleId="afff">
    <w:name w:val="Тема примечания Знак"/>
    <w:basedOn w:val="affd"/>
    <w:link w:val="affe"/>
    <w:uiPriority w:val="99"/>
    <w:semiHidden/>
    <w:rsid w:val="00F527CC"/>
    <w:rPr>
      <w:b/>
      <w:bCs/>
      <w:sz w:val="20"/>
      <w:szCs w:val="20"/>
      <w:lang w:val="en-US"/>
    </w:rPr>
  </w:style>
  <w:style w:type="table" w:styleId="afff0">
    <w:name w:val="Dark List"/>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404040" w:themeFill="text1"/>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1F1F1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F2F2F"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F2F2F" w:themeFill="text1" w:themeFillShade="BF"/>
      </w:tcPr>
    </w:tblStylePr>
    <w:tblStylePr w:type="band1Vert">
      <w:tblPr/>
      <w:tcPr>
        <w:tcBorders>
          <w:top w:val="nil"/>
          <w:left w:val="nil"/>
          <w:bottom w:val="nil"/>
          <w:right w:val="nil"/>
          <w:insideH w:val="nil"/>
          <w:insideV w:val="nil"/>
        </w:tcBorders>
        <w:shd w:val="clear" w:color="auto" w:fill="2F2F2F" w:themeFill="text1" w:themeFillShade="BF"/>
      </w:tcPr>
    </w:tblStylePr>
    <w:tblStylePr w:type="band1Horz">
      <w:tblPr/>
      <w:tcPr>
        <w:tcBorders>
          <w:top w:val="nil"/>
          <w:left w:val="nil"/>
          <w:bottom w:val="nil"/>
          <w:right w:val="nil"/>
          <w:insideH w:val="nil"/>
          <w:insideV w:val="nil"/>
        </w:tcBorders>
        <w:shd w:val="clear" w:color="auto" w:fill="2F2F2F" w:themeFill="text1" w:themeFillShade="BF"/>
      </w:tcPr>
    </w:tblStylePr>
  </w:style>
  <w:style w:type="table" w:styleId="-12">
    <w:name w:val="Dark List Accent 1"/>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C7C8C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6162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3959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39599" w:themeFill="accent1" w:themeFillShade="BF"/>
      </w:tcPr>
    </w:tblStylePr>
    <w:tblStylePr w:type="band1Vert">
      <w:tblPr/>
      <w:tcPr>
        <w:tcBorders>
          <w:top w:val="nil"/>
          <w:left w:val="nil"/>
          <w:bottom w:val="nil"/>
          <w:right w:val="nil"/>
          <w:insideH w:val="nil"/>
          <w:insideV w:val="nil"/>
        </w:tcBorders>
        <w:shd w:val="clear" w:color="auto" w:fill="939599" w:themeFill="accent1" w:themeFillShade="BF"/>
      </w:tcPr>
    </w:tblStylePr>
    <w:tblStylePr w:type="band1Horz">
      <w:tblPr/>
      <w:tcPr>
        <w:tcBorders>
          <w:top w:val="nil"/>
          <w:left w:val="nil"/>
          <w:bottom w:val="nil"/>
          <w:right w:val="nil"/>
          <w:insideH w:val="nil"/>
          <w:insideV w:val="nil"/>
        </w:tcBorders>
        <w:shd w:val="clear" w:color="auto" w:fill="939599" w:themeFill="accent1" w:themeFillShade="BF"/>
      </w:tcPr>
    </w:tblStylePr>
  </w:style>
  <w:style w:type="table" w:styleId="-22">
    <w:name w:val="Dark List Accent 2"/>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93959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484A4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6F7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6F72" w:themeFill="accent2" w:themeFillShade="BF"/>
      </w:tcPr>
    </w:tblStylePr>
    <w:tblStylePr w:type="band1Vert">
      <w:tblPr/>
      <w:tcPr>
        <w:tcBorders>
          <w:top w:val="nil"/>
          <w:left w:val="nil"/>
          <w:bottom w:val="nil"/>
          <w:right w:val="nil"/>
          <w:insideH w:val="nil"/>
          <w:insideV w:val="nil"/>
        </w:tcBorders>
        <w:shd w:val="clear" w:color="auto" w:fill="6D6F72" w:themeFill="accent2" w:themeFillShade="BF"/>
      </w:tcPr>
    </w:tblStylePr>
    <w:tblStylePr w:type="band1Horz">
      <w:tblPr/>
      <w:tcPr>
        <w:tcBorders>
          <w:top w:val="nil"/>
          <w:left w:val="nil"/>
          <w:bottom w:val="nil"/>
          <w:right w:val="nil"/>
          <w:insideH w:val="nil"/>
          <w:insideV w:val="nil"/>
        </w:tcBorders>
        <w:shd w:val="clear" w:color="auto" w:fill="6D6F72" w:themeFill="accent2" w:themeFillShade="BF"/>
      </w:tcPr>
    </w:tblStylePr>
  </w:style>
  <w:style w:type="table" w:styleId="-32">
    <w:name w:val="Dark List Accent 3"/>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63646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31313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4A4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4A4C" w:themeFill="accent3" w:themeFillShade="BF"/>
      </w:tcPr>
    </w:tblStylePr>
    <w:tblStylePr w:type="band1Vert">
      <w:tblPr/>
      <w:tcPr>
        <w:tcBorders>
          <w:top w:val="nil"/>
          <w:left w:val="nil"/>
          <w:bottom w:val="nil"/>
          <w:right w:val="nil"/>
          <w:insideH w:val="nil"/>
          <w:insideV w:val="nil"/>
        </w:tcBorders>
        <w:shd w:val="clear" w:color="auto" w:fill="4A4A4C" w:themeFill="accent3" w:themeFillShade="BF"/>
      </w:tcPr>
    </w:tblStylePr>
    <w:tblStylePr w:type="band1Horz">
      <w:tblPr/>
      <w:tcPr>
        <w:tcBorders>
          <w:top w:val="nil"/>
          <w:left w:val="nil"/>
          <w:bottom w:val="nil"/>
          <w:right w:val="nil"/>
          <w:insideH w:val="nil"/>
          <w:insideV w:val="nil"/>
        </w:tcBorders>
        <w:shd w:val="clear" w:color="auto" w:fill="4A4A4C" w:themeFill="accent3" w:themeFillShade="BF"/>
      </w:tcPr>
    </w:tblStylePr>
  </w:style>
  <w:style w:type="table" w:styleId="-42">
    <w:name w:val="Dark List Accent 4"/>
    <w:basedOn w:val="a4"/>
    <w:uiPriority w:val="70"/>
    <w:semiHidden/>
    <w:unhideWhenUsed/>
    <w:rsid w:val="00F527CC"/>
    <w:pPr>
      <w:spacing w:after="0" w:line="240" w:lineRule="auto"/>
    </w:pPr>
    <w:rPr>
      <w:color w:val="FFFFFF" w:themeColor="background1"/>
    </w:rPr>
    <w:tblPr>
      <w:tblStyleRowBandSize w:val="1"/>
      <w:tblStyleColBandSize w:val="1"/>
    </w:tblPr>
    <w:tcPr>
      <w:shd w:val="clear" w:color="auto" w:fill="CD202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66101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9182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91820" w:themeFill="accent4" w:themeFillShade="BF"/>
      </w:tcPr>
    </w:tblStylePr>
    <w:tblStylePr w:type="band1Vert">
      <w:tblPr/>
      <w:tcPr>
        <w:tcBorders>
          <w:top w:val="nil"/>
          <w:left w:val="nil"/>
          <w:bottom w:val="nil"/>
          <w:right w:val="nil"/>
          <w:insideH w:val="nil"/>
          <w:insideV w:val="nil"/>
        </w:tcBorders>
        <w:shd w:val="clear" w:color="auto" w:fill="991820" w:themeFill="accent4" w:themeFillShade="BF"/>
      </w:tcPr>
    </w:tblStylePr>
    <w:tblStylePr w:type="band1Horz">
      <w:tblPr/>
      <w:tcPr>
        <w:tcBorders>
          <w:top w:val="nil"/>
          <w:left w:val="nil"/>
          <w:bottom w:val="nil"/>
          <w:right w:val="nil"/>
          <w:insideH w:val="nil"/>
          <w:insideV w:val="nil"/>
        </w:tcBorders>
        <w:shd w:val="clear" w:color="auto" w:fill="991820" w:themeFill="accent4" w:themeFillShade="BF"/>
      </w:tcPr>
    </w:tblStylePr>
  </w:style>
  <w:style w:type="table" w:styleId="-52">
    <w:name w:val="Dark List Accent 5"/>
    <w:basedOn w:val="a4"/>
    <w:uiPriority w:val="70"/>
    <w:unhideWhenUsed/>
    <w:rsid w:val="00F527CC"/>
    <w:pPr>
      <w:spacing w:after="0" w:line="240" w:lineRule="auto"/>
    </w:pPr>
    <w:rPr>
      <w:color w:val="FFFFFF" w:themeColor="background1"/>
    </w:rPr>
    <w:tblPr>
      <w:tblStyleRowBandSize w:val="1"/>
      <w:tblStyleColBandSize w:val="1"/>
    </w:tblPr>
    <w:tcPr>
      <w:shd w:val="clear" w:color="auto" w:fill="0055A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002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3F7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3F7F" w:themeFill="accent5" w:themeFillShade="BF"/>
      </w:tcPr>
    </w:tblStylePr>
    <w:tblStylePr w:type="band1Vert">
      <w:tblPr/>
      <w:tcPr>
        <w:tcBorders>
          <w:top w:val="nil"/>
          <w:left w:val="nil"/>
          <w:bottom w:val="nil"/>
          <w:right w:val="nil"/>
          <w:insideH w:val="nil"/>
          <w:insideV w:val="nil"/>
        </w:tcBorders>
        <w:shd w:val="clear" w:color="auto" w:fill="003F7F" w:themeFill="accent5" w:themeFillShade="BF"/>
      </w:tcPr>
    </w:tblStylePr>
    <w:tblStylePr w:type="band1Horz">
      <w:tblPr/>
      <w:tcPr>
        <w:tcBorders>
          <w:top w:val="nil"/>
          <w:left w:val="nil"/>
          <w:bottom w:val="nil"/>
          <w:right w:val="nil"/>
          <w:insideH w:val="nil"/>
          <w:insideV w:val="nil"/>
        </w:tcBorders>
        <w:shd w:val="clear" w:color="auto" w:fill="003F7F" w:themeFill="accent5" w:themeFillShade="BF"/>
      </w:tcPr>
    </w:tblStylePr>
  </w:style>
  <w:style w:type="table" w:styleId="-62">
    <w:name w:val="Dark List Accent 6"/>
    <w:basedOn w:val="a4"/>
    <w:uiPriority w:val="70"/>
    <w:unhideWhenUsed/>
    <w:rsid w:val="00F527CC"/>
    <w:pPr>
      <w:spacing w:after="0" w:line="240" w:lineRule="auto"/>
    </w:pPr>
    <w:rPr>
      <w:color w:val="FFFFFF" w:themeColor="background1"/>
    </w:rPr>
    <w:tblPr>
      <w:tblStyleRowBandSize w:val="1"/>
      <w:tblStyleColBandSize w:val="1"/>
    </w:tblPr>
    <w:tcPr>
      <w:shd w:val="clear" w:color="auto" w:fill="FFAA2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404040" w:themeFill="text1"/>
      </w:tcPr>
    </w:tblStylePr>
    <w:tblStylePr w:type="lastRow">
      <w:tblPr/>
      <w:tcPr>
        <w:tcBorders>
          <w:top w:val="single" w:sz="18" w:space="0" w:color="FFFFFF" w:themeColor="background1"/>
          <w:left w:val="nil"/>
          <w:bottom w:val="nil"/>
          <w:right w:val="nil"/>
          <w:insideH w:val="nil"/>
          <w:insideV w:val="nil"/>
        </w:tcBorders>
        <w:shd w:val="clear" w:color="auto" w:fill="8F57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884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88400" w:themeFill="accent6" w:themeFillShade="BF"/>
      </w:tcPr>
    </w:tblStylePr>
    <w:tblStylePr w:type="band1Vert">
      <w:tblPr/>
      <w:tcPr>
        <w:tcBorders>
          <w:top w:val="nil"/>
          <w:left w:val="nil"/>
          <w:bottom w:val="nil"/>
          <w:right w:val="nil"/>
          <w:insideH w:val="nil"/>
          <w:insideV w:val="nil"/>
        </w:tcBorders>
        <w:shd w:val="clear" w:color="auto" w:fill="D88400" w:themeFill="accent6" w:themeFillShade="BF"/>
      </w:tcPr>
    </w:tblStylePr>
    <w:tblStylePr w:type="band1Horz">
      <w:tblPr/>
      <w:tcPr>
        <w:tcBorders>
          <w:top w:val="nil"/>
          <w:left w:val="nil"/>
          <w:bottom w:val="nil"/>
          <w:right w:val="nil"/>
          <w:insideH w:val="nil"/>
          <w:insideV w:val="nil"/>
        </w:tcBorders>
        <w:shd w:val="clear" w:color="auto" w:fill="D88400" w:themeFill="accent6" w:themeFillShade="BF"/>
      </w:tcPr>
    </w:tblStylePr>
  </w:style>
  <w:style w:type="paragraph" w:styleId="afff1">
    <w:name w:val="Document Map"/>
    <w:basedOn w:val="a2"/>
    <w:link w:val="afff2"/>
    <w:uiPriority w:val="99"/>
    <w:semiHidden/>
    <w:unhideWhenUsed/>
    <w:rsid w:val="00F527CC"/>
    <w:pPr>
      <w:spacing w:after="0" w:line="240" w:lineRule="auto"/>
    </w:pPr>
    <w:rPr>
      <w:rFonts w:ascii="Segoe UI" w:hAnsi="Segoe UI" w:cs="Segoe UI"/>
      <w:sz w:val="16"/>
      <w:szCs w:val="16"/>
    </w:rPr>
  </w:style>
  <w:style w:type="character" w:customStyle="1" w:styleId="afff2">
    <w:name w:val="Схема документа Знак"/>
    <w:basedOn w:val="a3"/>
    <w:link w:val="afff1"/>
    <w:uiPriority w:val="99"/>
    <w:semiHidden/>
    <w:rsid w:val="00F527CC"/>
    <w:rPr>
      <w:rFonts w:ascii="Segoe UI" w:hAnsi="Segoe UI" w:cs="Segoe UI"/>
      <w:sz w:val="16"/>
      <w:szCs w:val="16"/>
      <w:lang w:val="en-US"/>
    </w:rPr>
  </w:style>
  <w:style w:type="paragraph" w:styleId="afff3">
    <w:name w:val="E-mail Signature"/>
    <w:basedOn w:val="a2"/>
    <w:link w:val="afff4"/>
    <w:uiPriority w:val="99"/>
    <w:semiHidden/>
    <w:unhideWhenUsed/>
    <w:rsid w:val="00F527CC"/>
    <w:pPr>
      <w:spacing w:after="0" w:line="240" w:lineRule="auto"/>
    </w:pPr>
  </w:style>
  <w:style w:type="character" w:customStyle="1" w:styleId="afff4">
    <w:name w:val="Электронная подпись Знак"/>
    <w:basedOn w:val="a3"/>
    <w:link w:val="afff3"/>
    <w:uiPriority w:val="99"/>
    <w:semiHidden/>
    <w:rsid w:val="00F527CC"/>
    <w:rPr>
      <w:lang w:val="en-US"/>
    </w:rPr>
  </w:style>
  <w:style w:type="character" w:styleId="afff5">
    <w:name w:val="Emphasis"/>
    <w:basedOn w:val="a3"/>
    <w:qFormat/>
    <w:rsid w:val="00F527CC"/>
    <w:rPr>
      <w:i/>
      <w:iCs/>
      <w:lang w:val="en-US"/>
    </w:rPr>
  </w:style>
  <w:style w:type="paragraph" w:styleId="afff6">
    <w:name w:val="envelope address"/>
    <w:basedOn w:val="a2"/>
    <w:uiPriority w:val="99"/>
    <w:semiHidden/>
    <w:unhideWhenUsed/>
    <w:rsid w:val="00F527CC"/>
    <w:pPr>
      <w:framePr w:w="7920" w:h="1980" w:hRule="exact" w:hSpace="180" w:wrap="auto" w:hAnchor="page" w:xAlign="center" w:yAlign="bottom"/>
      <w:spacing w:after="0" w:line="240" w:lineRule="auto"/>
      <w:ind w:left="2880"/>
    </w:pPr>
    <w:rPr>
      <w:rFonts w:eastAsiaTheme="majorEastAsia" w:cs="Arial"/>
      <w:sz w:val="24"/>
      <w:szCs w:val="24"/>
    </w:rPr>
  </w:style>
  <w:style w:type="paragraph" w:styleId="2c">
    <w:name w:val="envelope return"/>
    <w:basedOn w:val="a2"/>
    <w:uiPriority w:val="99"/>
    <w:semiHidden/>
    <w:unhideWhenUsed/>
    <w:rsid w:val="00F527CC"/>
    <w:pPr>
      <w:spacing w:after="0" w:line="240" w:lineRule="auto"/>
    </w:pPr>
    <w:rPr>
      <w:rFonts w:eastAsiaTheme="majorEastAsia" w:cs="Arial"/>
      <w:sz w:val="20"/>
      <w:szCs w:val="20"/>
    </w:rPr>
  </w:style>
  <w:style w:type="character" w:styleId="afff7">
    <w:name w:val="FollowedHyperlink"/>
    <w:basedOn w:val="a3"/>
    <w:uiPriority w:val="99"/>
    <w:semiHidden/>
    <w:unhideWhenUsed/>
    <w:rsid w:val="00F527CC"/>
    <w:rPr>
      <w:color w:val="954F72" w:themeColor="followedHyperlink"/>
      <w:u w:val="single"/>
      <w:lang w:val="en-US"/>
    </w:rPr>
  </w:style>
  <w:style w:type="table" w:customStyle="1" w:styleId="GridTable1Light1">
    <w:name w:val="Grid Table 1 Light1"/>
    <w:basedOn w:val="a4"/>
    <w:uiPriority w:val="46"/>
    <w:rsid w:val="00F527CC"/>
    <w:pPr>
      <w:spacing w:after="0" w:line="240" w:lineRule="auto"/>
    </w:pPr>
    <w:tblPr>
      <w:tblStyleRowBandSize w:val="1"/>
      <w:tblStyleColBandSize w:val="1"/>
      <w:tblBorders>
        <w:top w:val="single" w:sz="4" w:space="0" w:color="B2B2B2" w:themeColor="text1" w:themeTint="66"/>
        <w:left w:val="single" w:sz="4" w:space="0" w:color="B2B2B2" w:themeColor="text1" w:themeTint="66"/>
        <w:bottom w:val="single" w:sz="4" w:space="0" w:color="B2B2B2" w:themeColor="text1" w:themeTint="66"/>
        <w:right w:val="single" w:sz="4" w:space="0" w:color="B2B2B2" w:themeColor="text1" w:themeTint="66"/>
        <w:insideH w:val="single" w:sz="4" w:space="0" w:color="B2B2B2" w:themeColor="text1" w:themeTint="66"/>
        <w:insideV w:val="single" w:sz="4" w:space="0" w:color="B2B2B2" w:themeColor="text1" w:themeTint="66"/>
      </w:tblBorders>
    </w:tblPr>
    <w:tblStylePr w:type="firstRow">
      <w:rPr>
        <w:b/>
        <w:bCs/>
      </w:rPr>
      <w:tblPr/>
      <w:tcPr>
        <w:tcBorders>
          <w:bottom w:val="single" w:sz="12" w:space="0" w:color="8C8C8C" w:themeColor="text1" w:themeTint="99"/>
        </w:tcBorders>
      </w:tcPr>
    </w:tblStylePr>
    <w:tblStylePr w:type="lastRow">
      <w:rPr>
        <w:b/>
        <w:bCs/>
      </w:rPr>
      <w:tblPr/>
      <w:tcPr>
        <w:tcBorders>
          <w:top w:val="double" w:sz="2" w:space="0" w:color="8C8C8C"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a4"/>
    <w:uiPriority w:val="46"/>
    <w:rsid w:val="00F527CC"/>
    <w:pPr>
      <w:spacing w:after="0" w:line="240" w:lineRule="auto"/>
    </w:pPr>
    <w:tblPr>
      <w:tblStyleRowBandSize w:val="1"/>
      <w:tblStyleColBandSize w:val="1"/>
      <w:tblBorders>
        <w:top w:val="single" w:sz="4" w:space="0" w:color="E8E8E9" w:themeColor="accent1" w:themeTint="66"/>
        <w:left w:val="single" w:sz="4" w:space="0" w:color="E8E8E9" w:themeColor="accent1" w:themeTint="66"/>
        <w:bottom w:val="single" w:sz="4" w:space="0" w:color="E8E8E9" w:themeColor="accent1" w:themeTint="66"/>
        <w:right w:val="single" w:sz="4" w:space="0" w:color="E8E8E9" w:themeColor="accent1" w:themeTint="66"/>
        <w:insideH w:val="single" w:sz="4" w:space="0" w:color="E8E8E9" w:themeColor="accent1" w:themeTint="66"/>
        <w:insideV w:val="single" w:sz="4" w:space="0" w:color="E8E8E9" w:themeColor="accent1" w:themeTint="66"/>
      </w:tblBorders>
    </w:tblPr>
    <w:tblStylePr w:type="firstRow">
      <w:rPr>
        <w:b/>
        <w:bCs/>
      </w:rPr>
      <w:tblPr/>
      <w:tcPr>
        <w:tcBorders>
          <w:bottom w:val="single" w:sz="12" w:space="0" w:color="DDDDDF" w:themeColor="accent1" w:themeTint="99"/>
        </w:tcBorders>
      </w:tcPr>
    </w:tblStylePr>
    <w:tblStylePr w:type="lastRow">
      <w:rPr>
        <w:b/>
        <w:bCs/>
      </w:rPr>
      <w:tblPr/>
      <w:tcPr>
        <w:tcBorders>
          <w:top w:val="double" w:sz="2" w:space="0" w:color="DDDDD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a4"/>
    <w:uiPriority w:val="46"/>
    <w:rsid w:val="00F527CC"/>
    <w:pPr>
      <w:spacing w:after="0" w:line="240" w:lineRule="auto"/>
    </w:pPr>
    <w:tblPr>
      <w:tblStyleRowBandSize w:val="1"/>
      <w:tblStyleColBandSize w:val="1"/>
      <w:tblBorders>
        <w:top w:val="single" w:sz="4" w:space="0" w:color="D3D4D5" w:themeColor="accent2" w:themeTint="66"/>
        <w:left w:val="single" w:sz="4" w:space="0" w:color="D3D4D5" w:themeColor="accent2" w:themeTint="66"/>
        <w:bottom w:val="single" w:sz="4" w:space="0" w:color="D3D4D5" w:themeColor="accent2" w:themeTint="66"/>
        <w:right w:val="single" w:sz="4" w:space="0" w:color="D3D4D5" w:themeColor="accent2" w:themeTint="66"/>
        <w:insideH w:val="single" w:sz="4" w:space="0" w:color="D3D4D5" w:themeColor="accent2" w:themeTint="66"/>
        <w:insideV w:val="single" w:sz="4" w:space="0" w:color="D3D4D5" w:themeColor="accent2" w:themeTint="66"/>
      </w:tblBorders>
    </w:tblPr>
    <w:tblStylePr w:type="firstRow">
      <w:rPr>
        <w:b/>
        <w:bCs/>
      </w:rPr>
      <w:tblPr/>
      <w:tcPr>
        <w:tcBorders>
          <w:bottom w:val="single" w:sz="12" w:space="0" w:color="BEBFC1" w:themeColor="accent2" w:themeTint="99"/>
        </w:tcBorders>
      </w:tcPr>
    </w:tblStylePr>
    <w:tblStylePr w:type="lastRow">
      <w:rPr>
        <w:b/>
        <w:bCs/>
      </w:rPr>
      <w:tblPr/>
      <w:tcPr>
        <w:tcBorders>
          <w:top w:val="double" w:sz="2" w:space="0" w:color="BEBFC1"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a4"/>
    <w:uiPriority w:val="46"/>
    <w:rsid w:val="00F527CC"/>
    <w:pPr>
      <w:spacing w:after="0" w:line="240" w:lineRule="auto"/>
    </w:pPr>
    <w:tblPr>
      <w:tblStyleRowBandSize w:val="1"/>
      <w:tblStyleColBandSize w:val="1"/>
      <w:tblBorders>
        <w:top w:val="single" w:sz="4" w:space="0" w:color="C0C0C2" w:themeColor="accent3" w:themeTint="66"/>
        <w:left w:val="single" w:sz="4" w:space="0" w:color="C0C0C2" w:themeColor="accent3" w:themeTint="66"/>
        <w:bottom w:val="single" w:sz="4" w:space="0" w:color="C0C0C2" w:themeColor="accent3" w:themeTint="66"/>
        <w:right w:val="single" w:sz="4" w:space="0" w:color="C0C0C2" w:themeColor="accent3" w:themeTint="66"/>
        <w:insideH w:val="single" w:sz="4" w:space="0" w:color="C0C0C2" w:themeColor="accent3" w:themeTint="66"/>
        <w:insideV w:val="single" w:sz="4" w:space="0" w:color="C0C0C2" w:themeColor="accent3" w:themeTint="66"/>
      </w:tblBorders>
    </w:tblPr>
    <w:tblStylePr w:type="firstRow">
      <w:rPr>
        <w:b/>
        <w:bCs/>
      </w:rPr>
      <w:tblPr/>
      <w:tcPr>
        <w:tcBorders>
          <w:bottom w:val="single" w:sz="12" w:space="0" w:color="A0A1A3" w:themeColor="accent3" w:themeTint="99"/>
        </w:tcBorders>
      </w:tcPr>
    </w:tblStylePr>
    <w:tblStylePr w:type="lastRow">
      <w:rPr>
        <w:b/>
        <w:bCs/>
      </w:rPr>
      <w:tblPr/>
      <w:tcPr>
        <w:tcBorders>
          <w:top w:val="double" w:sz="2" w:space="0" w:color="A0A1A3"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a4"/>
    <w:uiPriority w:val="46"/>
    <w:rsid w:val="00F527CC"/>
    <w:pPr>
      <w:spacing w:after="0" w:line="240" w:lineRule="auto"/>
    </w:pPr>
    <w:tblPr>
      <w:tblStyleRowBandSize w:val="1"/>
      <w:tblStyleColBandSize w:val="1"/>
      <w:tblBorders>
        <w:top w:val="single" w:sz="4" w:space="0" w:color="F0A0A5" w:themeColor="accent4" w:themeTint="66"/>
        <w:left w:val="single" w:sz="4" w:space="0" w:color="F0A0A5" w:themeColor="accent4" w:themeTint="66"/>
        <w:bottom w:val="single" w:sz="4" w:space="0" w:color="F0A0A5" w:themeColor="accent4" w:themeTint="66"/>
        <w:right w:val="single" w:sz="4" w:space="0" w:color="F0A0A5" w:themeColor="accent4" w:themeTint="66"/>
        <w:insideH w:val="single" w:sz="4" w:space="0" w:color="F0A0A5" w:themeColor="accent4" w:themeTint="66"/>
        <w:insideV w:val="single" w:sz="4" w:space="0" w:color="F0A0A5" w:themeColor="accent4" w:themeTint="66"/>
      </w:tblBorders>
    </w:tblPr>
    <w:tblStylePr w:type="firstRow">
      <w:rPr>
        <w:b/>
        <w:bCs/>
      </w:rPr>
      <w:tblPr/>
      <w:tcPr>
        <w:tcBorders>
          <w:bottom w:val="single" w:sz="12" w:space="0" w:color="E87179" w:themeColor="accent4" w:themeTint="99"/>
        </w:tcBorders>
      </w:tcPr>
    </w:tblStylePr>
    <w:tblStylePr w:type="lastRow">
      <w:rPr>
        <w:b/>
        <w:bCs/>
      </w:rPr>
      <w:tblPr/>
      <w:tcPr>
        <w:tcBorders>
          <w:top w:val="double" w:sz="2" w:space="0" w:color="E87179"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a4"/>
    <w:uiPriority w:val="46"/>
    <w:rsid w:val="00F527CC"/>
    <w:pPr>
      <w:spacing w:after="0" w:line="240" w:lineRule="auto"/>
    </w:pPr>
    <w:tblPr>
      <w:tblStyleRowBandSize w:val="1"/>
      <w:tblStyleColBandSize w:val="1"/>
      <w:tblBorders>
        <w:top w:val="single" w:sz="4" w:space="0" w:color="77BAFF" w:themeColor="accent5" w:themeTint="66"/>
        <w:left w:val="single" w:sz="4" w:space="0" w:color="77BAFF" w:themeColor="accent5" w:themeTint="66"/>
        <w:bottom w:val="single" w:sz="4" w:space="0" w:color="77BAFF" w:themeColor="accent5" w:themeTint="66"/>
        <w:right w:val="single" w:sz="4" w:space="0" w:color="77BAFF" w:themeColor="accent5" w:themeTint="66"/>
        <w:insideH w:val="single" w:sz="4" w:space="0" w:color="77BAFF" w:themeColor="accent5" w:themeTint="66"/>
        <w:insideV w:val="single" w:sz="4" w:space="0" w:color="77BAFF" w:themeColor="accent5" w:themeTint="66"/>
      </w:tblBorders>
    </w:tblPr>
    <w:tblStylePr w:type="firstRow">
      <w:rPr>
        <w:b/>
        <w:bCs/>
      </w:rPr>
      <w:tblPr/>
      <w:tcPr>
        <w:tcBorders>
          <w:bottom w:val="single" w:sz="12" w:space="0" w:color="3398FF" w:themeColor="accent5" w:themeTint="99"/>
        </w:tcBorders>
      </w:tcPr>
    </w:tblStylePr>
    <w:tblStylePr w:type="lastRow">
      <w:rPr>
        <w:b/>
        <w:bCs/>
      </w:rPr>
      <w:tblPr/>
      <w:tcPr>
        <w:tcBorders>
          <w:top w:val="double" w:sz="2" w:space="0" w:color="3398F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a4"/>
    <w:uiPriority w:val="46"/>
    <w:rsid w:val="00F527CC"/>
    <w:pPr>
      <w:spacing w:after="0" w:line="240" w:lineRule="auto"/>
    </w:pPr>
    <w:tblPr>
      <w:tblStyleRowBandSize w:val="1"/>
      <w:tblStyleColBandSize w:val="1"/>
      <w:tblBorders>
        <w:top w:val="single" w:sz="4" w:space="0" w:color="FFDCA6" w:themeColor="accent6" w:themeTint="66"/>
        <w:left w:val="single" w:sz="4" w:space="0" w:color="FFDCA6" w:themeColor="accent6" w:themeTint="66"/>
        <w:bottom w:val="single" w:sz="4" w:space="0" w:color="FFDCA6" w:themeColor="accent6" w:themeTint="66"/>
        <w:right w:val="single" w:sz="4" w:space="0" w:color="FFDCA6" w:themeColor="accent6" w:themeTint="66"/>
        <w:insideH w:val="single" w:sz="4" w:space="0" w:color="FFDCA6" w:themeColor="accent6" w:themeTint="66"/>
        <w:insideV w:val="single" w:sz="4" w:space="0" w:color="FFDCA6" w:themeColor="accent6" w:themeTint="66"/>
      </w:tblBorders>
    </w:tblPr>
    <w:tblStylePr w:type="firstRow">
      <w:rPr>
        <w:b/>
        <w:bCs/>
      </w:rPr>
      <w:tblPr/>
      <w:tcPr>
        <w:tcBorders>
          <w:bottom w:val="single" w:sz="12" w:space="0" w:color="FFCB7A" w:themeColor="accent6" w:themeTint="99"/>
        </w:tcBorders>
      </w:tcPr>
    </w:tblStylePr>
    <w:tblStylePr w:type="lastRow">
      <w:rPr>
        <w:b/>
        <w:bCs/>
      </w:rPr>
      <w:tblPr/>
      <w:tcPr>
        <w:tcBorders>
          <w:top w:val="double" w:sz="2" w:space="0" w:color="FFCB7A" w:themeColor="accent6" w:themeTint="99"/>
        </w:tcBorders>
      </w:tcPr>
    </w:tblStylePr>
    <w:tblStylePr w:type="firstCol">
      <w:rPr>
        <w:b/>
        <w:bCs/>
      </w:rPr>
    </w:tblStylePr>
    <w:tblStylePr w:type="lastCol">
      <w:rPr>
        <w:b/>
        <w:bCs/>
      </w:rPr>
    </w:tblStylePr>
  </w:style>
  <w:style w:type="table" w:customStyle="1" w:styleId="GridTable21">
    <w:name w:val="Grid Table 21"/>
    <w:basedOn w:val="a4"/>
    <w:uiPriority w:val="47"/>
    <w:rsid w:val="00F527CC"/>
    <w:pPr>
      <w:spacing w:after="0" w:line="240" w:lineRule="auto"/>
    </w:pPr>
    <w:tblPr>
      <w:tblStyleRowBandSize w:val="1"/>
      <w:tblStyleColBandSize w:val="1"/>
      <w:tblBorders>
        <w:top w:val="single" w:sz="2" w:space="0" w:color="8C8C8C" w:themeColor="text1" w:themeTint="99"/>
        <w:bottom w:val="single" w:sz="2" w:space="0" w:color="8C8C8C" w:themeColor="text1" w:themeTint="99"/>
        <w:insideH w:val="single" w:sz="2" w:space="0" w:color="8C8C8C" w:themeColor="text1" w:themeTint="99"/>
        <w:insideV w:val="single" w:sz="2" w:space="0" w:color="8C8C8C" w:themeColor="text1" w:themeTint="99"/>
      </w:tblBorders>
    </w:tblPr>
    <w:tblStylePr w:type="firstRow">
      <w:rPr>
        <w:b/>
        <w:bCs/>
      </w:rPr>
      <w:tblPr/>
      <w:tcPr>
        <w:tcBorders>
          <w:top w:val="nil"/>
          <w:bottom w:val="single" w:sz="12" w:space="0" w:color="8C8C8C" w:themeColor="text1" w:themeTint="99"/>
          <w:insideH w:val="nil"/>
          <w:insideV w:val="nil"/>
        </w:tcBorders>
        <w:shd w:val="clear" w:color="auto" w:fill="FFFFFF" w:themeFill="background1"/>
      </w:tcPr>
    </w:tblStylePr>
    <w:tblStylePr w:type="lastRow">
      <w:rPr>
        <w:b/>
        <w:bCs/>
      </w:rPr>
      <w:tblPr/>
      <w:tcPr>
        <w:tcBorders>
          <w:top w:val="double" w:sz="2" w:space="0" w:color="8C8C8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GridTable2-Accent11">
    <w:name w:val="Grid Table 2 - Accent 11"/>
    <w:basedOn w:val="a4"/>
    <w:uiPriority w:val="47"/>
    <w:rsid w:val="00F527CC"/>
    <w:pPr>
      <w:spacing w:after="0" w:line="240" w:lineRule="auto"/>
    </w:pPr>
    <w:tblPr>
      <w:tblStyleRowBandSize w:val="1"/>
      <w:tblStyleColBandSize w:val="1"/>
      <w:tblBorders>
        <w:top w:val="single" w:sz="2" w:space="0" w:color="DDDDDF" w:themeColor="accent1" w:themeTint="99"/>
        <w:bottom w:val="single" w:sz="2" w:space="0" w:color="DDDDDF" w:themeColor="accent1" w:themeTint="99"/>
        <w:insideH w:val="single" w:sz="2" w:space="0" w:color="DDDDDF" w:themeColor="accent1" w:themeTint="99"/>
        <w:insideV w:val="single" w:sz="2" w:space="0" w:color="DDDDDF" w:themeColor="accent1" w:themeTint="99"/>
      </w:tblBorders>
    </w:tblPr>
    <w:tblStylePr w:type="firstRow">
      <w:rPr>
        <w:b/>
        <w:bCs/>
      </w:rPr>
      <w:tblPr/>
      <w:tcPr>
        <w:tcBorders>
          <w:top w:val="nil"/>
          <w:bottom w:val="single" w:sz="12" w:space="0" w:color="DDDDDF" w:themeColor="accent1" w:themeTint="99"/>
          <w:insideH w:val="nil"/>
          <w:insideV w:val="nil"/>
        </w:tcBorders>
        <w:shd w:val="clear" w:color="auto" w:fill="FFFFFF" w:themeFill="background1"/>
      </w:tcPr>
    </w:tblStylePr>
    <w:tblStylePr w:type="lastRow">
      <w:rPr>
        <w:b/>
        <w:bCs/>
      </w:rPr>
      <w:tblPr/>
      <w:tcPr>
        <w:tcBorders>
          <w:top w:val="double" w:sz="2" w:space="0" w:color="DDDDD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GridTable2-Accent21">
    <w:name w:val="Grid Table 2 - Accent 21"/>
    <w:basedOn w:val="a4"/>
    <w:uiPriority w:val="47"/>
    <w:rsid w:val="00F527CC"/>
    <w:pPr>
      <w:spacing w:after="0" w:line="240" w:lineRule="auto"/>
    </w:pPr>
    <w:tblPr>
      <w:tblStyleRowBandSize w:val="1"/>
      <w:tblStyleColBandSize w:val="1"/>
      <w:tblBorders>
        <w:top w:val="single" w:sz="2" w:space="0" w:color="BEBFC1" w:themeColor="accent2" w:themeTint="99"/>
        <w:bottom w:val="single" w:sz="2" w:space="0" w:color="BEBFC1" w:themeColor="accent2" w:themeTint="99"/>
        <w:insideH w:val="single" w:sz="2" w:space="0" w:color="BEBFC1" w:themeColor="accent2" w:themeTint="99"/>
        <w:insideV w:val="single" w:sz="2" w:space="0" w:color="BEBFC1" w:themeColor="accent2" w:themeTint="99"/>
      </w:tblBorders>
    </w:tblPr>
    <w:tblStylePr w:type="firstRow">
      <w:rPr>
        <w:b/>
        <w:bCs/>
      </w:rPr>
      <w:tblPr/>
      <w:tcPr>
        <w:tcBorders>
          <w:top w:val="nil"/>
          <w:bottom w:val="single" w:sz="12" w:space="0" w:color="BEBFC1" w:themeColor="accent2" w:themeTint="99"/>
          <w:insideH w:val="nil"/>
          <w:insideV w:val="nil"/>
        </w:tcBorders>
        <w:shd w:val="clear" w:color="auto" w:fill="FFFFFF" w:themeFill="background1"/>
      </w:tcPr>
    </w:tblStylePr>
    <w:tblStylePr w:type="lastRow">
      <w:rPr>
        <w:b/>
        <w:bCs/>
      </w:rPr>
      <w:tblPr/>
      <w:tcPr>
        <w:tcBorders>
          <w:top w:val="double" w:sz="2" w:space="0" w:color="BEBFC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GridTable2-Accent31">
    <w:name w:val="Grid Table 2 - Accent 31"/>
    <w:basedOn w:val="a4"/>
    <w:uiPriority w:val="47"/>
    <w:rsid w:val="00F527CC"/>
    <w:pPr>
      <w:spacing w:after="0" w:line="240" w:lineRule="auto"/>
    </w:pPr>
    <w:tblPr>
      <w:tblStyleRowBandSize w:val="1"/>
      <w:tblStyleColBandSize w:val="1"/>
      <w:tblBorders>
        <w:top w:val="single" w:sz="2" w:space="0" w:color="A0A1A3" w:themeColor="accent3" w:themeTint="99"/>
        <w:bottom w:val="single" w:sz="2" w:space="0" w:color="A0A1A3" w:themeColor="accent3" w:themeTint="99"/>
        <w:insideH w:val="single" w:sz="2" w:space="0" w:color="A0A1A3" w:themeColor="accent3" w:themeTint="99"/>
        <w:insideV w:val="single" w:sz="2" w:space="0" w:color="A0A1A3" w:themeColor="accent3" w:themeTint="99"/>
      </w:tblBorders>
    </w:tblPr>
    <w:tblStylePr w:type="firstRow">
      <w:rPr>
        <w:b/>
        <w:bCs/>
      </w:rPr>
      <w:tblPr/>
      <w:tcPr>
        <w:tcBorders>
          <w:top w:val="nil"/>
          <w:bottom w:val="single" w:sz="12" w:space="0" w:color="A0A1A3" w:themeColor="accent3" w:themeTint="99"/>
          <w:insideH w:val="nil"/>
          <w:insideV w:val="nil"/>
        </w:tcBorders>
        <w:shd w:val="clear" w:color="auto" w:fill="FFFFFF" w:themeFill="background1"/>
      </w:tcPr>
    </w:tblStylePr>
    <w:tblStylePr w:type="lastRow">
      <w:rPr>
        <w:b/>
        <w:bCs/>
      </w:rPr>
      <w:tblPr/>
      <w:tcPr>
        <w:tcBorders>
          <w:top w:val="double" w:sz="2" w:space="0" w:color="A0A1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GridTable2-Accent41">
    <w:name w:val="Grid Table 2 - Accent 41"/>
    <w:basedOn w:val="a4"/>
    <w:uiPriority w:val="47"/>
    <w:rsid w:val="00F527CC"/>
    <w:pPr>
      <w:spacing w:after="0" w:line="240" w:lineRule="auto"/>
    </w:pPr>
    <w:tblPr>
      <w:tblStyleRowBandSize w:val="1"/>
      <w:tblStyleColBandSize w:val="1"/>
      <w:tblBorders>
        <w:top w:val="single" w:sz="2" w:space="0" w:color="E87179" w:themeColor="accent4" w:themeTint="99"/>
        <w:bottom w:val="single" w:sz="2" w:space="0" w:color="E87179" w:themeColor="accent4" w:themeTint="99"/>
        <w:insideH w:val="single" w:sz="2" w:space="0" w:color="E87179" w:themeColor="accent4" w:themeTint="99"/>
        <w:insideV w:val="single" w:sz="2" w:space="0" w:color="E87179" w:themeColor="accent4" w:themeTint="99"/>
      </w:tblBorders>
    </w:tblPr>
    <w:tblStylePr w:type="firstRow">
      <w:rPr>
        <w:b/>
        <w:bCs/>
      </w:rPr>
      <w:tblPr/>
      <w:tcPr>
        <w:tcBorders>
          <w:top w:val="nil"/>
          <w:bottom w:val="single" w:sz="12" w:space="0" w:color="E87179" w:themeColor="accent4" w:themeTint="99"/>
          <w:insideH w:val="nil"/>
          <w:insideV w:val="nil"/>
        </w:tcBorders>
        <w:shd w:val="clear" w:color="auto" w:fill="FFFFFF" w:themeFill="background1"/>
      </w:tcPr>
    </w:tblStylePr>
    <w:tblStylePr w:type="lastRow">
      <w:rPr>
        <w:b/>
        <w:bCs/>
      </w:rPr>
      <w:tblPr/>
      <w:tcPr>
        <w:tcBorders>
          <w:top w:val="double" w:sz="2" w:space="0" w:color="E8717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GridTable2-Accent51">
    <w:name w:val="Grid Table 2 - Accent 51"/>
    <w:basedOn w:val="a4"/>
    <w:uiPriority w:val="47"/>
    <w:rsid w:val="00F527CC"/>
    <w:pPr>
      <w:spacing w:after="0" w:line="240" w:lineRule="auto"/>
    </w:pPr>
    <w:tblPr>
      <w:tblStyleRowBandSize w:val="1"/>
      <w:tblStyleColBandSize w:val="1"/>
      <w:tblBorders>
        <w:top w:val="single" w:sz="2" w:space="0" w:color="3398FF" w:themeColor="accent5" w:themeTint="99"/>
        <w:bottom w:val="single" w:sz="2" w:space="0" w:color="3398FF" w:themeColor="accent5" w:themeTint="99"/>
        <w:insideH w:val="single" w:sz="2" w:space="0" w:color="3398FF" w:themeColor="accent5" w:themeTint="99"/>
        <w:insideV w:val="single" w:sz="2" w:space="0" w:color="3398FF" w:themeColor="accent5" w:themeTint="99"/>
      </w:tblBorders>
    </w:tblPr>
    <w:tblStylePr w:type="firstRow">
      <w:rPr>
        <w:b/>
        <w:bCs/>
      </w:rPr>
      <w:tblPr/>
      <w:tcPr>
        <w:tcBorders>
          <w:top w:val="nil"/>
          <w:bottom w:val="single" w:sz="12" w:space="0" w:color="3398FF" w:themeColor="accent5" w:themeTint="99"/>
          <w:insideH w:val="nil"/>
          <w:insideV w:val="nil"/>
        </w:tcBorders>
        <w:shd w:val="clear" w:color="auto" w:fill="FFFFFF" w:themeFill="background1"/>
      </w:tcPr>
    </w:tblStylePr>
    <w:tblStylePr w:type="lastRow">
      <w:rPr>
        <w:b/>
        <w:bCs/>
      </w:rPr>
      <w:tblPr/>
      <w:tcPr>
        <w:tcBorders>
          <w:top w:val="double" w:sz="2" w:space="0" w:color="339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GridTable2-Accent61">
    <w:name w:val="Grid Table 2 - Accent 61"/>
    <w:basedOn w:val="a4"/>
    <w:uiPriority w:val="47"/>
    <w:rsid w:val="00F527CC"/>
    <w:pPr>
      <w:spacing w:after="0" w:line="240" w:lineRule="auto"/>
    </w:pPr>
    <w:tblPr>
      <w:tblStyleRowBandSize w:val="1"/>
      <w:tblStyleColBandSize w:val="1"/>
      <w:tblBorders>
        <w:top w:val="single" w:sz="2" w:space="0" w:color="FFCB7A" w:themeColor="accent6" w:themeTint="99"/>
        <w:bottom w:val="single" w:sz="2" w:space="0" w:color="FFCB7A" w:themeColor="accent6" w:themeTint="99"/>
        <w:insideH w:val="single" w:sz="2" w:space="0" w:color="FFCB7A" w:themeColor="accent6" w:themeTint="99"/>
        <w:insideV w:val="single" w:sz="2" w:space="0" w:color="FFCB7A" w:themeColor="accent6" w:themeTint="99"/>
      </w:tblBorders>
    </w:tblPr>
    <w:tblStylePr w:type="firstRow">
      <w:rPr>
        <w:b/>
        <w:bCs/>
      </w:rPr>
      <w:tblPr/>
      <w:tcPr>
        <w:tcBorders>
          <w:top w:val="nil"/>
          <w:bottom w:val="single" w:sz="12" w:space="0" w:color="FFCB7A" w:themeColor="accent6" w:themeTint="99"/>
          <w:insideH w:val="nil"/>
          <w:insideV w:val="nil"/>
        </w:tcBorders>
        <w:shd w:val="clear" w:color="auto" w:fill="FFFFFF" w:themeFill="background1"/>
      </w:tcPr>
    </w:tblStylePr>
    <w:tblStylePr w:type="lastRow">
      <w:rPr>
        <w:b/>
        <w:bCs/>
      </w:rPr>
      <w:tblPr/>
      <w:tcPr>
        <w:tcBorders>
          <w:top w:val="double" w:sz="2" w:space="0" w:color="FFCB7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GridTable31">
    <w:name w:val="Grid Table 31"/>
    <w:basedOn w:val="a4"/>
    <w:uiPriority w:val="48"/>
    <w:rsid w:val="00F527CC"/>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8" w:themeFill="text1" w:themeFillTint="33"/>
      </w:tcPr>
    </w:tblStylePr>
    <w:tblStylePr w:type="band1Horz">
      <w:tblPr/>
      <w:tcPr>
        <w:shd w:val="clear" w:color="auto" w:fill="D8D8D8" w:themeFill="text1" w:themeFillTint="33"/>
      </w:tcPr>
    </w:tblStylePr>
    <w:tblStylePr w:type="neCell">
      <w:tblPr/>
      <w:tcPr>
        <w:tcBorders>
          <w:bottom w:val="single" w:sz="4" w:space="0" w:color="8C8C8C" w:themeColor="text1" w:themeTint="99"/>
        </w:tcBorders>
      </w:tcPr>
    </w:tblStylePr>
    <w:tblStylePr w:type="nwCell">
      <w:tblPr/>
      <w:tcPr>
        <w:tcBorders>
          <w:bottom w:val="single" w:sz="4" w:space="0" w:color="8C8C8C" w:themeColor="text1" w:themeTint="99"/>
        </w:tcBorders>
      </w:tcPr>
    </w:tblStylePr>
    <w:tblStylePr w:type="seCell">
      <w:tblPr/>
      <w:tcPr>
        <w:tcBorders>
          <w:top w:val="single" w:sz="4" w:space="0" w:color="8C8C8C" w:themeColor="text1" w:themeTint="99"/>
        </w:tcBorders>
      </w:tcPr>
    </w:tblStylePr>
    <w:tblStylePr w:type="swCell">
      <w:tblPr/>
      <w:tcPr>
        <w:tcBorders>
          <w:top w:val="single" w:sz="4" w:space="0" w:color="8C8C8C" w:themeColor="text1" w:themeTint="99"/>
        </w:tcBorders>
      </w:tcPr>
    </w:tblStylePr>
  </w:style>
  <w:style w:type="table" w:customStyle="1" w:styleId="GridTable3-Accent11">
    <w:name w:val="Grid Table 3 - Accent 11"/>
    <w:basedOn w:val="a4"/>
    <w:uiPriority w:val="48"/>
    <w:rsid w:val="00F527CC"/>
    <w:pPr>
      <w:spacing w:after="0" w:line="240" w:lineRule="auto"/>
    </w:p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4" w:themeFill="accent1" w:themeFillTint="33"/>
      </w:tcPr>
    </w:tblStylePr>
    <w:tblStylePr w:type="band1Horz">
      <w:tblPr/>
      <w:tcPr>
        <w:shd w:val="clear" w:color="auto" w:fill="F3F3F4" w:themeFill="accent1" w:themeFillTint="33"/>
      </w:tcPr>
    </w:tblStylePr>
    <w:tblStylePr w:type="neCell">
      <w:tblPr/>
      <w:tcPr>
        <w:tcBorders>
          <w:bottom w:val="single" w:sz="4" w:space="0" w:color="DDDDDF" w:themeColor="accent1" w:themeTint="99"/>
        </w:tcBorders>
      </w:tcPr>
    </w:tblStylePr>
    <w:tblStylePr w:type="nwCell">
      <w:tblPr/>
      <w:tcPr>
        <w:tcBorders>
          <w:bottom w:val="single" w:sz="4" w:space="0" w:color="DDDDDF" w:themeColor="accent1" w:themeTint="99"/>
        </w:tcBorders>
      </w:tcPr>
    </w:tblStylePr>
    <w:tblStylePr w:type="seCell">
      <w:tblPr/>
      <w:tcPr>
        <w:tcBorders>
          <w:top w:val="single" w:sz="4" w:space="0" w:color="DDDDDF" w:themeColor="accent1" w:themeTint="99"/>
        </w:tcBorders>
      </w:tcPr>
    </w:tblStylePr>
    <w:tblStylePr w:type="swCell">
      <w:tblPr/>
      <w:tcPr>
        <w:tcBorders>
          <w:top w:val="single" w:sz="4" w:space="0" w:color="DDDDDF" w:themeColor="accent1" w:themeTint="99"/>
        </w:tcBorders>
      </w:tcPr>
    </w:tblStylePr>
  </w:style>
  <w:style w:type="table" w:customStyle="1" w:styleId="GridTable3-Accent21">
    <w:name w:val="Grid Table 3 - Accent 21"/>
    <w:basedOn w:val="a4"/>
    <w:uiPriority w:val="48"/>
    <w:rsid w:val="00F527CC"/>
    <w:pPr>
      <w:spacing w:after="0" w:line="240" w:lineRule="auto"/>
    </w:p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A" w:themeFill="accent2" w:themeFillTint="33"/>
      </w:tcPr>
    </w:tblStylePr>
    <w:tblStylePr w:type="band1Horz">
      <w:tblPr/>
      <w:tcPr>
        <w:shd w:val="clear" w:color="auto" w:fill="E9E9EA" w:themeFill="accent2" w:themeFillTint="33"/>
      </w:tcPr>
    </w:tblStylePr>
    <w:tblStylePr w:type="neCell">
      <w:tblPr/>
      <w:tcPr>
        <w:tcBorders>
          <w:bottom w:val="single" w:sz="4" w:space="0" w:color="BEBFC1" w:themeColor="accent2" w:themeTint="99"/>
        </w:tcBorders>
      </w:tcPr>
    </w:tblStylePr>
    <w:tblStylePr w:type="nwCell">
      <w:tblPr/>
      <w:tcPr>
        <w:tcBorders>
          <w:bottom w:val="single" w:sz="4" w:space="0" w:color="BEBFC1" w:themeColor="accent2" w:themeTint="99"/>
        </w:tcBorders>
      </w:tcPr>
    </w:tblStylePr>
    <w:tblStylePr w:type="seCell">
      <w:tblPr/>
      <w:tcPr>
        <w:tcBorders>
          <w:top w:val="single" w:sz="4" w:space="0" w:color="BEBFC1" w:themeColor="accent2" w:themeTint="99"/>
        </w:tcBorders>
      </w:tcPr>
    </w:tblStylePr>
    <w:tblStylePr w:type="swCell">
      <w:tblPr/>
      <w:tcPr>
        <w:tcBorders>
          <w:top w:val="single" w:sz="4" w:space="0" w:color="BEBFC1" w:themeColor="accent2" w:themeTint="99"/>
        </w:tcBorders>
      </w:tcPr>
    </w:tblStylePr>
  </w:style>
  <w:style w:type="table" w:customStyle="1" w:styleId="GridTable3-Accent31">
    <w:name w:val="Grid Table 3 - Accent 31"/>
    <w:basedOn w:val="a4"/>
    <w:uiPriority w:val="48"/>
    <w:rsid w:val="00F527CC"/>
    <w:pPr>
      <w:spacing w:after="0" w:line="240" w:lineRule="auto"/>
    </w:p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E0" w:themeFill="accent3" w:themeFillTint="33"/>
      </w:tcPr>
    </w:tblStylePr>
    <w:tblStylePr w:type="band1Horz">
      <w:tblPr/>
      <w:tcPr>
        <w:shd w:val="clear" w:color="auto" w:fill="DFDFE0" w:themeFill="accent3" w:themeFillTint="33"/>
      </w:tcPr>
    </w:tblStylePr>
    <w:tblStylePr w:type="neCell">
      <w:tblPr/>
      <w:tcPr>
        <w:tcBorders>
          <w:bottom w:val="single" w:sz="4" w:space="0" w:color="A0A1A3" w:themeColor="accent3" w:themeTint="99"/>
        </w:tcBorders>
      </w:tcPr>
    </w:tblStylePr>
    <w:tblStylePr w:type="nwCell">
      <w:tblPr/>
      <w:tcPr>
        <w:tcBorders>
          <w:bottom w:val="single" w:sz="4" w:space="0" w:color="A0A1A3" w:themeColor="accent3" w:themeTint="99"/>
        </w:tcBorders>
      </w:tcPr>
    </w:tblStylePr>
    <w:tblStylePr w:type="seCell">
      <w:tblPr/>
      <w:tcPr>
        <w:tcBorders>
          <w:top w:val="single" w:sz="4" w:space="0" w:color="A0A1A3" w:themeColor="accent3" w:themeTint="99"/>
        </w:tcBorders>
      </w:tcPr>
    </w:tblStylePr>
    <w:tblStylePr w:type="swCell">
      <w:tblPr/>
      <w:tcPr>
        <w:tcBorders>
          <w:top w:val="single" w:sz="4" w:space="0" w:color="A0A1A3" w:themeColor="accent3" w:themeTint="99"/>
        </w:tcBorders>
      </w:tcPr>
    </w:tblStylePr>
  </w:style>
  <w:style w:type="table" w:customStyle="1" w:styleId="GridTable3-Accent41">
    <w:name w:val="Grid Table 3 - Accent 41"/>
    <w:basedOn w:val="a4"/>
    <w:uiPriority w:val="48"/>
    <w:rsid w:val="00F527CC"/>
    <w:pPr>
      <w:spacing w:after="0" w:line="240" w:lineRule="auto"/>
    </w:p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FD2" w:themeFill="accent4" w:themeFillTint="33"/>
      </w:tcPr>
    </w:tblStylePr>
    <w:tblStylePr w:type="band1Horz">
      <w:tblPr/>
      <w:tcPr>
        <w:shd w:val="clear" w:color="auto" w:fill="F7CFD2" w:themeFill="accent4" w:themeFillTint="33"/>
      </w:tcPr>
    </w:tblStylePr>
    <w:tblStylePr w:type="neCell">
      <w:tblPr/>
      <w:tcPr>
        <w:tcBorders>
          <w:bottom w:val="single" w:sz="4" w:space="0" w:color="E87179" w:themeColor="accent4" w:themeTint="99"/>
        </w:tcBorders>
      </w:tcPr>
    </w:tblStylePr>
    <w:tblStylePr w:type="nwCell">
      <w:tblPr/>
      <w:tcPr>
        <w:tcBorders>
          <w:bottom w:val="single" w:sz="4" w:space="0" w:color="E87179" w:themeColor="accent4" w:themeTint="99"/>
        </w:tcBorders>
      </w:tcPr>
    </w:tblStylePr>
    <w:tblStylePr w:type="seCell">
      <w:tblPr/>
      <w:tcPr>
        <w:tcBorders>
          <w:top w:val="single" w:sz="4" w:space="0" w:color="E87179" w:themeColor="accent4" w:themeTint="99"/>
        </w:tcBorders>
      </w:tcPr>
    </w:tblStylePr>
    <w:tblStylePr w:type="swCell">
      <w:tblPr/>
      <w:tcPr>
        <w:tcBorders>
          <w:top w:val="single" w:sz="4" w:space="0" w:color="E87179" w:themeColor="accent4" w:themeTint="99"/>
        </w:tcBorders>
      </w:tcPr>
    </w:tblStylePr>
  </w:style>
  <w:style w:type="table" w:customStyle="1" w:styleId="GridTable3-Accent51">
    <w:name w:val="Grid Table 3 - Accent 51"/>
    <w:basedOn w:val="a4"/>
    <w:uiPriority w:val="48"/>
    <w:rsid w:val="00F527CC"/>
    <w:pPr>
      <w:spacing w:after="0" w:line="240" w:lineRule="auto"/>
    </w:p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DCFF" w:themeFill="accent5" w:themeFillTint="33"/>
      </w:tcPr>
    </w:tblStylePr>
    <w:tblStylePr w:type="band1Horz">
      <w:tblPr/>
      <w:tcPr>
        <w:shd w:val="clear" w:color="auto" w:fill="BBDCFF" w:themeFill="accent5" w:themeFillTint="33"/>
      </w:tcPr>
    </w:tblStylePr>
    <w:tblStylePr w:type="neCell">
      <w:tblPr/>
      <w:tcPr>
        <w:tcBorders>
          <w:bottom w:val="single" w:sz="4" w:space="0" w:color="3398FF" w:themeColor="accent5" w:themeTint="99"/>
        </w:tcBorders>
      </w:tcPr>
    </w:tblStylePr>
    <w:tblStylePr w:type="nwCell">
      <w:tblPr/>
      <w:tcPr>
        <w:tcBorders>
          <w:bottom w:val="single" w:sz="4" w:space="0" w:color="3398FF" w:themeColor="accent5" w:themeTint="99"/>
        </w:tcBorders>
      </w:tcPr>
    </w:tblStylePr>
    <w:tblStylePr w:type="seCell">
      <w:tblPr/>
      <w:tcPr>
        <w:tcBorders>
          <w:top w:val="single" w:sz="4" w:space="0" w:color="3398FF" w:themeColor="accent5" w:themeTint="99"/>
        </w:tcBorders>
      </w:tcPr>
    </w:tblStylePr>
    <w:tblStylePr w:type="swCell">
      <w:tblPr/>
      <w:tcPr>
        <w:tcBorders>
          <w:top w:val="single" w:sz="4" w:space="0" w:color="3398FF" w:themeColor="accent5" w:themeTint="99"/>
        </w:tcBorders>
      </w:tcPr>
    </w:tblStylePr>
  </w:style>
  <w:style w:type="table" w:customStyle="1" w:styleId="GridTable3-Accent61">
    <w:name w:val="Grid Table 3 - Accent 61"/>
    <w:basedOn w:val="a4"/>
    <w:uiPriority w:val="48"/>
    <w:rsid w:val="00F527CC"/>
    <w:pPr>
      <w:spacing w:after="0" w:line="240" w:lineRule="auto"/>
    </w:p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DD2" w:themeFill="accent6" w:themeFillTint="33"/>
      </w:tcPr>
    </w:tblStylePr>
    <w:tblStylePr w:type="band1Horz">
      <w:tblPr/>
      <w:tcPr>
        <w:shd w:val="clear" w:color="auto" w:fill="FFEDD2" w:themeFill="accent6" w:themeFillTint="33"/>
      </w:tcPr>
    </w:tblStylePr>
    <w:tblStylePr w:type="neCell">
      <w:tblPr/>
      <w:tcPr>
        <w:tcBorders>
          <w:bottom w:val="single" w:sz="4" w:space="0" w:color="FFCB7A" w:themeColor="accent6" w:themeTint="99"/>
        </w:tcBorders>
      </w:tcPr>
    </w:tblStylePr>
    <w:tblStylePr w:type="nwCell">
      <w:tblPr/>
      <w:tcPr>
        <w:tcBorders>
          <w:bottom w:val="single" w:sz="4" w:space="0" w:color="FFCB7A" w:themeColor="accent6" w:themeTint="99"/>
        </w:tcBorders>
      </w:tcPr>
    </w:tblStylePr>
    <w:tblStylePr w:type="seCell">
      <w:tblPr/>
      <w:tcPr>
        <w:tcBorders>
          <w:top w:val="single" w:sz="4" w:space="0" w:color="FFCB7A" w:themeColor="accent6" w:themeTint="99"/>
        </w:tcBorders>
      </w:tcPr>
    </w:tblStylePr>
    <w:tblStylePr w:type="swCell">
      <w:tblPr/>
      <w:tcPr>
        <w:tcBorders>
          <w:top w:val="single" w:sz="4" w:space="0" w:color="FFCB7A" w:themeColor="accent6" w:themeTint="99"/>
        </w:tcBorders>
      </w:tcPr>
    </w:tblStylePr>
  </w:style>
  <w:style w:type="table" w:customStyle="1" w:styleId="GridTable41">
    <w:name w:val="Grid Table 41"/>
    <w:basedOn w:val="a4"/>
    <w:uiPriority w:val="49"/>
    <w:rsid w:val="00F527CC"/>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color w:val="FFFFFF" w:themeColor="background1"/>
      </w:rPr>
      <w:tbl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insideV w:val="nil"/>
        </w:tcBorders>
        <w:shd w:val="clear" w:color="auto" w:fill="404040" w:themeFill="text1"/>
      </w:tcPr>
    </w:tblStylePr>
    <w:tblStylePr w:type="lastRow">
      <w:rPr>
        <w:b/>
        <w:bCs/>
      </w:rPr>
      <w:tblPr/>
      <w:tcPr>
        <w:tcBorders>
          <w:top w:val="double" w:sz="4" w:space="0" w:color="404040" w:themeColor="text1"/>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GridTable4-Accent11">
    <w:name w:val="Grid Table 4 - Accent 11"/>
    <w:basedOn w:val="a4"/>
    <w:uiPriority w:val="49"/>
    <w:rsid w:val="00F527CC"/>
    <w:pPr>
      <w:spacing w:after="0" w:line="240" w:lineRule="auto"/>
    </w:p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color w:val="FFFFFF" w:themeColor="background1"/>
      </w:rPr>
      <w:tblPr/>
      <w:tcPr>
        <w:tcBorders>
          <w:top w:val="single" w:sz="4" w:space="0" w:color="C7C8CA" w:themeColor="accent1"/>
          <w:left w:val="single" w:sz="4" w:space="0" w:color="C7C8CA" w:themeColor="accent1"/>
          <w:bottom w:val="single" w:sz="4" w:space="0" w:color="C7C8CA" w:themeColor="accent1"/>
          <w:right w:val="single" w:sz="4" w:space="0" w:color="C7C8CA" w:themeColor="accent1"/>
          <w:insideH w:val="nil"/>
          <w:insideV w:val="nil"/>
        </w:tcBorders>
        <w:shd w:val="clear" w:color="auto" w:fill="C7C8CA" w:themeFill="accent1"/>
      </w:tcPr>
    </w:tblStylePr>
    <w:tblStylePr w:type="lastRow">
      <w:rPr>
        <w:b/>
        <w:bCs/>
      </w:rPr>
      <w:tblPr/>
      <w:tcPr>
        <w:tcBorders>
          <w:top w:val="double" w:sz="4" w:space="0" w:color="C7C8CA" w:themeColor="accent1"/>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GridTable4-Accent21">
    <w:name w:val="Grid Table 4 - Accent 21"/>
    <w:basedOn w:val="a4"/>
    <w:uiPriority w:val="49"/>
    <w:rsid w:val="00F527CC"/>
    <w:pPr>
      <w:spacing w:after="0" w:line="240" w:lineRule="auto"/>
    </w:p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color w:val="FFFFFF" w:themeColor="background1"/>
      </w:rPr>
      <w:tblPr/>
      <w:tcPr>
        <w:tcBorders>
          <w:top w:val="single" w:sz="4" w:space="0" w:color="939598" w:themeColor="accent2"/>
          <w:left w:val="single" w:sz="4" w:space="0" w:color="939598" w:themeColor="accent2"/>
          <w:bottom w:val="single" w:sz="4" w:space="0" w:color="939598" w:themeColor="accent2"/>
          <w:right w:val="single" w:sz="4" w:space="0" w:color="939598" w:themeColor="accent2"/>
          <w:insideH w:val="nil"/>
          <w:insideV w:val="nil"/>
        </w:tcBorders>
        <w:shd w:val="clear" w:color="auto" w:fill="939598" w:themeFill="accent2"/>
      </w:tcPr>
    </w:tblStylePr>
    <w:tblStylePr w:type="lastRow">
      <w:rPr>
        <w:b/>
        <w:bCs/>
      </w:rPr>
      <w:tblPr/>
      <w:tcPr>
        <w:tcBorders>
          <w:top w:val="double" w:sz="4" w:space="0" w:color="939598" w:themeColor="accent2"/>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GridTable4-Accent31">
    <w:name w:val="Grid Table 4 - Accent 31"/>
    <w:basedOn w:val="a4"/>
    <w:uiPriority w:val="49"/>
    <w:rsid w:val="00F527CC"/>
    <w:pPr>
      <w:spacing w:after="0" w:line="240" w:lineRule="auto"/>
    </w:p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color w:val="FFFFFF" w:themeColor="background1"/>
      </w:rPr>
      <w:tblPr/>
      <w:tcPr>
        <w:tcBorders>
          <w:top w:val="single" w:sz="4" w:space="0" w:color="636466" w:themeColor="accent3"/>
          <w:left w:val="single" w:sz="4" w:space="0" w:color="636466" w:themeColor="accent3"/>
          <w:bottom w:val="single" w:sz="4" w:space="0" w:color="636466" w:themeColor="accent3"/>
          <w:right w:val="single" w:sz="4" w:space="0" w:color="636466" w:themeColor="accent3"/>
          <w:insideH w:val="nil"/>
          <w:insideV w:val="nil"/>
        </w:tcBorders>
        <w:shd w:val="clear" w:color="auto" w:fill="636466" w:themeFill="accent3"/>
      </w:tcPr>
    </w:tblStylePr>
    <w:tblStylePr w:type="lastRow">
      <w:rPr>
        <w:b/>
        <w:bCs/>
      </w:rPr>
      <w:tblPr/>
      <w:tcPr>
        <w:tcBorders>
          <w:top w:val="double" w:sz="4" w:space="0" w:color="636466" w:themeColor="accent3"/>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GridTable4-Accent41">
    <w:name w:val="Grid Table 4 - Accent 41"/>
    <w:basedOn w:val="a4"/>
    <w:uiPriority w:val="49"/>
    <w:rsid w:val="00F527CC"/>
    <w:pPr>
      <w:spacing w:after="0" w:line="240" w:lineRule="auto"/>
    </w:p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color w:val="FFFFFF" w:themeColor="background1"/>
      </w:rPr>
      <w:tblPr/>
      <w:tcPr>
        <w:tcBorders>
          <w:top w:val="single" w:sz="4" w:space="0" w:color="CD202C" w:themeColor="accent4"/>
          <w:left w:val="single" w:sz="4" w:space="0" w:color="CD202C" w:themeColor="accent4"/>
          <w:bottom w:val="single" w:sz="4" w:space="0" w:color="CD202C" w:themeColor="accent4"/>
          <w:right w:val="single" w:sz="4" w:space="0" w:color="CD202C" w:themeColor="accent4"/>
          <w:insideH w:val="nil"/>
          <w:insideV w:val="nil"/>
        </w:tcBorders>
        <w:shd w:val="clear" w:color="auto" w:fill="CD202C" w:themeFill="accent4"/>
      </w:tcPr>
    </w:tblStylePr>
    <w:tblStylePr w:type="lastRow">
      <w:rPr>
        <w:b/>
        <w:bCs/>
      </w:rPr>
      <w:tblPr/>
      <w:tcPr>
        <w:tcBorders>
          <w:top w:val="double" w:sz="4" w:space="0" w:color="CD202C" w:themeColor="accent4"/>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GridTable4-Accent51">
    <w:name w:val="Grid Table 4 - Accent 51"/>
    <w:basedOn w:val="a4"/>
    <w:uiPriority w:val="49"/>
    <w:rsid w:val="00F527CC"/>
    <w:pPr>
      <w:spacing w:after="0" w:line="240" w:lineRule="auto"/>
    </w:p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color w:val="FFFFFF" w:themeColor="background1"/>
      </w:rPr>
      <w:tblPr/>
      <w:tcPr>
        <w:tcBorders>
          <w:top w:val="single" w:sz="4" w:space="0" w:color="0055AA" w:themeColor="accent5"/>
          <w:left w:val="single" w:sz="4" w:space="0" w:color="0055AA" w:themeColor="accent5"/>
          <w:bottom w:val="single" w:sz="4" w:space="0" w:color="0055AA" w:themeColor="accent5"/>
          <w:right w:val="single" w:sz="4" w:space="0" w:color="0055AA" w:themeColor="accent5"/>
          <w:insideH w:val="nil"/>
          <w:insideV w:val="nil"/>
        </w:tcBorders>
        <w:shd w:val="clear" w:color="auto" w:fill="0055AA" w:themeFill="accent5"/>
      </w:tcPr>
    </w:tblStylePr>
    <w:tblStylePr w:type="lastRow">
      <w:rPr>
        <w:b/>
        <w:bCs/>
      </w:rPr>
      <w:tblPr/>
      <w:tcPr>
        <w:tcBorders>
          <w:top w:val="double" w:sz="4" w:space="0" w:color="0055AA" w:themeColor="accent5"/>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GridTable4-Accent61">
    <w:name w:val="Grid Table 4 - Accent 61"/>
    <w:basedOn w:val="a4"/>
    <w:uiPriority w:val="49"/>
    <w:rsid w:val="00F527CC"/>
    <w:pPr>
      <w:spacing w:after="0" w:line="240" w:lineRule="auto"/>
    </w:p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color w:val="FFFFFF" w:themeColor="background1"/>
      </w:rPr>
      <w:tblPr/>
      <w:tcPr>
        <w:tcBorders>
          <w:top w:val="single" w:sz="4" w:space="0" w:color="FFAA22" w:themeColor="accent6"/>
          <w:left w:val="single" w:sz="4" w:space="0" w:color="FFAA22" w:themeColor="accent6"/>
          <w:bottom w:val="single" w:sz="4" w:space="0" w:color="FFAA22" w:themeColor="accent6"/>
          <w:right w:val="single" w:sz="4" w:space="0" w:color="FFAA22" w:themeColor="accent6"/>
          <w:insideH w:val="nil"/>
          <w:insideV w:val="nil"/>
        </w:tcBorders>
        <w:shd w:val="clear" w:color="auto" w:fill="FFAA22" w:themeFill="accent6"/>
      </w:tcPr>
    </w:tblStylePr>
    <w:tblStylePr w:type="lastRow">
      <w:rPr>
        <w:b/>
        <w:bCs/>
      </w:rPr>
      <w:tblPr/>
      <w:tcPr>
        <w:tcBorders>
          <w:top w:val="double" w:sz="4" w:space="0" w:color="FFAA22" w:themeColor="accent6"/>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GridTable5Dark1">
    <w:name w:val="Grid Table 5 Dark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4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4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4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40" w:themeFill="text1"/>
      </w:tcPr>
    </w:tblStylePr>
    <w:tblStylePr w:type="band1Vert">
      <w:tblPr/>
      <w:tcPr>
        <w:shd w:val="clear" w:color="auto" w:fill="B2B2B2" w:themeFill="text1" w:themeFillTint="66"/>
      </w:tcPr>
    </w:tblStylePr>
    <w:tblStylePr w:type="band1Horz">
      <w:tblPr/>
      <w:tcPr>
        <w:shd w:val="clear" w:color="auto" w:fill="B2B2B2" w:themeFill="text1" w:themeFillTint="66"/>
      </w:tcPr>
    </w:tblStylePr>
  </w:style>
  <w:style w:type="table" w:customStyle="1" w:styleId="GridTable5Dark-Accent11">
    <w:name w:val="Grid Table 5 Dark - Accent 1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3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7C8C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7C8C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7C8C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7C8CA" w:themeFill="accent1"/>
      </w:tcPr>
    </w:tblStylePr>
    <w:tblStylePr w:type="band1Vert">
      <w:tblPr/>
      <w:tcPr>
        <w:shd w:val="clear" w:color="auto" w:fill="E8E8E9" w:themeFill="accent1" w:themeFillTint="66"/>
      </w:tcPr>
    </w:tblStylePr>
    <w:tblStylePr w:type="band1Horz">
      <w:tblPr/>
      <w:tcPr>
        <w:shd w:val="clear" w:color="auto" w:fill="E8E8E9" w:themeFill="accent1" w:themeFillTint="66"/>
      </w:tcPr>
    </w:tblStylePr>
  </w:style>
  <w:style w:type="table" w:customStyle="1" w:styleId="GridTable5Dark-Accent21">
    <w:name w:val="Grid Table 5 Dark - Accent 2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2"/>
      </w:tcPr>
    </w:tblStylePr>
    <w:tblStylePr w:type="band1Vert">
      <w:tblPr/>
      <w:tcPr>
        <w:shd w:val="clear" w:color="auto" w:fill="D3D4D5" w:themeFill="accent2" w:themeFillTint="66"/>
      </w:tcPr>
    </w:tblStylePr>
    <w:tblStylePr w:type="band1Horz">
      <w:tblPr/>
      <w:tcPr>
        <w:shd w:val="clear" w:color="auto" w:fill="D3D4D5" w:themeFill="accent2" w:themeFillTint="66"/>
      </w:tcPr>
    </w:tblStylePr>
  </w:style>
  <w:style w:type="table" w:customStyle="1" w:styleId="GridTable5Dark-Accent31">
    <w:name w:val="Grid Table 5 Dark - Accent 3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646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646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646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6466" w:themeFill="accent3"/>
      </w:tcPr>
    </w:tblStylePr>
    <w:tblStylePr w:type="band1Vert">
      <w:tblPr/>
      <w:tcPr>
        <w:shd w:val="clear" w:color="auto" w:fill="C0C0C2" w:themeFill="accent3" w:themeFillTint="66"/>
      </w:tcPr>
    </w:tblStylePr>
    <w:tblStylePr w:type="band1Horz">
      <w:tblPr/>
      <w:tcPr>
        <w:shd w:val="clear" w:color="auto" w:fill="C0C0C2" w:themeFill="accent3" w:themeFillTint="66"/>
      </w:tcPr>
    </w:tblStylePr>
  </w:style>
  <w:style w:type="table" w:customStyle="1" w:styleId="GridTable5Dark-Accent41">
    <w:name w:val="Grid Table 5 Dark - Accent 4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F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202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202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202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202C" w:themeFill="accent4"/>
      </w:tcPr>
    </w:tblStylePr>
    <w:tblStylePr w:type="band1Vert">
      <w:tblPr/>
      <w:tcPr>
        <w:shd w:val="clear" w:color="auto" w:fill="F0A0A5" w:themeFill="accent4" w:themeFillTint="66"/>
      </w:tcPr>
    </w:tblStylePr>
    <w:tblStylePr w:type="band1Horz">
      <w:tblPr/>
      <w:tcPr>
        <w:shd w:val="clear" w:color="auto" w:fill="F0A0A5" w:themeFill="accent4" w:themeFillTint="66"/>
      </w:tcPr>
    </w:tblStylePr>
  </w:style>
  <w:style w:type="table" w:customStyle="1" w:styleId="GridTable5Dark-Accent51">
    <w:name w:val="Grid Table 5 Dark - Accent 5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D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A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A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A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AA" w:themeFill="accent5"/>
      </w:tcPr>
    </w:tblStylePr>
    <w:tblStylePr w:type="band1Vert">
      <w:tblPr/>
      <w:tcPr>
        <w:shd w:val="clear" w:color="auto" w:fill="77BAFF" w:themeFill="accent5" w:themeFillTint="66"/>
      </w:tcPr>
    </w:tblStylePr>
    <w:tblStylePr w:type="band1Horz">
      <w:tblPr/>
      <w:tcPr>
        <w:shd w:val="clear" w:color="auto" w:fill="77BAFF" w:themeFill="accent5" w:themeFillTint="66"/>
      </w:tcPr>
    </w:tblStylePr>
  </w:style>
  <w:style w:type="table" w:customStyle="1" w:styleId="GridTable5Dark-Accent61">
    <w:name w:val="Grid Table 5 Dark - Accent 61"/>
    <w:basedOn w:val="a4"/>
    <w:uiPriority w:val="50"/>
    <w:rsid w:val="00F527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D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A2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A2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A2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A22" w:themeFill="accent6"/>
      </w:tcPr>
    </w:tblStylePr>
    <w:tblStylePr w:type="band1Vert">
      <w:tblPr/>
      <w:tcPr>
        <w:shd w:val="clear" w:color="auto" w:fill="FFDCA6" w:themeFill="accent6" w:themeFillTint="66"/>
      </w:tcPr>
    </w:tblStylePr>
    <w:tblStylePr w:type="band1Horz">
      <w:tblPr/>
      <w:tcPr>
        <w:shd w:val="clear" w:color="auto" w:fill="FFDCA6" w:themeFill="accent6" w:themeFillTint="66"/>
      </w:tcPr>
    </w:tblStylePr>
  </w:style>
  <w:style w:type="table" w:customStyle="1" w:styleId="GridTable6Colorful1">
    <w:name w:val="Grid Table 6 Colorful1"/>
    <w:basedOn w:val="a4"/>
    <w:uiPriority w:val="51"/>
    <w:rsid w:val="00F527CC"/>
    <w:pPr>
      <w:spacing w:after="0" w:line="240" w:lineRule="auto"/>
    </w:pPr>
    <w:rPr>
      <w:color w:val="404040" w:themeColor="text1"/>
    </w:r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rPr>
      <w:tblPr/>
      <w:tcPr>
        <w:tcBorders>
          <w:bottom w:val="single" w:sz="12" w:space="0" w:color="8C8C8C" w:themeColor="text1" w:themeTint="99"/>
        </w:tcBorders>
      </w:tcPr>
    </w:tblStylePr>
    <w:tblStylePr w:type="lastRow">
      <w:rPr>
        <w:b/>
        <w:bCs/>
      </w:rPr>
      <w:tblPr/>
      <w:tcPr>
        <w:tcBorders>
          <w:top w:val="double" w:sz="4" w:space="0" w:color="8C8C8C"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GridTable6Colorful-Accent11">
    <w:name w:val="Grid Table 6 Colorful - Accent 11"/>
    <w:basedOn w:val="a4"/>
    <w:uiPriority w:val="51"/>
    <w:rsid w:val="00F527CC"/>
    <w:pPr>
      <w:spacing w:after="0" w:line="240" w:lineRule="auto"/>
    </w:pPr>
    <w:rPr>
      <w:color w:val="939599" w:themeColor="accent1" w:themeShade="BF"/>
    </w:r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rPr>
      <w:tblPr/>
      <w:tcPr>
        <w:tcBorders>
          <w:bottom w:val="single" w:sz="12" w:space="0" w:color="DDDDDF" w:themeColor="accent1" w:themeTint="99"/>
        </w:tcBorders>
      </w:tcPr>
    </w:tblStylePr>
    <w:tblStylePr w:type="lastRow">
      <w:rPr>
        <w:b/>
        <w:bCs/>
      </w:rPr>
      <w:tblPr/>
      <w:tcPr>
        <w:tcBorders>
          <w:top w:val="double" w:sz="4" w:space="0" w:color="DDDDDF" w:themeColor="accent1" w:themeTint="99"/>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GridTable6Colorful-Accent21">
    <w:name w:val="Grid Table 6 Colorful - Accent 21"/>
    <w:basedOn w:val="a4"/>
    <w:uiPriority w:val="51"/>
    <w:rsid w:val="00F527CC"/>
    <w:pPr>
      <w:spacing w:after="0" w:line="240" w:lineRule="auto"/>
    </w:pPr>
    <w:rPr>
      <w:color w:val="6D6F72" w:themeColor="accent2" w:themeShade="BF"/>
    </w:r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rPr>
      <w:tblPr/>
      <w:tcPr>
        <w:tcBorders>
          <w:bottom w:val="single" w:sz="12" w:space="0" w:color="BEBFC1" w:themeColor="accent2" w:themeTint="99"/>
        </w:tcBorders>
      </w:tcPr>
    </w:tblStylePr>
    <w:tblStylePr w:type="lastRow">
      <w:rPr>
        <w:b/>
        <w:bCs/>
      </w:rPr>
      <w:tblPr/>
      <w:tcPr>
        <w:tcBorders>
          <w:top w:val="double" w:sz="4" w:space="0" w:color="BEBFC1" w:themeColor="accent2" w:themeTint="99"/>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GridTable6Colorful-Accent31">
    <w:name w:val="Grid Table 6 Colorful - Accent 31"/>
    <w:basedOn w:val="a4"/>
    <w:uiPriority w:val="51"/>
    <w:rsid w:val="00F527CC"/>
    <w:pPr>
      <w:spacing w:after="0" w:line="240" w:lineRule="auto"/>
    </w:pPr>
    <w:rPr>
      <w:color w:val="4A4A4C" w:themeColor="accent3" w:themeShade="BF"/>
    </w:r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rPr>
      <w:tblPr/>
      <w:tcPr>
        <w:tcBorders>
          <w:bottom w:val="single" w:sz="12" w:space="0" w:color="A0A1A3" w:themeColor="accent3" w:themeTint="99"/>
        </w:tcBorders>
      </w:tcPr>
    </w:tblStylePr>
    <w:tblStylePr w:type="lastRow">
      <w:rPr>
        <w:b/>
        <w:bCs/>
      </w:rPr>
      <w:tblPr/>
      <w:tcPr>
        <w:tcBorders>
          <w:top w:val="double" w:sz="4" w:space="0" w:color="A0A1A3" w:themeColor="accent3" w:themeTint="99"/>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GridTable6Colorful-Accent41">
    <w:name w:val="Grid Table 6 Colorful - Accent 41"/>
    <w:basedOn w:val="a4"/>
    <w:uiPriority w:val="51"/>
    <w:rsid w:val="00F527CC"/>
    <w:pPr>
      <w:spacing w:after="0" w:line="240" w:lineRule="auto"/>
    </w:pPr>
    <w:rPr>
      <w:color w:val="991820" w:themeColor="accent4" w:themeShade="BF"/>
    </w:r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rPr>
      <w:tblPr/>
      <w:tcPr>
        <w:tcBorders>
          <w:bottom w:val="single" w:sz="12" w:space="0" w:color="E87179" w:themeColor="accent4" w:themeTint="99"/>
        </w:tcBorders>
      </w:tcPr>
    </w:tblStylePr>
    <w:tblStylePr w:type="lastRow">
      <w:rPr>
        <w:b/>
        <w:bCs/>
      </w:rPr>
      <w:tblPr/>
      <w:tcPr>
        <w:tcBorders>
          <w:top w:val="double" w:sz="4" w:space="0" w:color="E87179" w:themeColor="accent4" w:themeTint="99"/>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GridTable6Colorful-Accent51">
    <w:name w:val="Grid Table 6 Colorful - Accent 51"/>
    <w:basedOn w:val="a4"/>
    <w:uiPriority w:val="51"/>
    <w:rsid w:val="00F527CC"/>
    <w:pPr>
      <w:spacing w:after="0" w:line="240" w:lineRule="auto"/>
    </w:pPr>
    <w:rPr>
      <w:color w:val="003F7F" w:themeColor="accent5" w:themeShade="BF"/>
    </w:r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rPr>
      <w:tblPr/>
      <w:tcPr>
        <w:tcBorders>
          <w:bottom w:val="single" w:sz="12" w:space="0" w:color="3398FF" w:themeColor="accent5" w:themeTint="99"/>
        </w:tcBorders>
      </w:tcPr>
    </w:tblStylePr>
    <w:tblStylePr w:type="lastRow">
      <w:rPr>
        <w:b/>
        <w:bCs/>
      </w:rPr>
      <w:tblPr/>
      <w:tcPr>
        <w:tcBorders>
          <w:top w:val="double" w:sz="4" w:space="0" w:color="3398FF" w:themeColor="accent5" w:themeTint="99"/>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GridTable6Colorful-Accent61">
    <w:name w:val="Grid Table 6 Colorful - Accent 61"/>
    <w:basedOn w:val="a4"/>
    <w:uiPriority w:val="51"/>
    <w:rsid w:val="00F527CC"/>
    <w:pPr>
      <w:spacing w:after="0" w:line="240" w:lineRule="auto"/>
    </w:pPr>
    <w:rPr>
      <w:color w:val="D88400" w:themeColor="accent6" w:themeShade="BF"/>
    </w:r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rPr>
      <w:tblPr/>
      <w:tcPr>
        <w:tcBorders>
          <w:bottom w:val="single" w:sz="12" w:space="0" w:color="FFCB7A" w:themeColor="accent6" w:themeTint="99"/>
        </w:tcBorders>
      </w:tcPr>
    </w:tblStylePr>
    <w:tblStylePr w:type="lastRow">
      <w:rPr>
        <w:b/>
        <w:bCs/>
      </w:rPr>
      <w:tblPr/>
      <w:tcPr>
        <w:tcBorders>
          <w:top w:val="double" w:sz="4" w:space="0" w:color="FFCB7A" w:themeColor="accent6" w:themeTint="99"/>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GridTable7Colorful1">
    <w:name w:val="Grid Table 7 Colorful1"/>
    <w:basedOn w:val="a4"/>
    <w:uiPriority w:val="52"/>
    <w:rsid w:val="00F527CC"/>
    <w:pPr>
      <w:spacing w:after="0" w:line="240" w:lineRule="auto"/>
    </w:pPr>
    <w:rPr>
      <w:color w:val="404040" w:themeColor="text1"/>
    </w:r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insideV w:val="single" w:sz="4" w:space="0" w:color="8C8C8C"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8" w:themeFill="text1" w:themeFillTint="33"/>
      </w:tcPr>
    </w:tblStylePr>
    <w:tblStylePr w:type="band1Horz">
      <w:tblPr/>
      <w:tcPr>
        <w:shd w:val="clear" w:color="auto" w:fill="D8D8D8" w:themeFill="text1" w:themeFillTint="33"/>
      </w:tcPr>
    </w:tblStylePr>
    <w:tblStylePr w:type="neCell">
      <w:tblPr/>
      <w:tcPr>
        <w:tcBorders>
          <w:bottom w:val="single" w:sz="4" w:space="0" w:color="8C8C8C" w:themeColor="text1" w:themeTint="99"/>
        </w:tcBorders>
      </w:tcPr>
    </w:tblStylePr>
    <w:tblStylePr w:type="nwCell">
      <w:tblPr/>
      <w:tcPr>
        <w:tcBorders>
          <w:bottom w:val="single" w:sz="4" w:space="0" w:color="8C8C8C" w:themeColor="text1" w:themeTint="99"/>
        </w:tcBorders>
      </w:tcPr>
    </w:tblStylePr>
    <w:tblStylePr w:type="seCell">
      <w:tblPr/>
      <w:tcPr>
        <w:tcBorders>
          <w:top w:val="single" w:sz="4" w:space="0" w:color="8C8C8C" w:themeColor="text1" w:themeTint="99"/>
        </w:tcBorders>
      </w:tcPr>
    </w:tblStylePr>
    <w:tblStylePr w:type="swCell">
      <w:tblPr/>
      <w:tcPr>
        <w:tcBorders>
          <w:top w:val="single" w:sz="4" w:space="0" w:color="8C8C8C" w:themeColor="text1" w:themeTint="99"/>
        </w:tcBorders>
      </w:tcPr>
    </w:tblStylePr>
  </w:style>
  <w:style w:type="table" w:customStyle="1" w:styleId="GridTable7Colorful-Accent11">
    <w:name w:val="Grid Table 7 Colorful - Accent 11"/>
    <w:basedOn w:val="a4"/>
    <w:uiPriority w:val="52"/>
    <w:rsid w:val="00F527CC"/>
    <w:pPr>
      <w:spacing w:after="0" w:line="240" w:lineRule="auto"/>
    </w:pPr>
    <w:rPr>
      <w:color w:val="939599" w:themeColor="accent1" w:themeShade="BF"/>
    </w:r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insideV w:val="single" w:sz="4" w:space="0" w:color="DDDD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4" w:themeFill="accent1" w:themeFillTint="33"/>
      </w:tcPr>
    </w:tblStylePr>
    <w:tblStylePr w:type="band1Horz">
      <w:tblPr/>
      <w:tcPr>
        <w:shd w:val="clear" w:color="auto" w:fill="F3F3F4" w:themeFill="accent1" w:themeFillTint="33"/>
      </w:tcPr>
    </w:tblStylePr>
    <w:tblStylePr w:type="neCell">
      <w:tblPr/>
      <w:tcPr>
        <w:tcBorders>
          <w:bottom w:val="single" w:sz="4" w:space="0" w:color="DDDDDF" w:themeColor="accent1" w:themeTint="99"/>
        </w:tcBorders>
      </w:tcPr>
    </w:tblStylePr>
    <w:tblStylePr w:type="nwCell">
      <w:tblPr/>
      <w:tcPr>
        <w:tcBorders>
          <w:bottom w:val="single" w:sz="4" w:space="0" w:color="DDDDDF" w:themeColor="accent1" w:themeTint="99"/>
        </w:tcBorders>
      </w:tcPr>
    </w:tblStylePr>
    <w:tblStylePr w:type="seCell">
      <w:tblPr/>
      <w:tcPr>
        <w:tcBorders>
          <w:top w:val="single" w:sz="4" w:space="0" w:color="DDDDDF" w:themeColor="accent1" w:themeTint="99"/>
        </w:tcBorders>
      </w:tcPr>
    </w:tblStylePr>
    <w:tblStylePr w:type="swCell">
      <w:tblPr/>
      <w:tcPr>
        <w:tcBorders>
          <w:top w:val="single" w:sz="4" w:space="0" w:color="DDDDDF" w:themeColor="accent1" w:themeTint="99"/>
        </w:tcBorders>
      </w:tcPr>
    </w:tblStylePr>
  </w:style>
  <w:style w:type="table" w:customStyle="1" w:styleId="GridTable7Colorful-Accent21">
    <w:name w:val="Grid Table 7 Colorful - Accent 21"/>
    <w:basedOn w:val="a4"/>
    <w:uiPriority w:val="52"/>
    <w:rsid w:val="00F527CC"/>
    <w:pPr>
      <w:spacing w:after="0" w:line="240" w:lineRule="auto"/>
    </w:pPr>
    <w:rPr>
      <w:color w:val="6D6F72" w:themeColor="accent2" w:themeShade="BF"/>
    </w:r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insideV w:val="single" w:sz="4" w:space="0" w:color="BEBFC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9EA" w:themeFill="accent2" w:themeFillTint="33"/>
      </w:tcPr>
    </w:tblStylePr>
    <w:tblStylePr w:type="band1Horz">
      <w:tblPr/>
      <w:tcPr>
        <w:shd w:val="clear" w:color="auto" w:fill="E9E9EA" w:themeFill="accent2" w:themeFillTint="33"/>
      </w:tcPr>
    </w:tblStylePr>
    <w:tblStylePr w:type="neCell">
      <w:tblPr/>
      <w:tcPr>
        <w:tcBorders>
          <w:bottom w:val="single" w:sz="4" w:space="0" w:color="BEBFC1" w:themeColor="accent2" w:themeTint="99"/>
        </w:tcBorders>
      </w:tcPr>
    </w:tblStylePr>
    <w:tblStylePr w:type="nwCell">
      <w:tblPr/>
      <w:tcPr>
        <w:tcBorders>
          <w:bottom w:val="single" w:sz="4" w:space="0" w:color="BEBFC1" w:themeColor="accent2" w:themeTint="99"/>
        </w:tcBorders>
      </w:tcPr>
    </w:tblStylePr>
    <w:tblStylePr w:type="seCell">
      <w:tblPr/>
      <w:tcPr>
        <w:tcBorders>
          <w:top w:val="single" w:sz="4" w:space="0" w:color="BEBFC1" w:themeColor="accent2" w:themeTint="99"/>
        </w:tcBorders>
      </w:tcPr>
    </w:tblStylePr>
    <w:tblStylePr w:type="swCell">
      <w:tblPr/>
      <w:tcPr>
        <w:tcBorders>
          <w:top w:val="single" w:sz="4" w:space="0" w:color="BEBFC1" w:themeColor="accent2" w:themeTint="99"/>
        </w:tcBorders>
      </w:tcPr>
    </w:tblStylePr>
  </w:style>
  <w:style w:type="table" w:customStyle="1" w:styleId="GridTable7Colorful-Accent31">
    <w:name w:val="Grid Table 7 Colorful - Accent 31"/>
    <w:basedOn w:val="a4"/>
    <w:uiPriority w:val="52"/>
    <w:rsid w:val="00F527CC"/>
    <w:pPr>
      <w:spacing w:after="0" w:line="240" w:lineRule="auto"/>
    </w:pPr>
    <w:rPr>
      <w:color w:val="4A4A4C" w:themeColor="accent3" w:themeShade="BF"/>
    </w:r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insideV w:val="single" w:sz="4" w:space="0" w:color="A0A1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E0" w:themeFill="accent3" w:themeFillTint="33"/>
      </w:tcPr>
    </w:tblStylePr>
    <w:tblStylePr w:type="band1Horz">
      <w:tblPr/>
      <w:tcPr>
        <w:shd w:val="clear" w:color="auto" w:fill="DFDFE0" w:themeFill="accent3" w:themeFillTint="33"/>
      </w:tcPr>
    </w:tblStylePr>
    <w:tblStylePr w:type="neCell">
      <w:tblPr/>
      <w:tcPr>
        <w:tcBorders>
          <w:bottom w:val="single" w:sz="4" w:space="0" w:color="A0A1A3" w:themeColor="accent3" w:themeTint="99"/>
        </w:tcBorders>
      </w:tcPr>
    </w:tblStylePr>
    <w:tblStylePr w:type="nwCell">
      <w:tblPr/>
      <w:tcPr>
        <w:tcBorders>
          <w:bottom w:val="single" w:sz="4" w:space="0" w:color="A0A1A3" w:themeColor="accent3" w:themeTint="99"/>
        </w:tcBorders>
      </w:tcPr>
    </w:tblStylePr>
    <w:tblStylePr w:type="seCell">
      <w:tblPr/>
      <w:tcPr>
        <w:tcBorders>
          <w:top w:val="single" w:sz="4" w:space="0" w:color="A0A1A3" w:themeColor="accent3" w:themeTint="99"/>
        </w:tcBorders>
      </w:tcPr>
    </w:tblStylePr>
    <w:tblStylePr w:type="swCell">
      <w:tblPr/>
      <w:tcPr>
        <w:tcBorders>
          <w:top w:val="single" w:sz="4" w:space="0" w:color="A0A1A3" w:themeColor="accent3" w:themeTint="99"/>
        </w:tcBorders>
      </w:tcPr>
    </w:tblStylePr>
  </w:style>
  <w:style w:type="table" w:customStyle="1" w:styleId="GridTable7Colorful-Accent41">
    <w:name w:val="Grid Table 7 Colorful - Accent 41"/>
    <w:basedOn w:val="a4"/>
    <w:uiPriority w:val="52"/>
    <w:rsid w:val="00F527CC"/>
    <w:pPr>
      <w:spacing w:after="0" w:line="240" w:lineRule="auto"/>
    </w:pPr>
    <w:rPr>
      <w:color w:val="991820" w:themeColor="accent4" w:themeShade="BF"/>
    </w:r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insideV w:val="single" w:sz="4" w:space="0" w:color="E871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FD2" w:themeFill="accent4" w:themeFillTint="33"/>
      </w:tcPr>
    </w:tblStylePr>
    <w:tblStylePr w:type="band1Horz">
      <w:tblPr/>
      <w:tcPr>
        <w:shd w:val="clear" w:color="auto" w:fill="F7CFD2" w:themeFill="accent4" w:themeFillTint="33"/>
      </w:tcPr>
    </w:tblStylePr>
    <w:tblStylePr w:type="neCell">
      <w:tblPr/>
      <w:tcPr>
        <w:tcBorders>
          <w:bottom w:val="single" w:sz="4" w:space="0" w:color="E87179" w:themeColor="accent4" w:themeTint="99"/>
        </w:tcBorders>
      </w:tcPr>
    </w:tblStylePr>
    <w:tblStylePr w:type="nwCell">
      <w:tblPr/>
      <w:tcPr>
        <w:tcBorders>
          <w:bottom w:val="single" w:sz="4" w:space="0" w:color="E87179" w:themeColor="accent4" w:themeTint="99"/>
        </w:tcBorders>
      </w:tcPr>
    </w:tblStylePr>
    <w:tblStylePr w:type="seCell">
      <w:tblPr/>
      <w:tcPr>
        <w:tcBorders>
          <w:top w:val="single" w:sz="4" w:space="0" w:color="E87179" w:themeColor="accent4" w:themeTint="99"/>
        </w:tcBorders>
      </w:tcPr>
    </w:tblStylePr>
    <w:tblStylePr w:type="swCell">
      <w:tblPr/>
      <w:tcPr>
        <w:tcBorders>
          <w:top w:val="single" w:sz="4" w:space="0" w:color="E87179" w:themeColor="accent4" w:themeTint="99"/>
        </w:tcBorders>
      </w:tcPr>
    </w:tblStylePr>
  </w:style>
  <w:style w:type="table" w:customStyle="1" w:styleId="GridTable7Colorful-Accent51">
    <w:name w:val="Grid Table 7 Colorful - Accent 51"/>
    <w:basedOn w:val="a4"/>
    <w:uiPriority w:val="52"/>
    <w:rsid w:val="00F527CC"/>
    <w:pPr>
      <w:spacing w:after="0" w:line="240" w:lineRule="auto"/>
    </w:pPr>
    <w:rPr>
      <w:color w:val="003F7F" w:themeColor="accent5" w:themeShade="BF"/>
    </w:r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insideV w:val="single" w:sz="4" w:space="0" w:color="339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DCFF" w:themeFill="accent5" w:themeFillTint="33"/>
      </w:tcPr>
    </w:tblStylePr>
    <w:tblStylePr w:type="band1Horz">
      <w:tblPr/>
      <w:tcPr>
        <w:shd w:val="clear" w:color="auto" w:fill="BBDCFF" w:themeFill="accent5" w:themeFillTint="33"/>
      </w:tcPr>
    </w:tblStylePr>
    <w:tblStylePr w:type="neCell">
      <w:tblPr/>
      <w:tcPr>
        <w:tcBorders>
          <w:bottom w:val="single" w:sz="4" w:space="0" w:color="3398FF" w:themeColor="accent5" w:themeTint="99"/>
        </w:tcBorders>
      </w:tcPr>
    </w:tblStylePr>
    <w:tblStylePr w:type="nwCell">
      <w:tblPr/>
      <w:tcPr>
        <w:tcBorders>
          <w:bottom w:val="single" w:sz="4" w:space="0" w:color="3398FF" w:themeColor="accent5" w:themeTint="99"/>
        </w:tcBorders>
      </w:tcPr>
    </w:tblStylePr>
    <w:tblStylePr w:type="seCell">
      <w:tblPr/>
      <w:tcPr>
        <w:tcBorders>
          <w:top w:val="single" w:sz="4" w:space="0" w:color="3398FF" w:themeColor="accent5" w:themeTint="99"/>
        </w:tcBorders>
      </w:tcPr>
    </w:tblStylePr>
    <w:tblStylePr w:type="swCell">
      <w:tblPr/>
      <w:tcPr>
        <w:tcBorders>
          <w:top w:val="single" w:sz="4" w:space="0" w:color="3398FF" w:themeColor="accent5" w:themeTint="99"/>
        </w:tcBorders>
      </w:tcPr>
    </w:tblStylePr>
  </w:style>
  <w:style w:type="table" w:customStyle="1" w:styleId="GridTable7Colorful-Accent61">
    <w:name w:val="Grid Table 7 Colorful - Accent 61"/>
    <w:basedOn w:val="a4"/>
    <w:uiPriority w:val="52"/>
    <w:rsid w:val="00F527CC"/>
    <w:pPr>
      <w:spacing w:after="0" w:line="240" w:lineRule="auto"/>
    </w:pPr>
    <w:rPr>
      <w:color w:val="D88400" w:themeColor="accent6" w:themeShade="BF"/>
    </w:r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insideV w:val="single" w:sz="4" w:space="0" w:color="FFCB7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DD2" w:themeFill="accent6" w:themeFillTint="33"/>
      </w:tcPr>
    </w:tblStylePr>
    <w:tblStylePr w:type="band1Horz">
      <w:tblPr/>
      <w:tcPr>
        <w:shd w:val="clear" w:color="auto" w:fill="FFEDD2" w:themeFill="accent6" w:themeFillTint="33"/>
      </w:tcPr>
    </w:tblStylePr>
    <w:tblStylePr w:type="neCell">
      <w:tblPr/>
      <w:tcPr>
        <w:tcBorders>
          <w:bottom w:val="single" w:sz="4" w:space="0" w:color="FFCB7A" w:themeColor="accent6" w:themeTint="99"/>
        </w:tcBorders>
      </w:tcPr>
    </w:tblStylePr>
    <w:tblStylePr w:type="nwCell">
      <w:tblPr/>
      <w:tcPr>
        <w:tcBorders>
          <w:bottom w:val="single" w:sz="4" w:space="0" w:color="FFCB7A" w:themeColor="accent6" w:themeTint="99"/>
        </w:tcBorders>
      </w:tcPr>
    </w:tblStylePr>
    <w:tblStylePr w:type="seCell">
      <w:tblPr/>
      <w:tcPr>
        <w:tcBorders>
          <w:top w:val="single" w:sz="4" w:space="0" w:color="FFCB7A" w:themeColor="accent6" w:themeTint="99"/>
        </w:tcBorders>
      </w:tcPr>
    </w:tblStylePr>
    <w:tblStylePr w:type="swCell">
      <w:tblPr/>
      <w:tcPr>
        <w:tcBorders>
          <w:top w:val="single" w:sz="4" w:space="0" w:color="FFCB7A" w:themeColor="accent6" w:themeTint="99"/>
        </w:tcBorders>
      </w:tcPr>
    </w:tblStylePr>
  </w:style>
  <w:style w:type="character" w:styleId="HTML">
    <w:name w:val="HTML Acronym"/>
    <w:basedOn w:val="a3"/>
    <w:uiPriority w:val="99"/>
    <w:semiHidden/>
    <w:unhideWhenUsed/>
    <w:rsid w:val="00F527CC"/>
    <w:rPr>
      <w:lang w:val="en-US"/>
    </w:rPr>
  </w:style>
  <w:style w:type="paragraph" w:styleId="HTML0">
    <w:name w:val="HTML Address"/>
    <w:basedOn w:val="a2"/>
    <w:link w:val="HTML1"/>
    <w:uiPriority w:val="99"/>
    <w:semiHidden/>
    <w:unhideWhenUsed/>
    <w:rsid w:val="00F527CC"/>
    <w:pPr>
      <w:spacing w:after="0" w:line="240" w:lineRule="auto"/>
    </w:pPr>
    <w:rPr>
      <w:i/>
      <w:iCs/>
    </w:rPr>
  </w:style>
  <w:style w:type="character" w:customStyle="1" w:styleId="HTML1">
    <w:name w:val="Адрес HTML Знак"/>
    <w:basedOn w:val="a3"/>
    <w:link w:val="HTML0"/>
    <w:uiPriority w:val="99"/>
    <w:semiHidden/>
    <w:rsid w:val="00F527CC"/>
    <w:rPr>
      <w:i/>
      <w:iCs/>
      <w:lang w:val="en-US"/>
    </w:rPr>
  </w:style>
  <w:style w:type="character" w:styleId="HTML2">
    <w:name w:val="HTML Cite"/>
    <w:basedOn w:val="a3"/>
    <w:uiPriority w:val="99"/>
    <w:semiHidden/>
    <w:unhideWhenUsed/>
    <w:rsid w:val="00F527CC"/>
    <w:rPr>
      <w:i/>
      <w:iCs/>
      <w:lang w:val="en-US"/>
    </w:rPr>
  </w:style>
  <w:style w:type="character" w:styleId="HTML3">
    <w:name w:val="HTML Code"/>
    <w:basedOn w:val="a3"/>
    <w:uiPriority w:val="99"/>
    <w:semiHidden/>
    <w:unhideWhenUsed/>
    <w:rsid w:val="00F527CC"/>
    <w:rPr>
      <w:rFonts w:ascii="Consolas" w:hAnsi="Consolas"/>
      <w:sz w:val="20"/>
      <w:szCs w:val="20"/>
      <w:lang w:val="en-US"/>
    </w:rPr>
  </w:style>
  <w:style w:type="character" w:styleId="HTML4">
    <w:name w:val="HTML Definition"/>
    <w:basedOn w:val="a3"/>
    <w:uiPriority w:val="99"/>
    <w:semiHidden/>
    <w:unhideWhenUsed/>
    <w:rsid w:val="00F527CC"/>
    <w:rPr>
      <w:i/>
      <w:iCs/>
      <w:lang w:val="en-US"/>
    </w:rPr>
  </w:style>
  <w:style w:type="character" w:styleId="HTML5">
    <w:name w:val="HTML Keyboard"/>
    <w:basedOn w:val="a3"/>
    <w:uiPriority w:val="99"/>
    <w:semiHidden/>
    <w:unhideWhenUsed/>
    <w:rsid w:val="00F527CC"/>
    <w:rPr>
      <w:rFonts w:ascii="Consolas" w:hAnsi="Consolas"/>
      <w:sz w:val="20"/>
      <w:szCs w:val="20"/>
      <w:lang w:val="en-US"/>
    </w:rPr>
  </w:style>
  <w:style w:type="paragraph" w:styleId="HTML6">
    <w:name w:val="HTML Preformatted"/>
    <w:basedOn w:val="a2"/>
    <w:link w:val="HTML7"/>
    <w:uiPriority w:val="99"/>
    <w:semiHidden/>
    <w:unhideWhenUsed/>
    <w:rsid w:val="00F527CC"/>
    <w:pPr>
      <w:spacing w:after="0" w:line="240" w:lineRule="auto"/>
    </w:pPr>
    <w:rPr>
      <w:rFonts w:ascii="Consolas" w:hAnsi="Consolas"/>
      <w:sz w:val="20"/>
      <w:szCs w:val="20"/>
    </w:rPr>
  </w:style>
  <w:style w:type="character" w:customStyle="1" w:styleId="HTML7">
    <w:name w:val="Стандартный HTML Знак"/>
    <w:basedOn w:val="a3"/>
    <w:link w:val="HTML6"/>
    <w:uiPriority w:val="99"/>
    <w:semiHidden/>
    <w:rsid w:val="00F527CC"/>
    <w:rPr>
      <w:rFonts w:ascii="Consolas" w:hAnsi="Consolas"/>
      <w:sz w:val="20"/>
      <w:szCs w:val="20"/>
      <w:lang w:val="en-US"/>
    </w:rPr>
  </w:style>
  <w:style w:type="character" w:styleId="HTML8">
    <w:name w:val="HTML Sample"/>
    <w:basedOn w:val="a3"/>
    <w:uiPriority w:val="99"/>
    <w:semiHidden/>
    <w:unhideWhenUsed/>
    <w:rsid w:val="00F527CC"/>
    <w:rPr>
      <w:rFonts w:ascii="Consolas" w:hAnsi="Consolas"/>
      <w:sz w:val="24"/>
      <w:szCs w:val="24"/>
      <w:lang w:val="en-US"/>
    </w:rPr>
  </w:style>
  <w:style w:type="character" w:styleId="HTML9">
    <w:name w:val="HTML Typewriter"/>
    <w:basedOn w:val="a3"/>
    <w:uiPriority w:val="99"/>
    <w:semiHidden/>
    <w:unhideWhenUsed/>
    <w:rsid w:val="00F527CC"/>
    <w:rPr>
      <w:rFonts w:ascii="Consolas" w:hAnsi="Consolas"/>
      <w:sz w:val="20"/>
      <w:szCs w:val="20"/>
      <w:lang w:val="en-US"/>
    </w:rPr>
  </w:style>
  <w:style w:type="character" w:styleId="HTMLa">
    <w:name w:val="HTML Variable"/>
    <w:basedOn w:val="a3"/>
    <w:uiPriority w:val="99"/>
    <w:semiHidden/>
    <w:unhideWhenUsed/>
    <w:rsid w:val="00F527CC"/>
    <w:rPr>
      <w:i/>
      <w:iCs/>
      <w:lang w:val="en-US"/>
    </w:rPr>
  </w:style>
  <w:style w:type="paragraph" w:styleId="12">
    <w:name w:val="index 1"/>
    <w:basedOn w:val="a2"/>
    <w:next w:val="a2"/>
    <w:autoRedefine/>
    <w:uiPriority w:val="99"/>
    <w:semiHidden/>
    <w:unhideWhenUsed/>
    <w:rsid w:val="00F527CC"/>
    <w:pPr>
      <w:spacing w:after="0" w:line="240" w:lineRule="auto"/>
      <w:ind w:left="220" w:hanging="220"/>
    </w:pPr>
  </w:style>
  <w:style w:type="paragraph" w:styleId="2d">
    <w:name w:val="index 2"/>
    <w:basedOn w:val="a2"/>
    <w:next w:val="a2"/>
    <w:autoRedefine/>
    <w:uiPriority w:val="99"/>
    <w:semiHidden/>
    <w:unhideWhenUsed/>
    <w:rsid w:val="00F527CC"/>
    <w:pPr>
      <w:spacing w:after="0" w:line="240" w:lineRule="auto"/>
      <w:ind w:left="440" w:hanging="220"/>
    </w:pPr>
  </w:style>
  <w:style w:type="paragraph" w:styleId="38">
    <w:name w:val="index 3"/>
    <w:basedOn w:val="a2"/>
    <w:next w:val="a2"/>
    <w:autoRedefine/>
    <w:uiPriority w:val="99"/>
    <w:semiHidden/>
    <w:unhideWhenUsed/>
    <w:rsid w:val="00F527CC"/>
    <w:pPr>
      <w:spacing w:after="0" w:line="240" w:lineRule="auto"/>
      <w:ind w:left="660" w:hanging="220"/>
    </w:pPr>
  </w:style>
  <w:style w:type="paragraph" w:styleId="44">
    <w:name w:val="index 4"/>
    <w:basedOn w:val="a2"/>
    <w:next w:val="a2"/>
    <w:autoRedefine/>
    <w:uiPriority w:val="99"/>
    <w:semiHidden/>
    <w:unhideWhenUsed/>
    <w:rsid w:val="00F527CC"/>
    <w:pPr>
      <w:spacing w:after="0" w:line="240" w:lineRule="auto"/>
      <w:ind w:left="880" w:hanging="220"/>
    </w:pPr>
  </w:style>
  <w:style w:type="paragraph" w:styleId="52">
    <w:name w:val="index 5"/>
    <w:basedOn w:val="a2"/>
    <w:next w:val="a2"/>
    <w:autoRedefine/>
    <w:uiPriority w:val="99"/>
    <w:semiHidden/>
    <w:unhideWhenUsed/>
    <w:rsid w:val="00F527CC"/>
    <w:pPr>
      <w:spacing w:after="0" w:line="240" w:lineRule="auto"/>
      <w:ind w:left="1100" w:hanging="220"/>
    </w:pPr>
  </w:style>
  <w:style w:type="paragraph" w:styleId="61">
    <w:name w:val="index 6"/>
    <w:basedOn w:val="a2"/>
    <w:next w:val="a2"/>
    <w:autoRedefine/>
    <w:uiPriority w:val="99"/>
    <w:semiHidden/>
    <w:unhideWhenUsed/>
    <w:rsid w:val="00F527CC"/>
    <w:pPr>
      <w:spacing w:after="0" w:line="240" w:lineRule="auto"/>
      <w:ind w:left="1320" w:hanging="220"/>
    </w:pPr>
  </w:style>
  <w:style w:type="paragraph" w:styleId="71">
    <w:name w:val="index 7"/>
    <w:basedOn w:val="a2"/>
    <w:next w:val="a2"/>
    <w:autoRedefine/>
    <w:uiPriority w:val="99"/>
    <w:semiHidden/>
    <w:unhideWhenUsed/>
    <w:rsid w:val="00F527CC"/>
    <w:pPr>
      <w:spacing w:after="0" w:line="240" w:lineRule="auto"/>
      <w:ind w:left="1540" w:hanging="220"/>
    </w:pPr>
  </w:style>
  <w:style w:type="paragraph" w:styleId="81">
    <w:name w:val="index 8"/>
    <w:basedOn w:val="a2"/>
    <w:next w:val="a2"/>
    <w:autoRedefine/>
    <w:uiPriority w:val="99"/>
    <w:semiHidden/>
    <w:unhideWhenUsed/>
    <w:rsid w:val="00F527CC"/>
    <w:pPr>
      <w:spacing w:after="0" w:line="240" w:lineRule="auto"/>
      <w:ind w:left="1760" w:hanging="220"/>
    </w:pPr>
  </w:style>
  <w:style w:type="paragraph" w:styleId="91">
    <w:name w:val="index 9"/>
    <w:basedOn w:val="a2"/>
    <w:next w:val="a2"/>
    <w:autoRedefine/>
    <w:uiPriority w:val="99"/>
    <w:semiHidden/>
    <w:unhideWhenUsed/>
    <w:rsid w:val="00F527CC"/>
    <w:pPr>
      <w:spacing w:after="0" w:line="240" w:lineRule="auto"/>
      <w:ind w:left="1980" w:hanging="220"/>
    </w:pPr>
  </w:style>
  <w:style w:type="paragraph" w:styleId="afff8">
    <w:name w:val="index heading"/>
    <w:basedOn w:val="a2"/>
    <w:next w:val="12"/>
    <w:uiPriority w:val="99"/>
    <w:semiHidden/>
    <w:unhideWhenUsed/>
    <w:rsid w:val="00F527CC"/>
    <w:rPr>
      <w:rFonts w:eastAsiaTheme="majorEastAsia" w:cs="Arial"/>
      <w:b/>
      <w:bCs/>
    </w:rPr>
  </w:style>
  <w:style w:type="character" w:styleId="afff9">
    <w:name w:val="Intense Emphasis"/>
    <w:basedOn w:val="a3"/>
    <w:uiPriority w:val="21"/>
    <w:qFormat/>
    <w:rsid w:val="00F527CC"/>
    <w:rPr>
      <w:i/>
      <w:iCs/>
      <w:color w:val="C7C8CA" w:themeColor="accent1"/>
      <w:lang w:val="en-US"/>
    </w:rPr>
  </w:style>
  <w:style w:type="paragraph" w:styleId="afffa">
    <w:name w:val="Intense Quote"/>
    <w:basedOn w:val="a2"/>
    <w:next w:val="a2"/>
    <w:link w:val="afffb"/>
    <w:uiPriority w:val="30"/>
    <w:qFormat/>
    <w:rsid w:val="00F527CC"/>
    <w:pPr>
      <w:pBdr>
        <w:top w:val="single" w:sz="4" w:space="10" w:color="C7C8CA" w:themeColor="accent1"/>
        <w:bottom w:val="single" w:sz="4" w:space="10" w:color="C7C8CA" w:themeColor="accent1"/>
      </w:pBdr>
      <w:spacing w:before="360" w:after="360"/>
      <w:ind w:left="864" w:right="864"/>
      <w:jc w:val="center"/>
    </w:pPr>
    <w:rPr>
      <w:i/>
      <w:iCs/>
      <w:color w:val="C7C8CA" w:themeColor="accent1"/>
    </w:rPr>
  </w:style>
  <w:style w:type="character" w:customStyle="1" w:styleId="afffb">
    <w:name w:val="Выделенная цитата Знак"/>
    <w:basedOn w:val="a3"/>
    <w:link w:val="afffa"/>
    <w:uiPriority w:val="30"/>
    <w:rsid w:val="00F527CC"/>
    <w:rPr>
      <w:i/>
      <w:iCs/>
      <w:color w:val="C7C8CA" w:themeColor="accent1"/>
      <w:lang w:val="en-US"/>
    </w:rPr>
  </w:style>
  <w:style w:type="character" w:styleId="afffc">
    <w:name w:val="Intense Reference"/>
    <w:basedOn w:val="a3"/>
    <w:uiPriority w:val="32"/>
    <w:qFormat/>
    <w:rsid w:val="00F527CC"/>
    <w:rPr>
      <w:b/>
      <w:bCs/>
      <w:smallCaps/>
      <w:color w:val="C7C8CA" w:themeColor="accent1"/>
      <w:spacing w:val="5"/>
      <w:lang w:val="en-US"/>
    </w:rPr>
  </w:style>
  <w:style w:type="table" w:styleId="afffd">
    <w:name w:val="Light Grid"/>
    <w:basedOn w:val="a4"/>
    <w:uiPriority w:val="62"/>
    <w:unhideWhenUsed/>
    <w:rsid w:val="00F527CC"/>
    <w:pPr>
      <w:spacing w:after="0" w:line="240" w:lineRule="auto"/>
    </w:p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insideH w:val="single" w:sz="8" w:space="0" w:color="404040" w:themeColor="text1"/>
        <w:insideV w:val="single" w:sz="8" w:space="0" w:color="40404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40" w:themeColor="text1"/>
          <w:left w:val="single" w:sz="8" w:space="0" w:color="404040" w:themeColor="text1"/>
          <w:bottom w:val="single" w:sz="18" w:space="0" w:color="404040" w:themeColor="text1"/>
          <w:right w:val="single" w:sz="8" w:space="0" w:color="404040" w:themeColor="text1"/>
          <w:insideH w:val="nil"/>
          <w:insideV w:val="single" w:sz="8" w:space="0" w:color="40404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40" w:themeColor="text1"/>
          <w:left w:val="single" w:sz="8" w:space="0" w:color="404040" w:themeColor="text1"/>
          <w:bottom w:val="single" w:sz="8" w:space="0" w:color="404040" w:themeColor="text1"/>
          <w:right w:val="single" w:sz="8" w:space="0" w:color="404040" w:themeColor="text1"/>
          <w:insideH w:val="nil"/>
          <w:insideV w:val="single" w:sz="8" w:space="0" w:color="40404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40" w:themeColor="text1"/>
          <w:left w:val="single" w:sz="8" w:space="0" w:color="404040" w:themeColor="text1"/>
          <w:bottom w:val="single" w:sz="8" w:space="0" w:color="404040" w:themeColor="text1"/>
          <w:right w:val="single" w:sz="8" w:space="0" w:color="404040" w:themeColor="text1"/>
        </w:tcBorders>
      </w:tcPr>
    </w:tblStylePr>
    <w:tblStylePr w:type="band1Vert">
      <w:tblPr/>
      <w:tcPr>
        <w:tcBorders>
          <w:top w:val="single" w:sz="8" w:space="0" w:color="404040" w:themeColor="text1"/>
          <w:left w:val="single" w:sz="8" w:space="0" w:color="404040" w:themeColor="text1"/>
          <w:bottom w:val="single" w:sz="8" w:space="0" w:color="404040" w:themeColor="text1"/>
          <w:right w:val="single" w:sz="8" w:space="0" w:color="404040" w:themeColor="text1"/>
        </w:tcBorders>
        <w:shd w:val="clear" w:color="auto" w:fill="CFCFCF" w:themeFill="text1" w:themeFillTint="3F"/>
      </w:tcPr>
    </w:tblStylePr>
    <w:tblStylePr w:type="band1Horz">
      <w:tblPr/>
      <w:tcPr>
        <w:tcBorders>
          <w:top w:val="single" w:sz="8" w:space="0" w:color="404040" w:themeColor="text1"/>
          <w:left w:val="single" w:sz="8" w:space="0" w:color="404040" w:themeColor="text1"/>
          <w:bottom w:val="single" w:sz="8" w:space="0" w:color="404040" w:themeColor="text1"/>
          <w:right w:val="single" w:sz="8" w:space="0" w:color="404040" w:themeColor="text1"/>
          <w:insideV w:val="single" w:sz="8" w:space="0" w:color="404040" w:themeColor="text1"/>
        </w:tcBorders>
        <w:shd w:val="clear" w:color="auto" w:fill="CFCFCF" w:themeFill="text1" w:themeFillTint="3F"/>
      </w:tcPr>
    </w:tblStylePr>
    <w:tblStylePr w:type="band2Horz">
      <w:tblPr/>
      <w:tcPr>
        <w:tcBorders>
          <w:top w:val="single" w:sz="8" w:space="0" w:color="404040" w:themeColor="text1"/>
          <w:left w:val="single" w:sz="8" w:space="0" w:color="404040" w:themeColor="text1"/>
          <w:bottom w:val="single" w:sz="8" w:space="0" w:color="404040" w:themeColor="text1"/>
          <w:right w:val="single" w:sz="8" w:space="0" w:color="404040" w:themeColor="text1"/>
          <w:insideV w:val="single" w:sz="8" w:space="0" w:color="404040" w:themeColor="text1"/>
        </w:tcBorders>
      </w:tcPr>
    </w:tblStylePr>
  </w:style>
  <w:style w:type="table" w:styleId="-13">
    <w:name w:val="Light Grid Accent 1"/>
    <w:basedOn w:val="a4"/>
    <w:uiPriority w:val="62"/>
    <w:semiHidden/>
    <w:unhideWhenUsed/>
    <w:rsid w:val="00F527CC"/>
    <w:pPr>
      <w:spacing w:after="0" w:line="240" w:lineRule="auto"/>
    </w:p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insideH w:val="single" w:sz="8" w:space="0" w:color="C7C8CA" w:themeColor="accent1"/>
        <w:insideV w:val="single" w:sz="8" w:space="0" w:color="C7C8C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C8CA" w:themeColor="accent1"/>
          <w:left w:val="single" w:sz="8" w:space="0" w:color="C7C8CA" w:themeColor="accent1"/>
          <w:bottom w:val="single" w:sz="18" w:space="0" w:color="C7C8CA" w:themeColor="accent1"/>
          <w:right w:val="single" w:sz="8" w:space="0" w:color="C7C8CA" w:themeColor="accent1"/>
          <w:insideH w:val="nil"/>
          <w:insideV w:val="single" w:sz="8" w:space="0" w:color="C7C8C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C8CA" w:themeColor="accent1"/>
          <w:left w:val="single" w:sz="8" w:space="0" w:color="C7C8CA" w:themeColor="accent1"/>
          <w:bottom w:val="single" w:sz="8" w:space="0" w:color="C7C8CA" w:themeColor="accent1"/>
          <w:right w:val="single" w:sz="8" w:space="0" w:color="C7C8CA" w:themeColor="accent1"/>
          <w:insideH w:val="nil"/>
          <w:insideV w:val="single" w:sz="8" w:space="0" w:color="C7C8C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tcPr>
    </w:tblStylePr>
    <w:tblStylePr w:type="band1Vert">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shd w:val="clear" w:color="auto" w:fill="F1F1F2" w:themeFill="accent1" w:themeFillTint="3F"/>
      </w:tcPr>
    </w:tblStylePr>
    <w:tblStylePr w:type="band1Horz">
      <w:tblPr/>
      <w:tcPr>
        <w:tcBorders>
          <w:top w:val="single" w:sz="8" w:space="0" w:color="C7C8CA" w:themeColor="accent1"/>
          <w:left w:val="single" w:sz="8" w:space="0" w:color="C7C8CA" w:themeColor="accent1"/>
          <w:bottom w:val="single" w:sz="8" w:space="0" w:color="C7C8CA" w:themeColor="accent1"/>
          <w:right w:val="single" w:sz="8" w:space="0" w:color="C7C8CA" w:themeColor="accent1"/>
          <w:insideV w:val="single" w:sz="8" w:space="0" w:color="C7C8CA" w:themeColor="accent1"/>
        </w:tcBorders>
        <w:shd w:val="clear" w:color="auto" w:fill="F1F1F2" w:themeFill="accent1" w:themeFillTint="3F"/>
      </w:tcPr>
    </w:tblStylePr>
    <w:tblStylePr w:type="band2Horz">
      <w:tblPr/>
      <w:tcPr>
        <w:tcBorders>
          <w:top w:val="single" w:sz="8" w:space="0" w:color="C7C8CA" w:themeColor="accent1"/>
          <w:left w:val="single" w:sz="8" w:space="0" w:color="C7C8CA" w:themeColor="accent1"/>
          <w:bottom w:val="single" w:sz="8" w:space="0" w:color="C7C8CA" w:themeColor="accent1"/>
          <w:right w:val="single" w:sz="8" w:space="0" w:color="C7C8CA" w:themeColor="accent1"/>
          <w:insideV w:val="single" w:sz="8" w:space="0" w:color="C7C8CA" w:themeColor="accent1"/>
        </w:tcBorders>
      </w:tcPr>
    </w:tblStylePr>
  </w:style>
  <w:style w:type="table" w:styleId="-23">
    <w:name w:val="Light Grid Accent 2"/>
    <w:basedOn w:val="a4"/>
    <w:uiPriority w:val="62"/>
    <w:semiHidden/>
    <w:unhideWhenUsed/>
    <w:rsid w:val="00F527CC"/>
    <w:pPr>
      <w:spacing w:after="0" w:line="240" w:lineRule="auto"/>
    </w:p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insideH w:val="single" w:sz="8" w:space="0" w:color="939598" w:themeColor="accent2"/>
        <w:insideV w:val="single" w:sz="8" w:space="0" w:color="93959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9598" w:themeColor="accent2"/>
          <w:left w:val="single" w:sz="8" w:space="0" w:color="939598" w:themeColor="accent2"/>
          <w:bottom w:val="single" w:sz="18" w:space="0" w:color="939598" w:themeColor="accent2"/>
          <w:right w:val="single" w:sz="8" w:space="0" w:color="939598" w:themeColor="accent2"/>
          <w:insideH w:val="nil"/>
          <w:insideV w:val="single" w:sz="8" w:space="0" w:color="93959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9598" w:themeColor="accent2"/>
          <w:left w:val="single" w:sz="8" w:space="0" w:color="939598" w:themeColor="accent2"/>
          <w:bottom w:val="single" w:sz="8" w:space="0" w:color="939598" w:themeColor="accent2"/>
          <w:right w:val="single" w:sz="8" w:space="0" w:color="939598" w:themeColor="accent2"/>
          <w:insideH w:val="nil"/>
          <w:insideV w:val="single" w:sz="8" w:space="0" w:color="93959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tcPr>
    </w:tblStylePr>
    <w:tblStylePr w:type="band1Vert">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shd w:val="clear" w:color="auto" w:fill="E4E4E5" w:themeFill="accent2" w:themeFillTint="3F"/>
      </w:tcPr>
    </w:tblStylePr>
    <w:tblStylePr w:type="band1Horz">
      <w:tblPr/>
      <w:tcPr>
        <w:tcBorders>
          <w:top w:val="single" w:sz="8" w:space="0" w:color="939598" w:themeColor="accent2"/>
          <w:left w:val="single" w:sz="8" w:space="0" w:color="939598" w:themeColor="accent2"/>
          <w:bottom w:val="single" w:sz="8" w:space="0" w:color="939598" w:themeColor="accent2"/>
          <w:right w:val="single" w:sz="8" w:space="0" w:color="939598" w:themeColor="accent2"/>
          <w:insideV w:val="single" w:sz="8" w:space="0" w:color="939598" w:themeColor="accent2"/>
        </w:tcBorders>
        <w:shd w:val="clear" w:color="auto" w:fill="E4E4E5" w:themeFill="accent2" w:themeFillTint="3F"/>
      </w:tcPr>
    </w:tblStylePr>
    <w:tblStylePr w:type="band2Horz">
      <w:tblPr/>
      <w:tcPr>
        <w:tcBorders>
          <w:top w:val="single" w:sz="8" w:space="0" w:color="939598" w:themeColor="accent2"/>
          <w:left w:val="single" w:sz="8" w:space="0" w:color="939598" w:themeColor="accent2"/>
          <w:bottom w:val="single" w:sz="8" w:space="0" w:color="939598" w:themeColor="accent2"/>
          <w:right w:val="single" w:sz="8" w:space="0" w:color="939598" w:themeColor="accent2"/>
          <w:insideV w:val="single" w:sz="8" w:space="0" w:color="939598" w:themeColor="accent2"/>
        </w:tcBorders>
      </w:tcPr>
    </w:tblStylePr>
  </w:style>
  <w:style w:type="table" w:styleId="-33">
    <w:name w:val="Light Grid Accent 3"/>
    <w:basedOn w:val="a4"/>
    <w:uiPriority w:val="62"/>
    <w:semiHidden/>
    <w:unhideWhenUsed/>
    <w:rsid w:val="00F527CC"/>
    <w:pPr>
      <w:spacing w:after="0" w:line="240" w:lineRule="auto"/>
    </w:p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insideH w:val="single" w:sz="8" w:space="0" w:color="636466" w:themeColor="accent3"/>
        <w:insideV w:val="single" w:sz="8" w:space="0" w:color="63646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6466" w:themeColor="accent3"/>
          <w:left w:val="single" w:sz="8" w:space="0" w:color="636466" w:themeColor="accent3"/>
          <w:bottom w:val="single" w:sz="18" w:space="0" w:color="636466" w:themeColor="accent3"/>
          <w:right w:val="single" w:sz="8" w:space="0" w:color="636466" w:themeColor="accent3"/>
          <w:insideH w:val="nil"/>
          <w:insideV w:val="single" w:sz="8" w:space="0" w:color="63646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6466" w:themeColor="accent3"/>
          <w:left w:val="single" w:sz="8" w:space="0" w:color="636466" w:themeColor="accent3"/>
          <w:bottom w:val="single" w:sz="8" w:space="0" w:color="636466" w:themeColor="accent3"/>
          <w:right w:val="single" w:sz="8" w:space="0" w:color="636466" w:themeColor="accent3"/>
          <w:insideH w:val="nil"/>
          <w:insideV w:val="single" w:sz="8" w:space="0" w:color="63646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tcPr>
    </w:tblStylePr>
    <w:tblStylePr w:type="band1Vert">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shd w:val="clear" w:color="auto" w:fill="D8D8D9" w:themeFill="accent3" w:themeFillTint="3F"/>
      </w:tcPr>
    </w:tblStylePr>
    <w:tblStylePr w:type="band1Horz">
      <w:tblPr/>
      <w:tcPr>
        <w:tcBorders>
          <w:top w:val="single" w:sz="8" w:space="0" w:color="636466" w:themeColor="accent3"/>
          <w:left w:val="single" w:sz="8" w:space="0" w:color="636466" w:themeColor="accent3"/>
          <w:bottom w:val="single" w:sz="8" w:space="0" w:color="636466" w:themeColor="accent3"/>
          <w:right w:val="single" w:sz="8" w:space="0" w:color="636466" w:themeColor="accent3"/>
          <w:insideV w:val="single" w:sz="8" w:space="0" w:color="636466" w:themeColor="accent3"/>
        </w:tcBorders>
        <w:shd w:val="clear" w:color="auto" w:fill="D8D8D9" w:themeFill="accent3" w:themeFillTint="3F"/>
      </w:tcPr>
    </w:tblStylePr>
    <w:tblStylePr w:type="band2Horz">
      <w:tblPr/>
      <w:tcPr>
        <w:tcBorders>
          <w:top w:val="single" w:sz="8" w:space="0" w:color="636466" w:themeColor="accent3"/>
          <w:left w:val="single" w:sz="8" w:space="0" w:color="636466" w:themeColor="accent3"/>
          <w:bottom w:val="single" w:sz="8" w:space="0" w:color="636466" w:themeColor="accent3"/>
          <w:right w:val="single" w:sz="8" w:space="0" w:color="636466" w:themeColor="accent3"/>
          <w:insideV w:val="single" w:sz="8" w:space="0" w:color="636466" w:themeColor="accent3"/>
        </w:tcBorders>
      </w:tcPr>
    </w:tblStylePr>
  </w:style>
  <w:style w:type="table" w:styleId="-43">
    <w:name w:val="Light Grid Accent 4"/>
    <w:basedOn w:val="a4"/>
    <w:uiPriority w:val="62"/>
    <w:semiHidden/>
    <w:unhideWhenUsed/>
    <w:rsid w:val="00F527CC"/>
    <w:pPr>
      <w:spacing w:after="0" w:line="240" w:lineRule="auto"/>
    </w:p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insideH w:val="single" w:sz="8" w:space="0" w:color="CD202C" w:themeColor="accent4"/>
        <w:insideV w:val="single" w:sz="8" w:space="0" w:color="CD202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202C" w:themeColor="accent4"/>
          <w:left w:val="single" w:sz="8" w:space="0" w:color="CD202C" w:themeColor="accent4"/>
          <w:bottom w:val="single" w:sz="18" w:space="0" w:color="CD202C" w:themeColor="accent4"/>
          <w:right w:val="single" w:sz="8" w:space="0" w:color="CD202C" w:themeColor="accent4"/>
          <w:insideH w:val="nil"/>
          <w:insideV w:val="single" w:sz="8" w:space="0" w:color="CD202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202C" w:themeColor="accent4"/>
          <w:left w:val="single" w:sz="8" w:space="0" w:color="CD202C" w:themeColor="accent4"/>
          <w:bottom w:val="single" w:sz="8" w:space="0" w:color="CD202C" w:themeColor="accent4"/>
          <w:right w:val="single" w:sz="8" w:space="0" w:color="CD202C" w:themeColor="accent4"/>
          <w:insideH w:val="nil"/>
          <w:insideV w:val="single" w:sz="8" w:space="0" w:color="CD202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tcPr>
    </w:tblStylePr>
    <w:tblStylePr w:type="band1Vert">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shd w:val="clear" w:color="auto" w:fill="F6C4C7" w:themeFill="accent4" w:themeFillTint="3F"/>
      </w:tcPr>
    </w:tblStylePr>
    <w:tblStylePr w:type="band1Horz">
      <w:tblPr/>
      <w:tcPr>
        <w:tcBorders>
          <w:top w:val="single" w:sz="8" w:space="0" w:color="CD202C" w:themeColor="accent4"/>
          <w:left w:val="single" w:sz="8" w:space="0" w:color="CD202C" w:themeColor="accent4"/>
          <w:bottom w:val="single" w:sz="8" w:space="0" w:color="CD202C" w:themeColor="accent4"/>
          <w:right w:val="single" w:sz="8" w:space="0" w:color="CD202C" w:themeColor="accent4"/>
          <w:insideV w:val="single" w:sz="8" w:space="0" w:color="CD202C" w:themeColor="accent4"/>
        </w:tcBorders>
        <w:shd w:val="clear" w:color="auto" w:fill="F6C4C7" w:themeFill="accent4" w:themeFillTint="3F"/>
      </w:tcPr>
    </w:tblStylePr>
    <w:tblStylePr w:type="band2Horz">
      <w:tblPr/>
      <w:tcPr>
        <w:tcBorders>
          <w:top w:val="single" w:sz="8" w:space="0" w:color="CD202C" w:themeColor="accent4"/>
          <w:left w:val="single" w:sz="8" w:space="0" w:color="CD202C" w:themeColor="accent4"/>
          <w:bottom w:val="single" w:sz="8" w:space="0" w:color="CD202C" w:themeColor="accent4"/>
          <w:right w:val="single" w:sz="8" w:space="0" w:color="CD202C" w:themeColor="accent4"/>
          <w:insideV w:val="single" w:sz="8" w:space="0" w:color="CD202C" w:themeColor="accent4"/>
        </w:tcBorders>
      </w:tcPr>
    </w:tblStylePr>
  </w:style>
  <w:style w:type="table" w:styleId="-53">
    <w:name w:val="Light Grid Accent 5"/>
    <w:basedOn w:val="a4"/>
    <w:uiPriority w:val="62"/>
    <w:semiHidden/>
    <w:unhideWhenUsed/>
    <w:rsid w:val="00F527CC"/>
    <w:pPr>
      <w:spacing w:after="0" w:line="240" w:lineRule="auto"/>
    </w:p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insideH w:val="single" w:sz="8" w:space="0" w:color="0055AA" w:themeColor="accent5"/>
        <w:insideV w:val="single" w:sz="8" w:space="0" w:color="0055A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5AA" w:themeColor="accent5"/>
          <w:left w:val="single" w:sz="8" w:space="0" w:color="0055AA" w:themeColor="accent5"/>
          <w:bottom w:val="single" w:sz="18" w:space="0" w:color="0055AA" w:themeColor="accent5"/>
          <w:right w:val="single" w:sz="8" w:space="0" w:color="0055AA" w:themeColor="accent5"/>
          <w:insideH w:val="nil"/>
          <w:insideV w:val="single" w:sz="8" w:space="0" w:color="0055A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5AA" w:themeColor="accent5"/>
          <w:left w:val="single" w:sz="8" w:space="0" w:color="0055AA" w:themeColor="accent5"/>
          <w:bottom w:val="single" w:sz="8" w:space="0" w:color="0055AA" w:themeColor="accent5"/>
          <w:right w:val="single" w:sz="8" w:space="0" w:color="0055AA" w:themeColor="accent5"/>
          <w:insideH w:val="nil"/>
          <w:insideV w:val="single" w:sz="8" w:space="0" w:color="0055A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tcPr>
    </w:tblStylePr>
    <w:tblStylePr w:type="band1Vert">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shd w:val="clear" w:color="auto" w:fill="ABD4FF" w:themeFill="accent5" w:themeFillTint="3F"/>
      </w:tcPr>
    </w:tblStylePr>
    <w:tblStylePr w:type="band1Horz">
      <w:tblPr/>
      <w:tcPr>
        <w:tcBorders>
          <w:top w:val="single" w:sz="8" w:space="0" w:color="0055AA" w:themeColor="accent5"/>
          <w:left w:val="single" w:sz="8" w:space="0" w:color="0055AA" w:themeColor="accent5"/>
          <w:bottom w:val="single" w:sz="8" w:space="0" w:color="0055AA" w:themeColor="accent5"/>
          <w:right w:val="single" w:sz="8" w:space="0" w:color="0055AA" w:themeColor="accent5"/>
          <w:insideV w:val="single" w:sz="8" w:space="0" w:color="0055AA" w:themeColor="accent5"/>
        </w:tcBorders>
        <w:shd w:val="clear" w:color="auto" w:fill="ABD4FF" w:themeFill="accent5" w:themeFillTint="3F"/>
      </w:tcPr>
    </w:tblStylePr>
    <w:tblStylePr w:type="band2Horz">
      <w:tblPr/>
      <w:tcPr>
        <w:tcBorders>
          <w:top w:val="single" w:sz="8" w:space="0" w:color="0055AA" w:themeColor="accent5"/>
          <w:left w:val="single" w:sz="8" w:space="0" w:color="0055AA" w:themeColor="accent5"/>
          <w:bottom w:val="single" w:sz="8" w:space="0" w:color="0055AA" w:themeColor="accent5"/>
          <w:right w:val="single" w:sz="8" w:space="0" w:color="0055AA" w:themeColor="accent5"/>
          <w:insideV w:val="single" w:sz="8" w:space="0" w:color="0055AA" w:themeColor="accent5"/>
        </w:tcBorders>
      </w:tcPr>
    </w:tblStylePr>
  </w:style>
  <w:style w:type="table" w:styleId="-63">
    <w:name w:val="Light Grid Accent 6"/>
    <w:basedOn w:val="a4"/>
    <w:uiPriority w:val="62"/>
    <w:semiHidden/>
    <w:unhideWhenUsed/>
    <w:rsid w:val="00F527CC"/>
    <w:pPr>
      <w:spacing w:after="0" w:line="240" w:lineRule="auto"/>
    </w:p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insideH w:val="single" w:sz="8" w:space="0" w:color="FFAA22" w:themeColor="accent6"/>
        <w:insideV w:val="single" w:sz="8" w:space="0" w:color="FFAA2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A22" w:themeColor="accent6"/>
          <w:left w:val="single" w:sz="8" w:space="0" w:color="FFAA22" w:themeColor="accent6"/>
          <w:bottom w:val="single" w:sz="18" w:space="0" w:color="FFAA22" w:themeColor="accent6"/>
          <w:right w:val="single" w:sz="8" w:space="0" w:color="FFAA22" w:themeColor="accent6"/>
          <w:insideH w:val="nil"/>
          <w:insideV w:val="single" w:sz="8" w:space="0" w:color="FFAA2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A22" w:themeColor="accent6"/>
          <w:left w:val="single" w:sz="8" w:space="0" w:color="FFAA22" w:themeColor="accent6"/>
          <w:bottom w:val="single" w:sz="8" w:space="0" w:color="FFAA22" w:themeColor="accent6"/>
          <w:right w:val="single" w:sz="8" w:space="0" w:color="FFAA22" w:themeColor="accent6"/>
          <w:insideH w:val="nil"/>
          <w:insideV w:val="single" w:sz="8" w:space="0" w:color="FFAA2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tcPr>
    </w:tblStylePr>
    <w:tblStylePr w:type="band1Vert">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shd w:val="clear" w:color="auto" w:fill="FFE9C8" w:themeFill="accent6" w:themeFillTint="3F"/>
      </w:tcPr>
    </w:tblStylePr>
    <w:tblStylePr w:type="band1Horz">
      <w:tblPr/>
      <w:tcPr>
        <w:tcBorders>
          <w:top w:val="single" w:sz="8" w:space="0" w:color="FFAA22" w:themeColor="accent6"/>
          <w:left w:val="single" w:sz="8" w:space="0" w:color="FFAA22" w:themeColor="accent6"/>
          <w:bottom w:val="single" w:sz="8" w:space="0" w:color="FFAA22" w:themeColor="accent6"/>
          <w:right w:val="single" w:sz="8" w:space="0" w:color="FFAA22" w:themeColor="accent6"/>
          <w:insideV w:val="single" w:sz="8" w:space="0" w:color="FFAA22" w:themeColor="accent6"/>
        </w:tcBorders>
        <w:shd w:val="clear" w:color="auto" w:fill="FFE9C8" w:themeFill="accent6" w:themeFillTint="3F"/>
      </w:tcPr>
    </w:tblStylePr>
    <w:tblStylePr w:type="band2Horz">
      <w:tblPr/>
      <w:tcPr>
        <w:tcBorders>
          <w:top w:val="single" w:sz="8" w:space="0" w:color="FFAA22" w:themeColor="accent6"/>
          <w:left w:val="single" w:sz="8" w:space="0" w:color="FFAA22" w:themeColor="accent6"/>
          <w:bottom w:val="single" w:sz="8" w:space="0" w:color="FFAA22" w:themeColor="accent6"/>
          <w:right w:val="single" w:sz="8" w:space="0" w:color="FFAA22" w:themeColor="accent6"/>
          <w:insideV w:val="single" w:sz="8" w:space="0" w:color="FFAA22" w:themeColor="accent6"/>
        </w:tcBorders>
      </w:tcPr>
    </w:tblStylePr>
  </w:style>
  <w:style w:type="table" w:styleId="afffe">
    <w:name w:val="Light List"/>
    <w:basedOn w:val="a4"/>
    <w:uiPriority w:val="61"/>
    <w:semiHidden/>
    <w:unhideWhenUsed/>
    <w:rsid w:val="00F527CC"/>
    <w:pPr>
      <w:spacing w:after="0" w:line="240" w:lineRule="auto"/>
    </w:p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tblBorders>
    </w:tblPr>
    <w:tblStylePr w:type="firstRow">
      <w:pPr>
        <w:spacing w:before="0" w:after="0" w:line="240" w:lineRule="auto"/>
      </w:pPr>
      <w:rPr>
        <w:b/>
        <w:bCs/>
        <w:color w:val="FFFFFF" w:themeColor="background1"/>
      </w:rPr>
      <w:tblPr/>
      <w:tcPr>
        <w:shd w:val="clear" w:color="auto" w:fill="404040" w:themeFill="text1"/>
      </w:tcPr>
    </w:tblStylePr>
    <w:tblStylePr w:type="lastRow">
      <w:pPr>
        <w:spacing w:before="0" w:after="0" w:line="240" w:lineRule="auto"/>
      </w:pPr>
      <w:rPr>
        <w:b/>
        <w:bCs/>
      </w:rPr>
      <w:tblPr/>
      <w:tcPr>
        <w:tcBorders>
          <w:top w:val="double" w:sz="6" w:space="0" w:color="404040" w:themeColor="text1"/>
          <w:left w:val="single" w:sz="8" w:space="0" w:color="404040" w:themeColor="text1"/>
          <w:bottom w:val="single" w:sz="8" w:space="0" w:color="404040" w:themeColor="text1"/>
          <w:right w:val="single" w:sz="8" w:space="0" w:color="404040" w:themeColor="text1"/>
        </w:tcBorders>
      </w:tcPr>
    </w:tblStylePr>
    <w:tblStylePr w:type="firstCol">
      <w:rPr>
        <w:b/>
        <w:bCs/>
      </w:rPr>
    </w:tblStylePr>
    <w:tblStylePr w:type="lastCol">
      <w:rPr>
        <w:b/>
        <w:bCs/>
      </w:rPr>
    </w:tblStylePr>
    <w:tblStylePr w:type="band1Vert">
      <w:tblPr/>
      <w:tcPr>
        <w:tcBorders>
          <w:top w:val="single" w:sz="8" w:space="0" w:color="404040" w:themeColor="text1"/>
          <w:left w:val="single" w:sz="8" w:space="0" w:color="404040" w:themeColor="text1"/>
          <w:bottom w:val="single" w:sz="8" w:space="0" w:color="404040" w:themeColor="text1"/>
          <w:right w:val="single" w:sz="8" w:space="0" w:color="404040" w:themeColor="text1"/>
        </w:tcBorders>
      </w:tcPr>
    </w:tblStylePr>
    <w:tblStylePr w:type="band1Horz">
      <w:tblPr/>
      <w:tcPr>
        <w:tcBorders>
          <w:top w:val="single" w:sz="8" w:space="0" w:color="404040" w:themeColor="text1"/>
          <w:left w:val="single" w:sz="8" w:space="0" w:color="404040" w:themeColor="text1"/>
          <w:bottom w:val="single" w:sz="8" w:space="0" w:color="404040" w:themeColor="text1"/>
          <w:right w:val="single" w:sz="8" w:space="0" w:color="404040" w:themeColor="text1"/>
        </w:tcBorders>
      </w:tcPr>
    </w:tblStylePr>
  </w:style>
  <w:style w:type="table" w:styleId="-14">
    <w:name w:val="Light List Accent 1"/>
    <w:basedOn w:val="a4"/>
    <w:uiPriority w:val="61"/>
    <w:unhideWhenUsed/>
    <w:rsid w:val="00F527CC"/>
    <w:pPr>
      <w:spacing w:after="0" w:line="240" w:lineRule="auto"/>
    </w:p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tblBorders>
    </w:tblPr>
    <w:tblStylePr w:type="firstRow">
      <w:pPr>
        <w:spacing w:before="0" w:after="0" w:line="240" w:lineRule="auto"/>
      </w:pPr>
      <w:rPr>
        <w:b/>
        <w:bCs/>
        <w:color w:val="FFFFFF" w:themeColor="background1"/>
      </w:rPr>
      <w:tblPr/>
      <w:tcPr>
        <w:shd w:val="clear" w:color="auto" w:fill="C7C8CA" w:themeFill="accent1"/>
      </w:tcPr>
    </w:tblStylePr>
    <w:tblStylePr w:type="lastRow">
      <w:pPr>
        <w:spacing w:before="0" w:after="0" w:line="240" w:lineRule="auto"/>
      </w:pPr>
      <w:rPr>
        <w:b/>
        <w:bCs/>
      </w:rPr>
      <w:tblPr/>
      <w:tcPr>
        <w:tcBorders>
          <w:top w:val="double" w:sz="6" w:space="0" w:color="C7C8CA" w:themeColor="accent1"/>
          <w:left w:val="single" w:sz="8" w:space="0" w:color="C7C8CA" w:themeColor="accent1"/>
          <w:bottom w:val="single" w:sz="8" w:space="0" w:color="C7C8CA" w:themeColor="accent1"/>
          <w:right w:val="single" w:sz="8" w:space="0" w:color="C7C8CA" w:themeColor="accent1"/>
        </w:tcBorders>
      </w:tcPr>
    </w:tblStylePr>
    <w:tblStylePr w:type="firstCol">
      <w:rPr>
        <w:b/>
        <w:bCs/>
      </w:rPr>
    </w:tblStylePr>
    <w:tblStylePr w:type="lastCol">
      <w:rPr>
        <w:b/>
        <w:bCs/>
      </w:rPr>
    </w:tblStylePr>
    <w:tblStylePr w:type="band1Vert">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tcPr>
    </w:tblStylePr>
    <w:tblStylePr w:type="band1Horz">
      <w:tblPr/>
      <w:tcPr>
        <w:tcBorders>
          <w:top w:val="single" w:sz="8" w:space="0" w:color="C7C8CA" w:themeColor="accent1"/>
          <w:left w:val="single" w:sz="8" w:space="0" w:color="C7C8CA" w:themeColor="accent1"/>
          <w:bottom w:val="single" w:sz="8" w:space="0" w:color="C7C8CA" w:themeColor="accent1"/>
          <w:right w:val="single" w:sz="8" w:space="0" w:color="C7C8CA" w:themeColor="accent1"/>
        </w:tcBorders>
      </w:tcPr>
    </w:tblStylePr>
  </w:style>
  <w:style w:type="table" w:styleId="-24">
    <w:name w:val="Light List Accent 2"/>
    <w:basedOn w:val="a4"/>
    <w:uiPriority w:val="61"/>
    <w:semiHidden/>
    <w:unhideWhenUsed/>
    <w:rsid w:val="00F527CC"/>
    <w:pPr>
      <w:spacing w:after="0" w:line="240" w:lineRule="auto"/>
    </w:p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tblBorders>
    </w:tblPr>
    <w:tblStylePr w:type="firstRow">
      <w:pPr>
        <w:spacing w:before="0" w:after="0" w:line="240" w:lineRule="auto"/>
      </w:pPr>
      <w:rPr>
        <w:b/>
        <w:bCs/>
        <w:color w:val="FFFFFF" w:themeColor="background1"/>
      </w:rPr>
      <w:tblPr/>
      <w:tcPr>
        <w:shd w:val="clear" w:color="auto" w:fill="939598" w:themeFill="accent2"/>
      </w:tcPr>
    </w:tblStylePr>
    <w:tblStylePr w:type="lastRow">
      <w:pPr>
        <w:spacing w:before="0" w:after="0" w:line="240" w:lineRule="auto"/>
      </w:pPr>
      <w:rPr>
        <w:b/>
        <w:bCs/>
      </w:rPr>
      <w:tblPr/>
      <w:tcPr>
        <w:tcBorders>
          <w:top w:val="double" w:sz="6" w:space="0" w:color="939598" w:themeColor="accent2"/>
          <w:left w:val="single" w:sz="8" w:space="0" w:color="939598" w:themeColor="accent2"/>
          <w:bottom w:val="single" w:sz="8" w:space="0" w:color="939598" w:themeColor="accent2"/>
          <w:right w:val="single" w:sz="8" w:space="0" w:color="939598" w:themeColor="accent2"/>
        </w:tcBorders>
      </w:tcPr>
    </w:tblStylePr>
    <w:tblStylePr w:type="firstCol">
      <w:rPr>
        <w:b/>
        <w:bCs/>
      </w:rPr>
    </w:tblStylePr>
    <w:tblStylePr w:type="lastCol">
      <w:rPr>
        <w:b/>
        <w:bCs/>
      </w:rPr>
    </w:tblStylePr>
    <w:tblStylePr w:type="band1Vert">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tcPr>
    </w:tblStylePr>
    <w:tblStylePr w:type="band1Horz">
      <w:tblPr/>
      <w:tcPr>
        <w:tcBorders>
          <w:top w:val="single" w:sz="8" w:space="0" w:color="939598" w:themeColor="accent2"/>
          <w:left w:val="single" w:sz="8" w:space="0" w:color="939598" w:themeColor="accent2"/>
          <w:bottom w:val="single" w:sz="8" w:space="0" w:color="939598" w:themeColor="accent2"/>
          <w:right w:val="single" w:sz="8" w:space="0" w:color="939598" w:themeColor="accent2"/>
        </w:tcBorders>
      </w:tcPr>
    </w:tblStylePr>
  </w:style>
  <w:style w:type="table" w:styleId="-34">
    <w:name w:val="Light List Accent 3"/>
    <w:basedOn w:val="a4"/>
    <w:uiPriority w:val="61"/>
    <w:semiHidden/>
    <w:unhideWhenUsed/>
    <w:rsid w:val="00F527CC"/>
    <w:pPr>
      <w:spacing w:after="0" w:line="240" w:lineRule="auto"/>
    </w:p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tblBorders>
    </w:tblPr>
    <w:tblStylePr w:type="firstRow">
      <w:pPr>
        <w:spacing w:before="0" w:after="0" w:line="240" w:lineRule="auto"/>
      </w:pPr>
      <w:rPr>
        <w:b/>
        <w:bCs/>
        <w:color w:val="FFFFFF" w:themeColor="background1"/>
      </w:rPr>
      <w:tblPr/>
      <w:tcPr>
        <w:shd w:val="clear" w:color="auto" w:fill="636466" w:themeFill="accent3"/>
      </w:tcPr>
    </w:tblStylePr>
    <w:tblStylePr w:type="lastRow">
      <w:pPr>
        <w:spacing w:before="0" w:after="0" w:line="240" w:lineRule="auto"/>
      </w:pPr>
      <w:rPr>
        <w:b/>
        <w:bCs/>
      </w:rPr>
      <w:tblPr/>
      <w:tcPr>
        <w:tcBorders>
          <w:top w:val="double" w:sz="6" w:space="0" w:color="636466" w:themeColor="accent3"/>
          <w:left w:val="single" w:sz="8" w:space="0" w:color="636466" w:themeColor="accent3"/>
          <w:bottom w:val="single" w:sz="8" w:space="0" w:color="636466" w:themeColor="accent3"/>
          <w:right w:val="single" w:sz="8" w:space="0" w:color="636466" w:themeColor="accent3"/>
        </w:tcBorders>
      </w:tcPr>
    </w:tblStylePr>
    <w:tblStylePr w:type="firstCol">
      <w:rPr>
        <w:b/>
        <w:bCs/>
      </w:rPr>
    </w:tblStylePr>
    <w:tblStylePr w:type="lastCol">
      <w:rPr>
        <w:b/>
        <w:bCs/>
      </w:rPr>
    </w:tblStylePr>
    <w:tblStylePr w:type="band1Vert">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tcPr>
    </w:tblStylePr>
    <w:tblStylePr w:type="band1Horz">
      <w:tblPr/>
      <w:tcPr>
        <w:tcBorders>
          <w:top w:val="single" w:sz="8" w:space="0" w:color="636466" w:themeColor="accent3"/>
          <w:left w:val="single" w:sz="8" w:space="0" w:color="636466" w:themeColor="accent3"/>
          <w:bottom w:val="single" w:sz="8" w:space="0" w:color="636466" w:themeColor="accent3"/>
          <w:right w:val="single" w:sz="8" w:space="0" w:color="636466" w:themeColor="accent3"/>
        </w:tcBorders>
      </w:tcPr>
    </w:tblStylePr>
  </w:style>
  <w:style w:type="table" w:styleId="-44">
    <w:name w:val="Light List Accent 4"/>
    <w:basedOn w:val="a4"/>
    <w:uiPriority w:val="61"/>
    <w:semiHidden/>
    <w:unhideWhenUsed/>
    <w:rsid w:val="00F527CC"/>
    <w:pPr>
      <w:spacing w:after="0" w:line="240" w:lineRule="auto"/>
    </w:p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tblBorders>
    </w:tblPr>
    <w:tblStylePr w:type="firstRow">
      <w:pPr>
        <w:spacing w:before="0" w:after="0" w:line="240" w:lineRule="auto"/>
      </w:pPr>
      <w:rPr>
        <w:b/>
        <w:bCs/>
        <w:color w:val="FFFFFF" w:themeColor="background1"/>
      </w:rPr>
      <w:tblPr/>
      <w:tcPr>
        <w:shd w:val="clear" w:color="auto" w:fill="CD202C" w:themeFill="accent4"/>
      </w:tcPr>
    </w:tblStylePr>
    <w:tblStylePr w:type="lastRow">
      <w:pPr>
        <w:spacing w:before="0" w:after="0" w:line="240" w:lineRule="auto"/>
      </w:pPr>
      <w:rPr>
        <w:b/>
        <w:bCs/>
      </w:rPr>
      <w:tblPr/>
      <w:tcPr>
        <w:tcBorders>
          <w:top w:val="double" w:sz="6" w:space="0" w:color="CD202C" w:themeColor="accent4"/>
          <w:left w:val="single" w:sz="8" w:space="0" w:color="CD202C" w:themeColor="accent4"/>
          <w:bottom w:val="single" w:sz="8" w:space="0" w:color="CD202C" w:themeColor="accent4"/>
          <w:right w:val="single" w:sz="8" w:space="0" w:color="CD202C" w:themeColor="accent4"/>
        </w:tcBorders>
      </w:tcPr>
    </w:tblStylePr>
    <w:tblStylePr w:type="firstCol">
      <w:rPr>
        <w:b/>
        <w:bCs/>
      </w:rPr>
    </w:tblStylePr>
    <w:tblStylePr w:type="lastCol">
      <w:rPr>
        <w:b/>
        <w:bCs/>
      </w:rPr>
    </w:tblStylePr>
    <w:tblStylePr w:type="band1Vert">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tcPr>
    </w:tblStylePr>
    <w:tblStylePr w:type="band1Horz">
      <w:tblPr/>
      <w:tcPr>
        <w:tcBorders>
          <w:top w:val="single" w:sz="8" w:space="0" w:color="CD202C" w:themeColor="accent4"/>
          <w:left w:val="single" w:sz="8" w:space="0" w:color="CD202C" w:themeColor="accent4"/>
          <w:bottom w:val="single" w:sz="8" w:space="0" w:color="CD202C" w:themeColor="accent4"/>
          <w:right w:val="single" w:sz="8" w:space="0" w:color="CD202C" w:themeColor="accent4"/>
        </w:tcBorders>
      </w:tcPr>
    </w:tblStylePr>
  </w:style>
  <w:style w:type="table" w:styleId="-54">
    <w:name w:val="Light List Accent 5"/>
    <w:basedOn w:val="a4"/>
    <w:uiPriority w:val="61"/>
    <w:semiHidden/>
    <w:unhideWhenUsed/>
    <w:rsid w:val="00F527CC"/>
    <w:pPr>
      <w:spacing w:after="0" w:line="240" w:lineRule="auto"/>
    </w:p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tblBorders>
    </w:tblPr>
    <w:tblStylePr w:type="firstRow">
      <w:pPr>
        <w:spacing w:before="0" w:after="0" w:line="240" w:lineRule="auto"/>
      </w:pPr>
      <w:rPr>
        <w:b/>
        <w:bCs/>
        <w:color w:val="FFFFFF" w:themeColor="background1"/>
      </w:rPr>
      <w:tblPr/>
      <w:tcPr>
        <w:shd w:val="clear" w:color="auto" w:fill="0055AA" w:themeFill="accent5"/>
      </w:tcPr>
    </w:tblStylePr>
    <w:tblStylePr w:type="lastRow">
      <w:pPr>
        <w:spacing w:before="0" w:after="0" w:line="240" w:lineRule="auto"/>
      </w:pPr>
      <w:rPr>
        <w:b/>
        <w:bCs/>
      </w:rPr>
      <w:tblPr/>
      <w:tcPr>
        <w:tcBorders>
          <w:top w:val="double" w:sz="6" w:space="0" w:color="0055AA" w:themeColor="accent5"/>
          <w:left w:val="single" w:sz="8" w:space="0" w:color="0055AA" w:themeColor="accent5"/>
          <w:bottom w:val="single" w:sz="8" w:space="0" w:color="0055AA" w:themeColor="accent5"/>
          <w:right w:val="single" w:sz="8" w:space="0" w:color="0055AA" w:themeColor="accent5"/>
        </w:tcBorders>
      </w:tcPr>
    </w:tblStylePr>
    <w:tblStylePr w:type="firstCol">
      <w:rPr>
        <w:b/>
        <w:bCs/>
      </w:rPr>
    </w:tblStylePr>
    <w:tblStylePr w:type="lastCol">
      <w:rPr>
        <w:b/>
        <w:bCs/>
      </w:rPr>
    </w:tblStylePr>
    <w:tblStylePr w:type="band1Vert">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tcPr>
    </w:tblStylePr>
    <w:tblStylePr w:type="band1Horz">
      <w:tblPr/>
      <w:tcPr>
        <w:tcBorders>
          <w:top w:val="single" w:sz="8" w:space="0" w:color="0055AA" w:themeColor="accent5"/>
          <w:left w:val="single" w:sz="8" w:space="0" w:color="0055AA" w:themeColor="accent5"/>
          <w:bottom w:val="single" w:sz="8" w:space="0" w:color="0055AA" w:themeColor="accent5"/>
          <w:right w:val="single" w:sz="8" w:space="0" w:color="0055AA" w:themeColor="accent5"/>
        </w:tcBorders>
      </w:tcPr>
    </w:tblStylePr>
  </w:style>
  <w:style w:type="table" w:styleId="-64">
    <w:name w:val="Light List Accent 6"/>
    <w:basedOn w:val="a4"/>
    <w:uiPriority w:val="61"/>
    <w:semiHidden/>
    <w:unhideWhenUsed/>
    <w:rsid w:val="00F527CC"/>
    <w:pPr>
      <w:spacing w:after="0" w:line="240" w:lineRule="auto"/>
    </w:p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tblBorders>
    </w:tblPr>
    <w:tblStylePr w:type="firstRow">
      <w:pPr>
        <w:spacing w:before="0" w:after="0" w:line="240" w:lineRule="auto"/>
      </w:pPr>
      <w:rPr>
        <w:b/>
        <w:bCs/>
        <w:color w:val="FFFFFF" w:themeColor="background1"/>
      </w:rPr>
      <w:tblPr/>
      <w:tcPr>
        <w:shd w:val="clear" w:color="auto" w:fill="FFAA22" w:themeFill="accent6"/>
      </w:tcPr>
    </w:tblStylePr>
    <w:tblStylePr w:type="lastRow">
      <w:pPr>
        <w:spacing w:before="0" w:after="0" w:line="240" w:lineRule="auto"/>
      </w:pPr>
      <w:rPr>
        <w:b/>
        <w:bCs/>
      </w:rPr>
      <w:tblPr/>
      <w:tcPr>
        <w:tcBorders>
          <w:top w:val="double" w:sz="6" w:space="0" w:color="FFAA22" w:themeColor="accent6"/>
          <w:left w:val="single" w:sz="8" w:space="0" w:color="FFAA22" w:themeColor="accent6"/>
          <w:bottom w:val="single" w:sz="8" w:space="0" w:color="FFAA22" w:themeColor="accent6"/>
          <w:right w:val="single" w:sz="8" w:space="0" w:color="FFAA22" w:themeColor="accent6"/>
        </w:tcBorders>
      </w:tcPr>
    </w:tblStylePr>
    <w:tblStylePr w:type="firstCol">
      <w:rPr>
        <w:b/>
        <w:bCs/>
      </w:rPr>
    </w:tblStylePr>
    <w:tblStylePr w:type="lastCol">
      <w:rPr>
        <w:b/>
        <w:bCs/>
      </w:rPr>
    </w:tblStylePr>
    <w:tblStylePr w:type="band1Vert">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tcPr>
    </w:tblStylePr>
    <w:tblStylePr w:type="band1Horz">
      <w:tblPr/>
      <w:tcPr>
        <w:tcBorders>
          <w:top w:val="single" w:sz="8" w:space="0" w:color="FFAA22" w:themeColor="accent6"/>
          <w:left w:val="single" w:sz="8" w:space="0" w:color="FFAA22" w:themeColor="accent6"/>
          <w:bottom w:val="single" w:sz="8" w:space="0" w:color="FFAA22" w:themeColor="accent6"/>
          <w:right w:val="single" w:sz="8" w:space="0" w:color="FFAA22" w:themeColor="accent6"/>
        </w:tcBorders>
      </w:tcPr>
    </w:tblStylePr>
  </w:style>
  <w:style w:type="table" w:styleId="affff">
    <w:name w:val="Light Shading"/>
    <w:basedOn w:val="a4"/>
    <w:uiPriority w:val="60"/>
    <w:unhideWhenUsed/>
    <w:rsid w:val="00F527CC"/>
    <w:pPr>
      <w:spacing w:after="0" w:line="240" w:lineRule="auto"/>
    </w:pPr>
    <w:rPr>
      <w:color w:val="2F2F2F" w:themeColor="text1" w:themeShade="BF"/>
    </w:rPr>
    <w:tblPr>
      <w:tblStyleRowBandSize w:val="1"/>
      <w:tblStyleColBandSize w:val="1"/>
      <w:tblBorders>
        <w:top w:val="single" w:sz="8" w:space="0" w:color="404040" w:themeColor="text1"/>
        <w:bottom w:val="single" w:sz="8" w:space="0" w:color="404040" w:themeColor="text1"/>
      </w:tblBorders>
    </w:tblPr>
    <w:tblStylePr w:type="firstRow">
      <w:pPr>
        <w:spacing w:before="0" w:after="0" w:line="240" w:lineRule="auto"/>
      </w:pPr>
      <w:rPr>
        <w:b/>
        <w:bCs/>
      </w:rPr>
      <w:tblPr/>
      <w:tcPr>
        <w:tcBorders>
          <w:top w:val="single" w:sz="8" w:space="0" w:color="404040" w:themeColor="text1"/>
          <w:left w:val="nil"/>
          <w:bottom w:val="single" w:sz="8" w:space="0" w:color="404040" w:themeColor="text1"/>
          <w:right w:val="nil"/>
          <w:insideH w:val="nil"/>
          <w:insideV w:val="nil"/>
        </w:tcBorders>
      </w:tcPr>
    </w:tblStylePr>
    <w:tblStylePr w:type="lastRow">
      <w:pPr>
        <w:spacing w:before="0" w:after="0" w:line="240" w:lineRule="auto"/>
      </w:pPr>
      <w:rPr>
        <w:b/>
        <w:bCs/>
      </w:rPr>
      <w:tblPr/>
      <w:tcPr>
        <w:tcBorders>
          <w:top w:val="single" w:sz="8" w:space="0" w:color="404040" w:themeColor="text1"/>
          <w:left w:val="nil"/>
          <w:bottom w:val="single" w:sz="8" w:space="0" w:color="4040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F" w:themeFill="text1" w:themeFillTint="3F"/>
      </w:tcPr>
    </w:tblStylePr>
    <w:tblStylePr w:type="band1Horz">
      <w:tblPr/>
      <w:tcPr>
        <w:tcBorders>
          <w:left w:val="nil"/>
          <w:right w:val="nil"/>
          <w:insideH w:val="nil"/>
          <w:insideV w:val="nil"/>
        </w:tcBorders>
        <w:shd w:val="clear" w:color="auto" w:fill="CFCFCF" w:themeFill="text1" w:themeFillTint="3F"/>
      </w:tcPr>
    </w:tblStylePr>
  </w:style>
  <w:style w:type="table" w:styleId="-15">
    <w:name w:val="Light Shading Accent 1"/>
    <w:basedOn w:val="a4"/>
    <w:uiPriority w:val="60"/>
    <w:unhideWhenUsed/>
    <w:rsid w:val="00F527CC"/>
    <w:pPr>
      <w:spacing w:after="0" w:line="240" w:lineRule="auto"/>
    </w:pPr>
    <w:rPr>
      <w:color w:val="939599" w:themeColor="accent1" w:themeShade="BF"/>
    </w:rPr>
    <w:tblPr>
      <w:tblStyleRowBandSize w:val="1"/>
      <w:tblStyleColBandSize w:val="1"/>
      <w:tblBorders>
        <w:top w:val="single" w:sz="8" w:space="0" w:color="C7C8CA" w:themeColor="accent1"/>
        <w:bottom w:val="single" w:sz="8" w:space="0" w:color="C7C8CA" w:themeColor="accent1"/>
      </w:tblBorders>
    </w:tblPr>
    <w:tblStylePr w:type="firstRow">
      <w:pPr>
        <w:spacing w:before="0" w:after="0" w:line="240" w:lineRule="auto"/>
      </w:pPr>
      <w:rPr>
        <w:b/>
        <w:bCs/>
      </w:rPr>
      <w:tblPr/>
      <w:tcPr>
        <w:tcBorders>
          <w:top w:val="single" w:sz="8" w:space="0" w:color="C7C8CA" w:themeColor="accent1"/>
          <w:left w:val="nil"/>
          <w:bottom w:val="single" w:sz="8" w:space="0" w:color="C7C8CA" w:themeColor="accent1"/>
          <w:right w:val="nil"/>
          <w:insideH w:val="nil"/>
          <w:insideV w:val="nil"/>
        </w:tcBorders>
      </w:tcPr>
    </w:tblStylePr>
    <w:tblStylePr w:type="lastRow">
      <w:pPr>
        <w:spacing w:before="0" w:after="0" w:line="240" w:lineRule="auto"/>
      </w:pPr>
      <w:rPr>
        <w:b/>
        <w:bCs/>
      </w:rPr>
      <w:tblPr/>
      <w:tcPr>
        <w:tcBorders>
          <w:top w:val="single" w:sz="8" w:space="0" w:color="C7C8CA" w:themeColor="accent1"/>
          <w:left w:val="nil"/>
          <w:bottom w:val="single" w:sz="8" w:space="0" w:color="C7C8C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2" w:themeFill="accent1" w:themeFillTint="3F"/>
      </w:tcPr>
    </w:tblStylePr>
    <w:tblStylePr w:type="band1Horz">
      <w:tblPr/>
      <w:tcPr>
        <w:tcBorders>
          <w:left w:val="nil"/>
          <w:right w:val="nil"/>
          <w:insideH w:val="nil"/>
          <w:insideV w:val="nil"/>
        </w:tcBorders>
        <w:shd w:val="clear" w:color="auto" w:fill="F1F1F2" w:themeFill="accent1" w:themeFillTint="3F"/>
      </w:tcPr>
    </w:tblStylePr>
  </w:style>
  <w:style w:type="table" w:styleId="-25">
    <w:name w:val="Light Shading Accent 2"/>
    <w:basedOn w:val="a4"/>
    <w:uiPriority w:val="60"/>
    <w:semiHidden/>
    <w:unhideWhenUsed/>
    <w:rsid w:val="00F527CC"/>
    <w:pPr>
      <w:spacing w:after="0" w:line="240" w:lineRule="auto"/>
    </w:pPr>
    <w:rPr>
      <w:color w:val="6D6F72" w:themeColor="accent2" w:themeShade="BF"/>
    </w:rPr>
    <w:tblPr>
      <w:tblStyleRowBandSize w:val="1"/>
      <w:tblStyleColBandSize w:val="1"/>
      <w:tblBorders>
        <w:top w:val="single" w:sz="8" w:space="0" w:color="939598" w:themeColor="accent2"/>
        <w:bottom w:val="single" w:sz="8" w:space="0" w:color="939598" w:themeColor="accent2"/>
      </w:tblBorders>
    </w:tblPr>
    <w:tblStylePr w:type="firstRow">
      <w:pPr>
        <w:spacing w:before="0" w:after="0" w:line="240" w:lineRule="auto"/>
      </w:pPr>
      <w:rPr>
        <w:b/>
        <w:bCs/>
      </w:rPr>
      <w:tblPr/>
      <w:tcPr>
        <w:tcBorders>
          <w:top w:val="single" w:sz="8" w:space="0" w:color="939598" w:themeColor="accent2"/>
          <w:left w:val="nil"/>
          <w:bottom w:val="single" w:sz="8" w:space="0" w:color="939598" w:themeColor="accent2"/>
          <w:right w:val="nil"/>
          <w:insideH w:val="nil"/>
          <w:insideV w:val="nil"/>
        </w:tcBorders>
      </w:tcPr>
    </w:tblStylePr>
    <w:tblStylePr w:type="lastRow">
      <w:pPr>
        <w:spacing w:before="0" w:after="0" w:line="240" w:lineRule="auto"/>
      </w:pPr>
      <w:rPr>
        <w:b/>
        <w:bCs/>
      </w:rPr>
      <w:tblPr/>
      <w:tcPr>
        <w:tcBorders>
          <w:top w:val="single" w:sz="8" w:space="0" w:color="939598" w:themeColor="accent2"/>
          <w:left w:val="nil"/>
          <w:bottom w:val="single" w:sz="8" w:space="0" w:color="93959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4E5" w:themeFill="accent2" w:themeFillTint="3F"/>
      </w:tcPr>
    </w:tblStylePr>
    <w:tblStylePr w:type="band1Horz">
      <w:tblPr/>
      <w:tcPr>
        <w:tcBorders>
          <w:left w:val="nil"/>
          <w:right w:val="nil"/>
          <w:insideH w:val="nil"/>
          <w:insideV w:val="nil"/>
        </w:tcBorders>
        <w:shd w:val="clear" w:color="auto" w:fill="E4E4E5" w:themeFill="accent2" w:themeFillTint="3F"/>
      </w:tcPr>
    </w:tblStylePr>
  </w:style>
  <w:style w:type="table" w:styleId="-35">
    <w:name w:val="Light Shading Accent 3"/>
    <w:basedOn w:val="a4"/>
    <w:uiPriority w:val="60"/>
    <w:semiHidden/>
    <w:unhideWhenUsed/>
    <w:rsid w:val="00F527CC"/>
    <w:pPr>
      <w:spacing w:after="0" w:line="240" w:lineRule="auto"/>
    </w:pPr>
    <w:rPr>
      <w:color w:val="4A4A4C" w:themeColor="accent3" w:themeShade="BF"/>
    </w:rPr>
    <w:tblPr>
      <w:tblStyleRowBandSize w:val="1"/>
      <w:tblStyleColBandSize w:val="1"/>
      <w:tblBorders>
        <w:top w:val="single" w:sz="8" w:space="0" w:color="636466" w:themeColor="accent3"/>
        <w:bottom w:val="single" w:sz="8" w:space="0" w:color="636466" w:themeColor="accent3"/>
      </w:tblBorders>
    </w:tblPr>
    <w:tblStylePr w:type="firstRow">
      <w:pPr>
        <w:spacing w:before="0" w:after="0" w:line="240" w:lineRule="auto"/>
      </w:pPr>
      <w:rPr>
        <w:b/>
        <w:bCs/>
      </w:rPr>
      <w:tblPr/>
      <w:tcPr>
        <w:tcBorders>
          <w:top w:val="single" w:sz="8" w:space="0" w:color="636466" w:themeColor="accent3"/>
          <w:left w:val="nil"/>
          <w:bottom w:val="single" w:sz="8" w:space="0" w:color="636466" w:themeColor="accent3"/>
          <w:right w:val="nil"/>
          <w:insideH w:val="nil"/>
          <w:insideV w:val="nil"/>
        </w:tcBorders>
      </w:tcPr>
    </w:tblStylePr>
    <w:tblStylePr w:type="lastRow">
      <w:pPr>
        <w:spacing w:before="0" w:after="0" w:line="240" w:lineRule="auto"/>
      </w:pPr>
      <w:rPr>
        <w:b/>
        <w:bCs/>
      </w:rPr>
      <w:tblPr/>
      <w:tcPr>
        <w:tcBorders>
          <w:top w:val="single" w:sz="8" w:space="0" w:color="636466" w:themeColor="accent3"/>
          <w:left w:val="nil"/>
          <w:bottom w:val="single" w:sz="8" w:space="0" w:color="63646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8D9" w:themeFill="accent3" w:themeFillTint="3F"/>
      </w:tcPr>
    </w:tblStylePr>
    <w:tblStylePr w:type="band1Horz">
      <w:tblPr/>
      <w:tcPr>
        <w:tcBorders>
          <w:left w:val="nil"/>
          <w:right w:val="nil"/>
          <w:insideH w:val="nil"/>
          <w:insideV w:val="nil"/>
        </w:tcBorders>
        <w:shd w:val="clear" w:color="auto" w:fill="D8D8D9" w:themeFill="accent3" w:themeFillTint="3F"/>
      </w:tcPr>
    </w:tblStylePr>
  </w:style>
  <w:style w:type="table" w:styleId="-45">
    <w:name w:val="Light Shading Accent 4"/>
    <w:basedOn w:val="a4"/>
    <w:uiPriority w:val="60"/>
    <w:unhideWhenUsed/>
    <w:rsid w:val="00F527CC"/>
    <w:pPr>
      <w:spacing w:after="0" w:line="240" w:lineRule="auto"/>
    </w:pPr>
    <w:rPr>
      <w:color w:val="991820" w:themeColor="accent4" w:themeShade="BF"/>
    </w:rPr>
    <w:tblPr>
      <w:tblStyleRowBandSize w:val="1"/>
      <w:tblStyleColBandSize w:val="1"/>
      <w:tblBorders>
        <w:top w:val="single" w:sz="8" w:space="0" w:color="CD202C" w:themeColor="accent4"/>
        <w:bottom w:val="single" w:sz="8" w:space="0" w:color="CD202C" w:themeColor="accent4"/>
      </w:tblBorders>
    </w:tblPr>
    <w:tblStylePr w:type="firstRow">
      <w:pPr>
        <w:spacing w:before="0" w:after="0" w:line="240" w:lineRule="auto"/>
      </w:pPr>
      <w:rPr>
        <w:b/>
        <w:bCs/>
      </w:rPr>
      <w:tblPr/>
      <w:tcPr>
        <w:tcBorders>
          <w:top w:val="single" w:sz="8" w:space="0" w:color="CD202C" w:themeColor="accent4"/>
          <w:left w:val="nil"/>
          <w:bottom w:val="single" w:sz="8" w:space="0" w:color="CD202C" w:themeColor="accent4"/>
          <w:right w:val="nil"/>
          <w:insideH w:val="nil"/>
          <w:insideV w:val="nil"/>
        </w:tcBorders>
      </w:tcPr>
    </w:tblStylePr>
    <w:tblStylePr w:type="lastRow">
      <w:pPr>
        <w:spacing w:before="0" w:after="0" w:line="240" w:lineRule="auto"/>
      </w:pPr>
      <w:rPr>
        <w:b/>
        <w:bCs/>
      </w:rPr>
      <w:tblPr/>
      <w:tcPr>
        <w:tcBorders>
          <w:top w:val="single" w:sz="8" w:space="0" w:color="CD202C" w:themeColor="accent4"/>
          <w:left w:val="nil"/>
          <w:bottom w:val="single" w:sz="8" w:space="0" w:color="CD202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4C7" w:themeFill="accent4" w:themeFillTint="3F"/>
      </w:tcPr>
    </w:tblStylePr>
    <w:tblStylePr w:type="band1Horz">
      <w:tblPr/>
      <w:tcPr>
        <w:tcBorders>
          <w:left w:val="nil"/>
          <w:right w:val="nil"/>
          <w:insideH w:val="nil"/>
          <w:insideV w:val="nil"/>
        </w:tcBorders>
        <w:shd w:val="clear" w:color="auto" w:fill="F6C4C7" w:themeFill="accent4" w:themeFillTint="3F"/>
      </w:tcPr>
    </w:tblStylePr>
  </w:style>
  <w:style w:type="table" w:styleId="-55">
    <w:name w:val="Light Shading Accent 5"/>
    <w:basedOn w:val="a4"/>
    <w:uiPriority w:val="60"/>
    <w:semiHidden/>
    <w:unhideWhenUsed/>
    <w:rsid w:val="00F527CC"/>
    <w:pPr>
      <w:spacing w:after="0" w:line="240" w:lineRule="auto"/>
    </w:pPr>
    <w:rPr>
      <w:color w:val="003F7F" w:themeColor="accent5" w:themeShade="BF"/>
    </w:rPr>
    <w:tblPr>
      <w:tblStyleRowBandSize w:val="1"/>
      <w:tblStyleColBandSize w:val="1"/>
      <w:tblBorders>
        <w:top w:val="single" w:sz="8" w:space="0" w:color="0055AA" w:themeColor="accent5"/>
        <w:bottom w:val="single" w:sz="8" w:space="0" w:color="0055AA" w:themeColor="accent5"/>
      </w:tblBorders>
    </w:tblPr>
    <w:tblStylePr w:type="firstRow">
      <w:pPr>
        <w:spacing w:before="0" w:after="0" w:line="240" w:lineRule="auto"/>
      </w:pPr>
      <w:rPr>
        <w:b/>
        <w:bCs/>
      </w:rPr>
      <w:tblPr/>
      <w:tcPr>
        <w:tcBorders>
          <w:top w:val="single" w:sz="8" w:space="0" w:color="0055AA" w:themeColor="accent5"/>
          <w:left w:val="nil"/>
          <w:bottom w:val="single" w:sz="8" w:space="0" w:color="0055AA" w:themeColor="accent5"/>
          <w:right w:val="nil"/>
          <w:insideH w:val="nil"/>
          <w:insideV w:val="nil"/>
        </w:tcBorders>
      </w:tcPr>
    </w:tblStylePr>
    <w:tblStylePr w:type="lastRow">
      <w:pPr>
        <w:spacing w:before="0" w:after="0" w:line="240" w:lineRule="auto"/>
      </w:pPr>
      <w:rPr>
        <w:b/>
        <w:bCs/>
      </w:rPr>
      <w:tblPr/>
      <w:tcPr>
        <w:tcBorders>
          <w:top w:val="single" w:sz="8" w:space="0" w:color="0055AA" w:themeColor="accent5"/>
          <w:left w:val="nil"/>
          <w:bottom w:val="single" w:sz="8" w:space="0" w:color="0055A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D4FF" w:themeFill="accent5" w:themeFillTint="3F"/>
      </w:tcPr>
    </w:tblStylePr>
    <w:tblStylePr w:type="band1Horz">
      <w:tblPr/>
      <w:tcPr>
        <w:tcBorders>
          <w:left w:val="nil"/>
          <w:right w:val="nil"/>
          <w:insideH w:val="nil"/>
          <w:insideV w:val="nil"/>
        </w:tcBorders>
        <w:shd w:val="clear" w:color="auto" w:fill="ABD4FF" w:themeFill="accent5" w:themeFillTint="3F"/>
      </w:tcPr>
    </w:tblStylePr>
  </w:style>
  <w:style w:type="table" w:styleId="-65">
    <w:name w:val="Light Shading Accent 6"/>
    <w:basedOn w:val="a4"/>
    <w:uiPriority w:val="60"/>
    <w:semiHidden/>
    <w:unhideWhenUsed/>
    <w:rsid w:val="00F527CC"/>
    <w:pPr>
      <w:spacing w:after="0" w:line="240" w:lineRule="auto"/>
    </w:pPr>
    <w:rPr>
      <w:color w:val="D88400" w:themeColor="accent6" w:themeShade="BF"/>
    </w:rPr>
    <w:tblPr>
      <w:tblStyleRowBandSize w:val="1"/>
      <w:tblStyleColBandSize w:val="1"/>
      <w:tblBorders>
        <w:top w:val="single" w:sz="8" w:space="0" w:color="FFAA22" w:themeColor="accent6"/>
        <w:bottom w:val="single" w:sz="8" w:space="0" w:color="FFAA22" w:themeColor="accent6"/>
      </w:tblBorders>
    </w:tblPr>
    <w:tblStylePr w:type="firstRow">
      <w:pPr>
        <w:spacing w:before="0" w:after="0" w:line="240" w:lineRule="auto"/>
      </w:pPr>
      <w:rPr>
        <w:b/>
        <w:bCs/>
      </w:rPr>
      <w:tblPr/>
      <w:tcPr>
        <w:tcBorders>
          <w:top w:val="single" w:sz="8" w:space="0" w:color="FFAA22" w:themeColor="accent6"/>
          <w:left w:val="nil"/>
          <w:bottom w:val="single" w:sz="8" w:space="0" w:color="FFAA22" w:themeColor="accent6"/>
          <w:right w:val="nil"/>
          <w:insideH w:val="nil"/>
          <w:insideV w:val="nil"/>
        </w:tcBorders>
      </w:tcPr>
    </w:tblStylePr>
    <w:tblStylePr w:type="lastRow">
      <w:pPr>
        <w:spacing w:before="0" w:after="0" w:line="240" w:lineRule="auto"/>
      </w:pPr>
      <w:rPr>
        <w:b/>
        <w:bCs/>
      </w:rPr>
      <w:tblPr/>
      <w:tcPr>
        <w:tcBorders>
          <w:top w:val="single" w:sz="8" w:space="0" w:color="FFAA22" w:themeColor="accent6"/>
          <w:left w:val="nil"/>
          <w:bottom w:val="single" w:sz="8" w:space="0" w:color="FFAA2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9C8" w:themeFill="accent6" w:themeFillTint="3F"/>
      </w:tcPr>
    </w:tblStylePr>
    <w:tblStylePr w:type="band1Horz">
      <w:tblPr/>
      <w:tcPr>
        <w:tcBorders>
          <w:left w:val="nil"/>
          <w:right w:val="nil"/>
          <w:insideH w:val="nil"/>
          <w:insideV w:val="nil"/>
        </w:tcBorders>
        <w:shd w:val="clear" w:color="auto" w:fill="FFE9C8" w:themeFill="accent6" w:themeFillTint="3F"/>
      </w:tcPr>
    </w:tblStylePr>
  </w:style>
  <w:style w:type="character" w:styleId="affff0">
    <w:name w:val="line number"/>
    <w:basedOn w:val="a3"/>
    <w:uiPriority w:val="99"/>
    <w:semiHidden/>
    <w:unhideWhenUsed/>
    <w:rsid w:val="00F527CC"/>
    <w:rPr>
      <w:lang w:val="en-US"/>
    </w:rPr>
  </w:style>
  <w:style w:type="paragraph" w:styleId="affff1">
    <w:name w:val="List"/>
    <w:basedOn w:val="a2"/>
    <w:uiPriority w:val="99"/>
    <w:semiHidden/>
    <w:unhideWhenUsed/>
    <w:rsid w:val="00F527CC"/>
    <w:pPr>
      <w:ind w:left="283" w:hanging="283"/>
      <w:contextualSpacing/>
    </w:pPr>
  </w:style>
  <w:style w:type="paragraph" w:styleId="2e">
    <w:name w:val="List 2"/>
    <w:basedOn w:val="a2"/>
    <w:uiPriority w:val="99"/>
    <w:semiHidden/>
    <w:unhideWhenUsed/>
    <w:rsid w:val="00F527CC"/>
    <w:pPr>
      <w:ind w:left="566" w:hanging="283"/>
      <w:contextualSpacing/>
    </w:pPr>
  </w:style>
  <w:style w:type="paragraph" w:styleId="39">
    <w:name w:val="List 3"/>
    <w:basedOn w:val="a2"/>
    <w:uiPriority w:val="99"/>
    <w:semiHidden/>
    <w:unhideWhenUsed/>
    <w:rsid w:val="00F527CC"/>
    <w:pPr>
      <w:ind w:left="849" w:hanging="283"/>
      <w:contextualSpacing/>
    </w:pPr>
  </w:style>
  <w:style w:type="paragraph" w:styleId="45">
    <w:name w:val="List 4"/>
    <w:basedOn w:val="a2"/>
    <w:uiPriority w:val="99"/>
    <w:semiHidden/>
    <w:unhideWhenUsed/>
    <w:rsid w:val="00F527CC"/>
    <w:pPr>
      <w:ind w:left="1132" w:hanging="283"/>
      <w:contextualSpacing/>
    </w:pPr>
  </w:style>
  <w:style w:type="paragraph" w:styleId="53">
    <w:name w:val="List 5"/>
    <w:basedOn w:val="a2"/>
    <w:uiPriority w:val="99"/>
    <w:semiHidden/>
    <w:unhideWhenUsed/>
    <w:rsid w:val="00F527CC"/>
    <w:pPr>
      <w:ind w:left="1415" w:hanging="283"/>
      <w:contextualSpacing/>
    </w:pPr>
  </w:style>
  <w:style w:type="paragraph" w:styleId="a0">
    <w:name w:val="List Bullet"/>
    <w:basedOn w:val="a2"/>
    <w:uiPriority w:val="99"/>
    <w:semiHidden/>
    <w:unhideWhenUsed/>
    <w:rsid w:val="00F527CC"/>
    <w:pPr>
      <w:numPr>
        <w:numId w:val="1"/>
      </w:numPr>
      <w:contextualSpacing/>
    </w:pPr>
  </w:style>
  <w:style w:type="paragraph" w:styleId="20">
    <w:name w:val="List Bullet 2"/>
    <w:basedOn w:val="a2"/>
    <w:uiPriority w:val="99"/>
    <w:semiHidden/>
    <w:unhideWhenUsed/>
    <w:rsid w:val="00F527CC"/>
    <w:pPr>
      <w:numPr>
        <w:numId w:val="2"/>
      </w:numPr>
      <w:contextualSpacing/>
    </w:pPr>
  </w:style>
  <w:style w:type="paragraph" w:styleId="30">
    <w:name w:val="List Bullet 3"/>
    <w:basedOn w:val="a2"/>
    <w:uiPriority w:val="99"/>
    <w:semiHidden/>
    <w:unhideWhenUsed/>
    <w:rsid w:val="00F527CC"/>
    <w:pPr>
      <w:numPr>
        <w:numId w:val="3"/>
      </w:numPr>
      <w:contextualSpacing/>
    </w:pPr>
  </w:style>
  <w:style w:type="paragraph" w:styleId="40">
    <w:name w:val="List Bullet 4"/>
    <w:basedOn w:val="a2"/>
    <w:uiPriority w:val="99"/>
    <w:semiHidden/>
    <w:unhideWhenUsed/>
    <w:rsid w:val="00F527CC"/>
    <w:pPr>
      <w:numPr>
        <w:numId w:val="4"/>
      </w:numPr>
      <w:contextualSpacing/>
    </w:pPr>
  </w:style>
  <w:style w:type="paragraph" w:styleId="5">
    <w:name w:val="List Bullet 5"/>
    <w:basedOn w:val="a2"/>
    <w:uiPriority w:val="99"/>
    <w:semiHidden/>
    <w:unhideWhenUsed/>
    <w:rsid w:val="00F527CC"/>
    <w:pPr>
      <w:numPr>
        <w:numId w:val="5"/>
      </w:numPr>
      <w:contextualSpacing/>
    </w:pPr>
  </w:style>
  <w:style w:type="paragraph" w:styleId="affff2">
    <w:name w:val="List Continue"/>
    <w:basedOn w:val="a2"/>
    <w:uiPriority w:val="99"/>
    <w:semiHidden/>
    <w:unhideWhenUsed/>
    <w:rsid w:val="00F527CC"/>
    <w:pPr>
      <w:ind w:left="283"/>
      <w:contextualSpacing/>
    </w:pPr>
  </w:style>
  <w:style w:type="paragraph" w:styleId="2f">
    <w:name w:val="List Continue 2"/>
    <w:basedOn w:val="a2"/>
    <w:uiPriority w:val="99"/>
    <w:semiHidden/>
    <w:unhideWhenUsed/>
    <w:rsid w:val="00F527CC"/>
    <w:pPr>
      <w:ind w:left="566"/>
      <w:contextualSpacing/>
    </w:pPr>
  </w:style>
  <w:style w:type="paragraph" w:styleId="3a">
    <w:name w:val="List Continue 3"/>
    <w:basedOn w:val="a2"/>
    <w:uiPriority w:val="99"/>
    <w:semiHidden/>
    <w:unhideWhenUsed/>
    <w:rsid w:val="00F527CC"/>
    <w:pPr>
      <w:ind w:left="849"/>
      <w:contextualSpacing/>
    </w:pPr>
  </w:style>
  <w:style w:type="paragraph" w:styleId="46">
    <w:name w:val="List Continue 4"/>
    <w:basedOn w:val="a2"/>
    <w:uiPriority w:val="99"/>
    <w:semiHidden/>
    <w:unhideWhenUsed/>
    <w:rsid w:val="00F527CC"/>
    <w:pPr>
      <w:ind w:left="1132"/>
      <w:contextualSpacing/>
    </w:pPr>
  </w:style>
  <w:style w:type="paragraph" w:styleId="54">
    <w:name w:val="List Continue 5"/>
    <w:basedOn w:val="a2"/>
    <w:uiPriority w:val="99"/>
    <w:semiHidden/>
    <w:unhideWhenUsed/>
    <w:rsid w:val="00F527CC"/>
    <w:pPr>
      <w:ind w:left="1415"/>
      <w:contextualSpacing/>
    </w:pPr>
  </w:style>
  <w:style w:type="paragraph" w:styleId="a">
    <w:name w:val="List Number"/>
    <w:basedOn w:val="a2"/>
    <w:uiPriority w:val="99"/>
    <w:semiHidden/>
    <w:unhideWhenUsed/>
    <w:rsid w:val="00F527CC"/>
    <w:pPr>
      <w:numPr>
        <w:numId w:val="6"/>
      </w:numPr>
      <w:contextualSpacing/>
    </w:pPr>
  </w:style>
  <w:style w:type="paragraph" w:styleId="2">
    <w:name w:val="List Number 2"/>
    <w:basedOn w:val="a2"/>
    <w:uiPriority w:val="99"/>
    <w:semiHidden/>
    <w:unhideWhenUsed/>
    <w:rsid w:val="00F527CC"/>
    <w:pPr>
      <w:numPr>
        <w:numId w:val="7"/>
      </w:numPr>
      <w:contextualSpacing/>
    </w:pPr>
  </w:style>
  <w:style w:type="paragraph" w:styleId="3">
    <w:name w:val="List Number 3"/>
    <w:basedOn w:val="a2"/>
    <w:uiPriority w:val="99"/>
    <w:semiHidden/>
    <w:unhideWhenUsed/>
    <w:rsid w:val="00F527CC"/>
    <w:pPr>
      <w:numPr>
        <w:numId w:val="8"/>
      </w:numPr>
      <w:contextualSpacing/>
    </w:pPr>
  </w:style>
  <w:style w:type="paragraph" w:styleId="4">
    <w:name w:val="List Number 4"/>
    <w:basedOn w:val="a2"/>
    <w:uiPriority w:val="99"/>
    <w:semiHidden/>
    <w:unhideWhenUsed/>
    <w:rsid w:val="00F527CC"/>
    <w:pPr>
      <w:numPr>
        <w:numId w:val="9"/>
      </w:numPr>
      <w:contextualSpacing/>
    </w:pPr>
  </w:style>
  <w:style w:type="paragraph" w:styleId="55">
    <w:name w:val="List Number 5"/>
    <w:basedOn w:val="a2"/>
    <w:uiPriority w:val="99"/>
    <w:semiHidden/>
    <w:unhideWhenUsed/>
    <w:rsid w:val="00F527CC"/>
    <w:pPr>
      <w:contextualSpacing/>
    </w:pPr>
  </w:style>
  <w:style w:type="paragraph" w:styleId="affff3">
    <w:name w:val="List Paragraph"/>
    <w:aliases w:val="Paragraph,Header 2,Head1.1,References,Paragraphe de liste1,List Paragraph1,Liste couleur - Accent 11,Liste couleur - Accent 111,Paragraphe de liste3,List Paragraph2,Bullets,List Paragraph nowy,Numbered List Paragraph,titre_kely,Liste 1,lp"/>
    <w:basedOn w:val="a2"/>
    <w:link w:val="affff4"/>
    <w:uiPriority w:val="34"/>
    <w:qFormat/>
    <w:rsid w:val="00F527CC"/>
    <w:pPr>
      <w:ind w:left="720"/>
      <w:contextualSpacing/>
    </w:pPr>
  </w:style>
  <w:style w:type="table" w:customStyle="1" w:styleId="ListTable1Light1">
    <w:name w:val="List Table 1 Light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8C8C8C" w:themeColor="text1" w:themeTint="99"/>
        </w:tcBorders>
      </w:tcPr>
    </w:tblStylePr>
    <w:tblStylePr w:type="lastRow">
      <w:rPr>
        <w:b/>
        <w:bCs/>
      </w:rPr>
      <w:tblPr/>
      <w:tcPr>
        <w:tcBorders>
          <w:top w:val="single" w:sz="4" w:space="0" w:color="8C8C8C"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ListTable1Light-Accent11">
    <w:name w:val="List Table 1 Light - Accent 1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DDDDDF" w:themeColor="accent1" w:themeTint="99"/>
        </w:tcBorders>
      </w:tcPr>
    </w:tblStylePr>
    <w:tblStylePr w:type="lastRow">
      <w:rPr>
        <w:b/>
        <w:bCs/>
      </w:rPr>
      <w:tblPr/>
      <w:tcPr>
        <w:tcBorders>
          <w:top w:val="single" w:sz="4" w:space="0" w:color="DDDDDF" w:themeColor="accent1" w:themeTint="99"/>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ListTable1Light-Accent21">
    <w:name w:val="List Table 1 Light - Accent 2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BEBFC1" w:themeColor="accent2" w:themeTint="99"/>
        </w:tcBorders>
      </w:tcPr>
    </w:tblStylePr>
    <w:tblStylePr w:type="lastRow">
      <w:rPr>
        <w:b/>
        <w:bCs/>
      </w:rPr>
      <w:tblPr/>
      <w:tcPr>
        <w:tcBorders>
          <w:top w:val="single" w:sz="4" w:space="0" w:color="BEBFC1" w:themeColor="accent2" w:themeTint="99"/>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ListTable1Light-Accent31">
    <w:name w:val="List Table 1 Light - Accent 3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A0A1A3" w:themeColor="accent3" w:themeTint="99"/>
        </w:tcBorders>
      </w:tcPr>
    </w:tblStylePr>
    <w:tblStylePr w:type="lastRow">
      <w:rPr>
        <w:b/>
        <w:bCs/>
      </w:rPr>
      <w:tblPr/>
      <w:tcPr>
        <w:tcBorders>
          <w:top w:val="single" w:sz="4" w:space="0" w:color="A0A1A3" w:themeColor="accent3" w:themeTint="99"/>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ListTable1Light-Accent41">
    <w:name w:val="List Table 1 Light - Accent 4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E87179" w:themeColor="accent4" w:themeTint="99"/>
        </w:tcBorders>
      </w:tcPr>
    </w:tblStylePr>
    <w:tblStylePr w:type="lastRow">
      <w:rPr>
        <w:b/>
        <w:bCs/>
      </w:rPr>
      <w:tblPr/>
      <w:tcPr>
        <w:tcBorders>
          <w:top w:val="single" w:sz="4" w:space="0" w:color="E87179" w:themeColor="accent4" w:themeTint="99"/>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ListTable1Light-Accent51">
    <w:name w:val="List Table 1 Light - Accent 5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3398FF" w:themeColor="accent5" w:themeTint="99"/>
        </w:tcBorders>
      </w:tcPr>
    </w:tblStylePr>
    <w:tblStylePr w:type="lastRow">
      <w:rPr>
        <w:b/>
        <w:bCs/>
      </w:rPr>
      <w:tblPr/>
      <w:tcPr>
        <w:tcBorders>
          <w:top w:val="single" w:sz="4" w:space="0" w:color="3398FF" w:themeColor="accent5" w:themeTint="99"/>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ListTable1Light-Accent61">
    <w:name w:val="List Table 1 Light - Accent 61"/>
    <w:basedOn w:val="a4"/>
    <w:uiPriority w:val="46"/>
    <w:rsid w:val="00F527CC"/>
    <w:pPr>
      <w:spacing w:after="0" w:line="240" w:lineRule="auto"/>
    </w:pPr>
    <w:tblPr>
      <w:tblStyleRowBandSize w:val="1"/>
      <w:tblStyleColBandSize w:val="1"/>
    </w:tblPr>
    <w:tblStylePr w:type="firstRow">
      <w:rPr>
        <w:b/>
        <w:bCs/>
      </w:rPr>
      <w:tblPr/>
      <w:tcPr>
        <w:tcBorders>
          <w:bottom w:val="single" w:sz="4" w:space="0" w:color="FFCB7A" w:themeColor="accent6" w:themeTint="99"/>
        </w:tcBorders>
      </w:tcPr>
    </w:tblStylePr>
    <w:tblStylePr w:type="lastRow">
      <w:rPr>
        <w:b/>
        <w:bCs/>
      </w:rPr>
      <w:tblPr/>
      <w:tcPr>
        <w:tcBorders>
          <w:top w:val="single" w:sz="4" w:space="0" w:color="FFCB7A" w:themeColor="accent6" w:themeTint="99"/>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ListTable21">
    <w:name w:val="List Table 21"/>
    <w:basedOn w:val="a4"/>
    <w:uiPriority w:val="47"/>
    <w:rsid w:val="00F527CC"/>
    <w:pPr>
      <w:spacing w:after="0" w:line="240" w:lineRule="auto"/>
    </w:pPr>
    <w:tblPr>
      <w:tblStyleRowBandSize w:val="1"/>
      <w:tblStyleColBandSize w:val="1"/>
      <w:tblBorders>
        <w:top w:val="single" w:sz="4" w:space="0" w:color="8C8C8C" w:themeColor="text1" w:themeTint="99"/>
        <w:bottom w:val="single" w:sz="4" w:space="0" w:color="8C8C8C" w:themeColor="text1" w:themeTint="99"/>
        <w:insideH w:val="single" w:sz="4" w:space="0" w:color="8C8C8C"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ListTable2-Accent11">
    <w:name w:val="List Table 2 - Accent 11"/>
    <w:basedOn w:val="a4"/>
    <w:uiPriority w:val="47"/>
    <w:rsid w:val="00F527CC"/>
    <w:pPr>
      <w:spacing w:after="0" w:line="240" w:lineRule="auto"/>
    </w:pPr>
    <w:tblPr>
      <w:tblStyleRowBandSize w:val="1"/>
      <w:tblStyleColBandSize w:val="1"/>
      <w:tblBorders>
        <w:top w:val="single" w:sz="4" w:space="0" w:color="DDDDDF" w:themeColor="accent1" w:themeTint="99"/>
        <w:bottom w:val="single" w:sz="4" w:space="0" w:color="DDDDDF" w:themeColor="accent1" w:themeTint="99"/>
        <w:insideH w:val="single" w:sz="4" w:space="0" w:color="DDDDD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ListTable2-Accent21">
    <w:name w:val="List Table 2 - Accent 21"/>
    <w:basedOn w:val="a4"/>
    <w:uiPriority w:val="47"/>
    <w:rsid w:val="00F527CC"/>
    <w:pPr>
      <w:spacing w:after="0" w:line="240" w:lineRule="auto"/>
    </w:pPr>
    <w:tblPr>
      <w:tblStyleRowBandSize w:val="1"/>
      <w:tblStyleColBandSize w:val="1"/>
      <w:tblBorders>
        <w:top w:val="single" w:sz="4" w:space="0" w:color="BEBFC1" w:themeColor="accent2" w:themeTint="99"/>
        <w:bottom w:val="single" w:sz="4" w:space="0" w:color="BEBFC1" w:themeColor="accent2" w:themeTint="99"/>
        <w:insideH w:val="single" w:sz="4" w:space="0" w:color="BEBFC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ListTable2-Accent31">
    <w:name w:val="List Table 2 - Accent 31"/>
    <w:basedOn w:val="a4"/>
    <w:uiPriority w:val="47"/>
    <w:rsid w:val="00F527CC"/>
    <w:pPr>
      <w:spacing w:after="0" w:line="240" w:lineRule="auto"/>
    </w:pPr>
    <w:tblPr>
      <w:tblStyleRowBandSize w:val="1"/>
      <w:tblStyleColBandSize w:val="1"/>
      <w:tblBorders>
        <w:top w:val="single" w:sz="4" w:space="0" w:color="A0A1A3" w:themeColor="accent3" w:themeTint="99"/>
        <w:bottom w:val="single" w:sz="4" w:space="0" w:color="A0A1A3" w:themeColor="accent3" w:themeTint="99"/>
        <w:insideH w:val="single" w:sz="4" w:space="0" w:color="A0A1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ListTable2-Accent41">
    <w:name w:val="List Table 2 - Accent 41"/>
    <w:basedOn w:val="a4"/>
    <w:uiPriority w:val="47"/>
    <w:rsid w:val="00F527CC"/>
    <w:pPr>
      <w:spacing w:after="0" w:line="240" w:lineRule="auto"/>
    </w:pPr>
    <w:tblPr>
      <w:tblStyleRowBandSize w:val="1"/>
      <w:tblStyleColBandSize w:val="1"/>
      <w:tblBorders>
        <w:top w:val="single" w:sz="4" w:space="0" w:color="E87179" w:themeColor="accent4" w:themeTint="99"/>
        <w:bottom w:val="single" w:sz="4" w:space="0" w:color="E87179" w:themeColor="accent4" w:themeTint="99"/>
        <w:insideH w:val="single" w:sz="4" w:space="0" w:color="E8717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ListTable2-Accent51">
    <w:name w:val="List Table 2 - Accent 51"/>
    <w:basedOn w:val="a4"/>
    <w:uiPriority w:val="47"/>
    <w:rsid w:val="00F527CC"/>
    <w:pPr>
      <w:spacing w:after="0" w:line="240" w:lineRule="auto"/>
    </w:pPr>
    <w:tblPr>
      <w:tblStyleRowBandSize w:val="1"/>
      <w:tblStyleColBandSize w:val="1"/>
      <w:tblBorders>
        <w:top w:val="single" w:sz="4" w:space="0" w:color="3398FF" w:themeColor="accent5" w:themeTint="99"/>
        <w:bottom w:val="single" w:sz="4" w:space="0" w:color="3398FF" w:themeColor="accent5" w:themeTint="99"/>
        <w:insideH w:val="single" w:sz="4" w:space="0" w:color="339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ListTable2-Accent61">
    <w:name w:val="List Table 2 - Accent 61"/>
    <w:basedOn w:val="a4"/>
    <w:uiPriority w:val="47"/>
    <w:rsid w:val="00F527CC"/>
    <w:pPr>
      <w:spacing w:after="0" w:line="240" w:lineRule="auto"/>
    </w:pPr>
    <w:tblPr>
      <w:tblStyleRowBandSize w:val="1"/>
      <w:tblStyleColBandSize w:val="1"/>
      <w:tblBorders>
        <w:top w:val="single" w:sz="4" w:space="0" w:color="FFCB7A" w:themeColor="accent6" w:themeTint="99"/>
        <w:bottom w:val="single" w:sz="4" w:space="0" w:color="FFCB7A" w:themeColor="accent6" w:themeTint="99"/>
        <w:insideH w:val="single" w:sz="4" w:space="0" w:color="FFCB7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ListTable31">
    <w:name w:val="List Table 31"/>
    <w:basedOn w:val="a4"/>
    <w:uiPriority w:val="48"/>
    <w:rsid w:val="00F527CC"/>
    <w:pPr>
      <w:spacing w:after="0" w:line="240" w:lineRule="auto"/>
    </w:pPr>
    <w:tblPr>
      <w:tblStyleRowBandSize w:val="1"/>
      <w:tblStyleColBandSize w:val="1"/>
      <w:tblBorders>
        <w:top w:val="single" w:sz="4" w:space="0" w:color="404040" w:themeColor="text1"/>
        <w:left w:val="single" w:sz="4" w:space="0" w:color="404040" w:themeColor="text1"/>
        <w:bottom w:val="single" w:sz="4" w:space="0" w:color="404040" w:themeColor="text1"/>
        <w:right w:val="single" w:sz="4" w:space="0" w:color="404040" w:themeColor="text1"/>
      </w:tblBorders>
    </w:tblPr>
    <w:tblStylePr w:type="firstRow">
      <w:rPr>
        <w:b/>
        <w:bCs/>
        <w:color w:val="FFFFFF" w:themeColor="background1"/>
      </w:rPr>
      <w:tblPr/>
      <w:tcPr>
        <w:shd w:val="clear" w:color="auto" w:fill="404040" w:themeFill="text1"/>
      </w:tcPr>
    </w:tblStylePr>
    <w:tblStylePr w:type="lastRow">
      <w:rPr>
        <w:b/>
        <w:bCs/>
      </w:rPr>
      <w:tblPr/>
      <w:tcPr>
        <w:tcBorders>
          <w:top w:val="double" w:sz="4" w:space="0" w:color="40404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40" w:themeColor="text1"/>
          <w:right w:val="single" w:sz="4" w:space="0" w:color="404040" w:themeColor="text1"/>
        </w:tcBorders>
      </w:tcPr>
    </w:tblStylePr>
    <w:tblStylePr w:type="band1Horz">
      <w:tblPr/>
      <w:tcPr>
        <w:tcBorders>
          <w:top w:val="single" w:sz="4" w:space="0" w:color="404040" w:themeColor="text1"/>
          <w:bottom w:val="single" w:sz="4" w:space="0" w:color="40404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40" w:themeColor="text1"/>
          <w:left w:val="nil"/>
        </w:tcBorders>
      </w:tcPr>
    </w:tblStylePr>
    <w:tblStylePr w:type="swCell">
      <w:tblPr/>
      <w:tcPr>
        <w:tcBorders>
          <w:top w:val="double" w:sz="4" w:space="0" w:color="404040" w:themeColor="text1"/>
          <w:right w:val="nil"/>
        </w:tcBorders>
      </w:tcPr>
    </w:tblStylePr>
  </w:style>
  <w:style w:type="table" w:customStyle="1" w:styleId="ListTable3-Accent11">
    <w:name w:val="List Table 3 - Accent 11"/>
    <w:basedOn w:val="a4"/>
    <w:uiPriority w:val="48"/>
    <w:rsid w:val="00F527CC"/>
    <w:pPr>
      <w:spacing w:after="0" w:line="240" w:lineRule="auto"/>
    </w:pPr>
    <w:tblPr>
      <w:tblStyleRowBandSize w:val="1"/>
      <w:tblStyleColBandSize w:val="1"/>
      <w:tblBorders>
        <w:top w:val="single" w:sz="4" w:space="0" w:color="C7C8CA" w:themeColor="accent1"/>
        <w:left w:val="single" w:sz="4" w:space="0" w:color="C7C8CA" w:themeColor="accent1"/>
        <w:bottom w:val="single" w:sz="4" w:space="0" w:color="C7C8CA" w:themeColor="accent1"/>
        <w:right w:val="single" w:sz="4" w:space="0" w:color="C7C8CA" w:themeColor="accent1"/>
      </w:tblBorders>
    </w:tblPr>
    <w:tblStylePr w:type="firstRow">
      <w:rPr>
        <w:b/>
        <w:bCs/>
        <w:color w:val="FFFFFF" w:themeColor="background1"/>
      </w:rPr>
      <w:tblPr/>
      <w:tcPr>
        <w:shd w:val="clear" w:color="auto" w:fill="C7C8CA" w:themeFill="accent1"/>
      </w:tcPr>
    </w:tblStylePr>
    <w:tblStylePr w:type="lastRow">
      <w:rPr>
        <w:b/>
        <w:bCs/>
      </w:rPr>
      <w:tblPr/>
      <w:tcPr>
        <w:tcBorders>
          <w:top w:val="double" w:sz="4" w:space="0" w:color="C7C8C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7C8CA" w:themeColor="accent1"/>
          <w:right w:val="single" w:sz="4" w:space="0" w:color="C7C8CA" w:themeColor="accent1"/>
        </w:tcBorders>
      </w:tcPr>
    </w:tblStylePr>
    <w:tblStylePr w:type="band1Horz">
      <w:tblPr/>
      <w:tcPr>
        <w:tcBorders>
          <w:top w:val="single" w:sz="4" w:space="0" w:color="C7C8CA" w:themeColor="accent1"/>
          <w:bottom w:val="single" w:sz="4" w:space="0" w:color="C7C8C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8CA" w:themeColor="accent1"/>
          <w:left w:val="nil"/>
        </w:tcBorders>
      </w:tcPr>
    </w:tblStylePr>
    <w:tblStylePr w:type="swCell">
      <w:tblPr/>
      <w:tcPr>
        <w:tcBorders>
          <w:top w:val="double" w:sz="4" w:space="0" w:color="C7C8CA" w:themeColor="accent1"/>
          <w:right w:val="nil"/>
        </w:tcBorders>
      </w:tcPr>
    </w:tblStylePr>
  </w:style>
  <w:style w:type="table" w:customStyle="1" w:styleId="ListTable3-Accent21">
    <w:name w:val="List Table 3 - Accent 21"/>
    <w:basedOn w:val="a4"/>
    <w:uiPriority w:val="48"/>
    <w:rsid w:val="00F527CC"/>
    <w:pPr>
      <w:spacing w:after="0" w:line="240" w:lineRule="auto"/>
    </w:pPr>
    <w:tblPr>
      <w:tblStyleRowBandSize w:val="1"/>
      <w:tblStyleColBandSize w:val="1"/>
      <w:tblBorders>
        <w:top w:val="single" w:sz="4" w:space="0" w:color="939598" w:themeColor="accent2"/>
        <w:left w:val="single" w:sz="4" w:space="0" w:color="939598" w:themeColor="accent2"/>
        <w:bottom w:val="single" w:sz="4" w:space="0" w:color="939598" w:themeColor="accent2"/>
        <w:right w:val="single" w:sz="4" w:space="0" w:color="939598" w:themeColor="accent2"/>
      </w:tblBorders>
    </w:tblPr>
    <w:tblStylePr w:type="firstRow">
      <w:rPr>
        <w:b/>
        <w:bCs/>
        <w:color w:val="FFFFFF" w:themeColor="background1"/>
      </w:rPr>
      <w:tblPr/>
      <w:tcPr>
        <w:shd w:val="clear" w:color="auto" w:fill="939598" w:themeFill="accent2"/>
      </w:tcPr>
    </w:tblStylePr>
    <w:tblStylePr w:type="lastRow">
      <w:rPr>
        <w:b/>
        <w:bCs/>
      </w:rPr>
      <w:tblPr/>
      <w:tcPr>
        <w:tcBorders>
          <w:top w:val="double" w:sz="4" w:space="0" w:color="93959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9598" w:themeColor="accent2"/>
          <w:right w:val="single" w:sz="4" w:space="0" w:color="939598" w:themeColor="accent2"/>
        </w:tcBorders>
      </w:tcPr>
    </w:tblStylePr>
    <w:tblStylePr w:type="band1Horz">
      <w:tblPr/>
      <w:tcPr>
        <w:tcBorders>
          <w:top w:val="single" w:sz="4" w:space="0" w:color="939598" w:themeColor="accent2"/>
          <w:bottom w:val="single" w:sz="4" w:space="0" w:color="93959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9598" w:themeColor="accent2"/>
          <w:left w:val="nil"/>
        </w:tcBorders>
      </w:tcPr>
    </w:tblStylePr>
    <w:tblStylePr w:type="swCell">
      <w:tblPr/>
      <w:tcPr>
        <w:tcBorders>
          <w:top w:val="double" w:sz="4" w:space="0" w:color="939598" w:themeColor="accent2"/>
          <w:right w:val="nil"/>
        </w:tcBorders>
      </w:tcPr>
    </w:tblStylePr>
  </w:style>
  <w:style w:type="table" w:customStyle="1" w:styleId="ListTable3-Accent31">
    <w:name w:val="List Table 3 - Accent 31"/>
    <w:basedOn w:val="a4"/>
    <w:uiPriority w:val="48"/>
    <w:rsid w:val="00F527CC"/>
    <w:pPr>
      <w:spacing w:after="0" w:line="240" w:lineRule="auto"/>
    </w:pPr>
    <w:tblPr>
      <w:tblStyleRowBandSize w:val="1"/>
      <w:tblStyleColBandSize w:val="1"/>
      <w:tblBorders>
        <w:top w:val="single" w:sz="4" w:space="0" w:color="636466" w:themeColor="accent3"/>
        <w:left w:val="single" w:sz="4" w:space="0" w:color="636466" w:themeColor="accent3"/>
        <w:bottom w:val="single" w:sz="4" w:space="0" w:color="636466" w:themeColor="accent3"/>
        <w:right w:val="single" w:sz="4" w:space="0" w:color="636466" w:themeColor="accent3"/>
      </w:tblBorders>
    </w:tblPr>
    <w:tblStylePr w:type="firstRow">
      <w:rPr>
        <w:b/>
        <w:bCs/>
        <w:color w:val="FFFFFF" w:themeColor="background1"/>
      </w:rPr>
      <w:tblPr/>
      <w:tcPr>
        <w:shd w:val="clear" w:color="auto" w:fill="636466" w:themeFill="accent3"/>
      </w:tcPr>
    </w:tblStylePr>
    <w:tblStylePr w:type="lastRow">
      <w:rPr>
        <w:b/>
        <w:bCs/>
      </w:rPr>
      <w:tblPr/>
      <w:tcPr>
        <w:tcBorders>
          <w:top w:val="double" w:sz="4" w:space="0" w:color="63646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6466" w:themeColor="accent3"/>
          <w:right w:val="single" w:sz="4" w:space="0" w:color="636466" w:themeColor="accent3"/>
        </w:tcBorders>
      </w:tcPr>
    </w:tblStylePr>
    <w:tblStylePr w:type="band1Horz">
      <w:tblPr/>
      <w:tcPr>
        <w:tcBorders>
          <w:top w:val="single" w:sz="4" w:space="0" w:color="636466" w:themeColor="accent3"/>
          <w:bottom w:val="single" w:sz="4" w:space="0" w:color="63646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6466" w:themeColor="accent3"/>
          <w:left w:val="nil"/>
        </w:tcBorders>
      </w:tcPr>
    </w:tblStylePr>
    <w:tblStylePr w:type="swCell">
      <w:tblPr/>
      <w:tcPr>
        <w:tcBorders>
          <w:top w:val="double" w:sz="4" w:space="0" w:color="636466" w:themeColor="accent3"/>
          <w:right w:val="nil"/>
        </w:tcBorders>
      </w:tcPr>
    </w:tblStylePr>
  </w:style>
  <w:style w:type="table" w:customStyle="1" w:styleId="ListTable3-Accent41">
    <w:name w:val="List Table 3 - Accent 41"/>
    <w:basedOn w:val="a4"/>
    <w:uiPriority w:val="48"/>
    <w:rsid w:val="00F527CC"/>
    <w:pPr>
      <w:spacing w:after="0" w:line="240" w:lineRule="auto"/>
    </w:pPr>
    <w:tblPr>
      <w:tblStyleRowBandSize w:val="1"/>
      <w:tblStyleColBandSize w:val="1"/>
      <w:tblBorders>
        <w:top w:val="single" w:sz="4" w:space="0" w:color="CD202C" w:themeColor="accent4"/>
        <w:left w:val="single" w:sz="4" w:space="0" w:color="CD202C" w:themeColor="accent4"/>
        <w:bottom w:val="single" w:sz="4" w:space="0" w:color="CD202C" w:themeColor="accent4"/>
        <w:right w:val="single" w:sz="4" w:space="0" w:color="CD202C" w:themeColor="accent4"/>
      </w:tblBorders>
    </w:tblPr>
    <w:tblStylePr w:type="firstRow">
      <w:rPr>
        <w:b/>
        <w:bCs/>
        <w:color w:val="FFFFFF" w:themeColor="background1"/>
      </w:rPr>
      <w:tblPr/>
      <w:tcPr>
        <w:shd w:val="clear" w:color="auto" w:fill="CD202C" w:themeFill="accent4"/>
      </w:tcPr>
    </w:tblStylePr>
    <w:tblStylePr w:type="lastRow">
      <w:rPr>
        <w:b/>
        <w:bCs/>
      </w:rPr>
      <w:tblPr/>
      <w:tcPr>
        <w:tcBorders>
          <w:top w:val="double" w:sz="4" w:space="0" w:color="CD202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202C" w:themeColor="accent4"/>
          <w:right w:val="single" w:sz="4" w:space="0" w:color="CD202C" w:themeColor="accent4"/>
        </w:tcBorders>
      </w:tcPr>
    </w:tblStylePr>
    <w:tblStylePr w:type="band1Horz">
      <w:tblPr/>
      <w:tcPr>
        <w:tcBorders>
          <w:top w:val="single" w:sz="4" w:space="0" w:color="CD202C" w:themeColor="accent4"/>
          <w:bottom w:val="single" w:sz="4" w:space="0" w:color="CD202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202C" w:themeColor="accent4"/>
          <w:left w:val="nil"/>
        </w:tcBorders>
      </w:tcPr>
    </w:tblStylePr>
    <w:tblStylePr w:type="swCell">
      <w:tblPr/>
      <w:tcPr>
        <w:tcBorders>
          <w:top w:val="double" w:sz="4" w:space="0" w:color="CD202C" w:themeColor="accent4"/>
          <w:right w:val="nil"/>
        </w:tcBorders>
      </w:tcPr>
    </w:tblStylePr>
  </w:style>
  <w:style w:type="table" w:customStyle="1" w:styleId="ListTable3-Accent51">
    <w:name w:val="List Table 3 - Accent 51"/>
    <w:basedOn w:val="a4"/>
    <w:uiPriority w:val="48"/>
    <w:rsid w:val="00F527CC"/>
    <w:pPr>
      <w:spacing w:after="0" w:line="240" w:lineRule="auto"/>
    </w:pPr>
    <w:tblPr>
      <w:tblStyleRowBandSize w:val="1"/>
      <w:tblStyleColBandSize w:val="1"/>
      <w:tblBorders>
        <w:top w:val="single" w:sz="4" w:space="0" w:color="0055AA" w:themeColor="accent5"/>
        <w:left w:val="single" w:sz="4" w:space="0" w:color="0055AA" w:themeColor="accent5"/>
        <w:bottom w:val="single" w:sz="4" w:space="0" w:color="0055AA" w:themeColor="accent5"/>
        <w:right w:val="single" w:sz="4" w:space="0" w:color="0055AA" w:themeColor="accent5"/>
      </w:tblBorders>
    </w:tblPr>
    <w:tblStylePr w:type="firstRow">
      <w:rPr>
        <w:b/>
        <w:bCs/>
        <w:color w:val="FFFFFF" w:themeColor="background1"/>
      </w:rPr>
      <w:tblPr/>
      <w:tcPr>
        <w:shd w:val="clear" w:color="auto" w:fill="0055AA" w:themeFill="accent5"/>
      </w:tcPr>
    </w:tblStylePr>
    <w:tblStylePr w:type="lastRow">
      <w:rPr>
        <w:b/>
        <w:bCs/>
      </w:rPr>
      <w:tblPr/>
      <w:tcPr>
        <w:tcBorders>
          <w:top w:val="double" w:sz="4" w:space="0" w:color="0055A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5AA" w:themeColor="accent5"/>
          <w:right w:val="single" w:sz="4" w:space="0" w:color="0055AA" w:themeColor="accent5"/>
        </w:tcBorders>
      </w:tcPr>
    </w:tblStylePr>
    <w:tblStylePr w:type="band1Horz">
      <w:tblPr/>
      <w:tcPr>
        <w:tcBorders>
          <w:top w:val="single" w:sz="4" w:space="0" w:color="0055AA" w:themeColor="accent5"/>
          <w:bottom w:val="single" w:sz="4" w:space="0" w:color="0055A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5AA" w:themeColor="accent5"/>
          <w:left w:val="nil"/>
        </w:tcBorders>
      </w:tcPr>
    </w:tblStylePr>
    <w:tblStylePr w:type="swCell">
      <w:tblPr/>
      <w:tcPr>
        <w:tcBorders>
          <w:top w:val="double" w:sz="4" w:space="0" w:color="0055AA" w:themeColor="accent5"/>
          <w:right w:val="nil"/>
        </w:tcBorders>
      </w:tcPr>
    </w:tblStylePr>
  </w:style>
  <w:style w:type="table" w:customStyle="1" w:styleId="ListTable3-Accent61">
    <w:name w:val="List Table 3 - Accent 61"/>
    <w:basedOn w:val="a4"/>
    <w:uiPriority w:val="48"/>
    <w:rsid w:val="00F527CC"/>
    <w:pPr>
      <w:spacing w:after="0" w:line="240" w:lineRule="auto"/>
    </w:pPr>
    <w:tblPr>
      <w:tblStyleRowBandSize w:val="1"/>
      <w:tblStyleColBandSize w:val="1"/>
      <w:tblBorders>
        <w:top w:val="single" w:sz="4" w:space="0" w:color="FFAA22" w:themeColor="accent6"/>
        <w:left w:val="single" w:sz="4" w:space="0" w:color="FFAA22" w:themeColor="accent6"/>
        <w:bottom w:val="single" w:sz="4" w:space="0" w:color="FFAA22" w:themeColor="accent6"/>
        <w:right w:val="single" w:sz="4" w:space="0" w:color="FFAA22" w:themeColor="accent6"/>
      </w:tblBorders>
    </w:tblPr>
    <w:tblStylePr w:type="firstRow">
      <w:rPr>
        <w:b/>
        <w:bCs/>
        <w:color w:val="FFFFFF" w:themeColor="background1"/>
      </w:rPr>
      <w:tblPr/>
      <w:tcPr>
        <w:shd w:val="clear" w:color="auto" w:fill="FFAA22" w:themeFill="accent6"/>
      </w:tcPr>
    </w:tblStylePr>
    <w:tblStylePr w:type="lastRow">
      <w:rPr>
        <w:b/>
        <w:bCs/>
      </w:rPr>
      <w:tblPr/>
      <w:tcPr>
        <w:tcBorders>
          <w:top w:val="double" w:sz="4" w:space="0" w:color="FFAA2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A22" w:themeColor="accent6"/>
          <w:right w:val="single" w:sz="4" w:space="0" w:color="FFAA22" w:themeColor="accent6"/>
        </w:tcBorders>
      </w:tcPr>
    </w:tblStylePr>
    <w:tblStylePr w:type="band1Horz">
      <w:tblPr/>
      <w:tcPr>
        <w:tcBorders>
          <w:top w:val="single" w:sz="4" w:space="0" w:color="FFAA22" w:themeColor="accent6"/>
          <w:bottom w:val="single" w:sz="4" w:space="0" w:color="FFAA2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A22" w:themeColor="accent6"/>
          <w:left w:val="nil"/>
        </w:tcBorders>
      </w:tcPr>
    </w:tblStylePr>
    <w:tblStylePr w:type="swCell">
      <w:tblPr/>
      <w:tcPr>
        <w:tcBorders>
          <w:top w:val="double" w:sz="4" w:space="0" w:color="FFAA22" w:themeColor="accent6"/>
          <w:right w:val="nil"/>
        </w:tcBorders>
      </w:tcPr>
    </w:tblStylePr>
  </w:style>
  <w:style w:type="table" w:customStyle="1" w:styleId="ListTable41">
    <w:name w:val="List Table 41"/>
    <w:basedOn w:val="a4"/>
    <w:uiPriority w:val="49"/>
    <w:rsid w:val="00F527CC"/>
    <w:pPr>
      <w:spacing w:after="0" w:line="240" w:lineRule="auto"/>
    </w:pPr>
    <w:tblPr>
      <w:tblStyleRowBandSize w:val="1"/>
      <w:tblStyleColBandSize w:val="1"/>
      <w:tblBorders>
        <w:top w:val="single" w:sz="4" w:space="0" w:color="8C8C8C" w:themeColor="text1" w:themeTint="99"/>
        <w:left w:val="single" w:sz="4" w:space="0" w:color="8C8C8C" w:themeColor="text1" w:themeTint="99"/>
        <w:bottom w:val="single" w:sz="4" w:space="0" w:color="8C8C8C" w:themeColor="text1" w:themeTint="99"/>
        <w:right w:val="single" w:sz="4" w:space="0" w:color="8C8C8C" w:themeColor="text1" w:themeTint="99"/>
        <w:insideH w:val="single" w:sz="4" w:space="0" w:color="8C8C8C" w:themeColor="text1" w:themeTint="99"/>
      </w:tblBorders>
    </w:tblPr>
    <w:tblStylePr w:type="firstRow">
      <w:rPr>
        <w:b/>
        <w:bCs/>
        <w:color w:val="FFFFFF" w:themeColor="background1"/>
      </w:rPr>
      <w:tbl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tcBorders>
        <w:shd w:val="clear" w:color="auto" w:fill="404040" w:themeFill="text1"/>
      </w:tcPr>
    </w:tblStylePr>
    <w:tblStylePr w:type="lastRow">
      <w:rPr>
        <w:b/>
        <w:bCs/>
      </w:rPr>
      <w:tblPr/>
      <w:tcPr>
        <w:tcBorders>
          <w:top w:val="double" w:sz="4" w:space="0" w:color="8C8C8C"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ListTable4-Accent11">
    <w:name w:val="List Table 4 - Accent 11"/>
    <w:basedOn w:val="a4"/>
    <w:uiPriority w:val="49"/>
    <w:rsid w:val="00F527CC"/>
    <w:pPr>
      <w:spacing w:after="0" w:line="240" w:lineRule="auto"/>
    </w:pPr>
    <w:tblPr>
      <w:tblStyleRowBandSize w:val="1"/>
      <w:tblStyleColBandSize w:val="1"/>
      <w:tblBorders>
        <w:top w:val="single" w:sz="4" w:space="0" w:color="DDDDDF" w:themeColor="accent1" w:themeTint="99"/>
        <w:left w:val="single" w:sz="4" w:space="0" w:color="DDDDDF" w:themeColor="accent1" w:themeTint="99"/>
        <w:bottom w:val="single" w:sz="4" w:space="0" w:color="DDDDDF" w:themeColor="accent1" w:themeTint="99"/>
        <w:right w:val="single" w:sz="4" w:space="0" w:color="DDDDDF" w:themeColor="accent1" w:themeTint="99"/>
        <w:insideH w:val="single" w:sz="4" w:space="0" w:color="DDDDDF" w:themeColor="accent1" w:themeTint="99"/>
      </w:tblBorders>
    </w:tblPr>
    <w:tblStylePr w:type="firstRow">
      <w:rPr>
        <w:b/>
        <w:bCs/>
        <w:color w:val="FFFFFF" w:themeColor="background1"/>
      </w:rPr>
      <w:tblPr/>
      <w:tcPr>
        <w:tcBorders>
          <w:top w:val="single" w:sz="4" w:space="0" w:color="C7C8CA" w:themeColor="accent1"/>
          <w:left w:val="single" w:sz="4" w:space="0" w:color="C7C8CA" w:themeColor="accent1"/>
          <w:bottom w:val="single" w:sz="4" w:space="0" w:color="C7C8CA" w:themeColor="accent1"/>
          <w:right w:val="single" w:sz="4" w:space="0" w:color="C7C8CA" w:themeColor="accent1"/>
          <w:insideH w:val="nil"/>
        </w:tcBorders>
        <w:shd w:val="clear" w:color="auto" w:fill="C7C8CA" w:themeFill="accent1"/>
      </w:tcPr>
    </w:tblStylePr>
    <w:tblStylePr w:type="lastRow">
      <w:rPr>
        <w:b/>
        <w:bCs/>
      </w:rPr>
      <w:tblPr/>
      <w:tcPr>
        <w:tcBorders>
          <w:top w:val="double" w:sz="4" w:space="0" w:color="DDDDDF" w:themeColor="accent1" w:themeTint="99"/>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ListTable4-Accent21">
    <w:name w:val="List Table 4 - Accent 21"/>
    <w:basedOn w:val="a4"/>
    <w:uiPriority w:val="49"/>
    <w:rsid w:val="00F527CC"/>
    <w:pPr>
      <w:spacing w:after="0" w:line="240" w:lineRule="auto"/>
    </w:pPr>
    <w:tblPr>
      <w:tblStyleRowBandSize w:val="1"/>
      <w:tblStyleColBandSize w:val="1"/>
      <w:tblBorders>
        <w:top w:val="single" w:sz="4" w:space="0" w:color="BEBFC1" w:themeColor="accent2" w:themeTint="99"/>
        <w:left w:val="single" w:sz="4" w:space="0" w:color="BEBFC1" w:themeColor="accent2" w:themeTint="99"/>
        <w:bottom w:val="single" w:sz="4" w:space="0" w:color="BEBFC1" w:themeColor="accent2" w:themeTint="99"/>
        <w:right w:val="single" w:sz="4" w:space="0" w:color="BEBFC1" w:themeColor="accent2" w:themeTint="99"/>
        <w:insideH w:val="single" w:sz="4" w:space="0" w:color="BEBFC1" w:themeColor="accent2" w:themeTint="99"/>
      </w:tblBorders>
    </w:tblPr>
    <w:tblStylePr w:type="firstRow">
      <w:rPr>
        <w:b/>
        <w:bCs/>
        <w:color w:val="FFFFFF" w:themeColor="background1"/>
      </w:rPr>
      <w:tblPr/>
      <w:tcPr>
        <w:tcBorders>
          <w:top w:val="single" w:sz="4" w:space="0" w:color="939598" w:themeColor="accent2"/>
          <w:left w:val="single" w:sz="4" w:space="0" w:color="939598" w:themeColor="accent2"/>
          <w:bottom w:val="single" w:sz="4" w:space="0" w:color="939598" w:themeColor="accent2"/>
          <w:right w:val="single" w:sz="4" w:space="0" w:color="939598" w:themeColor="accent2"/>
          <w:insideH w:val="nil"/>
        </w:tcBorders>
        <w:shd w:val="clear" w:color="auto" w:fill="939598" w:themeFill="accent2"/>
      </w:tcPr>
    </w:tblStylePr>
    <w:tblStylePr w:type="lastRow">
      <w:rPr>
        <w:b/>
        <w:bCs/>
      </w:rPr>
      <w:tblPr/>
      <w:tcPr>
        <w:tcBorders>
          <w:top w:val="double" w:sz="4" w:space="0" w:color="BEBFC1" w:themeColor="accent2" w:themeTint="99"/>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ListTable4-Accent31">
    <w:name w:val="List Table 4 - Accent 31"/>
    <w:basedOn w:val="a4"/>
    <w:uiPriority w:val="49"/>
    <w:rsid w:val="00F527CC"/>
    <w:pPr>
      <w:spacing w:after="0" w:line="240" w:lineRule="auto"/>
    </w:pPr>
    <w:tblPr>
      <w:tblStyleRowBandSize w:val="1"/>
      <w:tblStyleColBandSize w:val="1"/>
      <w:tblBorders>
        <w:top w:val="single" w:sz="4" w:space="0" w:color="A0A1A3" w:themeColor="accent3" w:themeTint="99"/>
        <w:left w:val="single" w:sz="4" w:space="0" w:color="A0A1A3" w:themeColor="accent3" w:themeTint="99"/>
        <w:bottom w:val="single" w:sz="4" w:space="0" w:color="A0A1A3" w:themeColor="accent3" w:themeTint="99"/>
        <w:right w:val="single" w:sz="4" w:space="0" w:color="A0A1A3" w:themeColor="accent3" w:themeTint="99"/>
        <w:insideH w:val="single" w:sz="4" w:space="0" w:color="A0A1A3" w:themeColor="accent3" w:themeTint="99"/>
      </w:tblBorders>
    </w:tblPr>
    <w:tblStylePr w:type="firstRow">
      <w:rPr>
        <w:b/>
        <w:bCs/>
        <w:color w:val="FFFFFF" w:themeColor="background1"/>
      </w:rPr>
      <w:tblPr/>
      <w:tcPr>
        <w:tcBorders>
          <w:top w:val="single" w:sz="4" w:space="0" w:color="636466" w:themeColor="accent3"/>
          <w:left w:val="single" w:sz="4" w:space="0" w:color="636466" w:themeColor="accent3"/>
          <w:bottom w:val="single" w:sz="4" w:space="0" w:color="636466" w:themeColor="accent3"/>
          <w:right w:val="single" w:sz="4" w:space="0" w:color="636466" w:themeColor="accent3"/>
          <w:insideH w:val="nil"/>
        </w:tcBorders>
        <w:shd w:val="clear" w:color="auto" w:fill="636466" w:themeFill="accent3"/>
      </w:tcPr>
    </w:tblStylePr>
    <w:tblStylePr w:type="lastRow">
      <w:rPr>
        <w:b/>
        <w:bCs/>
      </w:rPr>
      <w:tblPr/>
      <w:tcPr>
        <w:tcBorders>
          <w:top w:val="double" w:sz="4" w:space="0" w:color="A0A1A3" w:themeColor="accent3" w:themeTint="99"/>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ListTable4-Accent41">
    <w:name w:val="List Table 4 - Accent 41"/>
    <w:basedOn w:val="a4"/>
    <w:uiPriority w:val="49"/>
    <w:rsid w:val="00F527CC"/>
    <w:pPr>
      <w:spacing w:after="0" w:line="240" w:lineRule="auto"/>
    </w:pPr>
    <w:tblPr>
      <w:tblStyleRowBandSize w:val="1"/>
      <w:tblStyleColBandSize w:val="1"/>
      <w:tblBorders>
        <w:top w:val="single" w:sz="4" w:space="0" w:color="E87179" w:themeColor="accent4" w:themeTint="99"/>
        <w:left w:val="single" w:sz="4" w:space="0" w:color="E87179" w:themeColor="accent4" w:themeTint="99"/>
        <w:bottom w:val="single" w:sz="4" w:space="0" w:color="E87179" w:themeColor="accent4" w:themeTint="99"/>
        <w:right w:val="single" w:sz="4" w:space="0" w:color="E87179" w:themeColor="accent4" w:themeTint="99"/>
        <w:insideH w:val="single" w:sz="4" w:space="0" w:color="E87179" w:themeColor="accent4" w:themeTint="99"/>
      </w:tblBorders>
    </w:tblPr>
    <w:tblStylePr w:type="firstRow">
      <w:rPr>
        <w:b/>
        <w:bCs/>
        <w:color w:val="FFFFFF" w:themeColor="background1"/>
      </w:rPr>
      <w:tblPr/>
      <w:tcPr>
        <w:tcBorders>
          <w:top w:val="single" w:sz="4" w:space="0" w:color="CD202C" w:themeColor="accent4"/>
          <w:left w:val="single" w:sz="4" w:space="0" w:color="CD202C" w:themeColor="accent4"/>
          <w:bottom w:val="single" w:sz="4" w:space="0" w:color="CD202C" w:themeColor="accent4"/>
          <w:right w:val="single" w:sz="4" w:space="0" w:color="CD202C" w:themeColor="accent4"/>
          <w:insideH w:val="nil"/>
        </w:tcBorders>
        <w:shd w:val="clear" w:color="auto" w:fill="CD202C" w:themeFill="accent4"/>
      </w:tcPr>
    </w:tblStylePr>
    <w:tblStylePr w:type="lastRow">
      <w:rPr>
        <w:b/>
        <w:bCs/>
      </w:rPr>
      <w:tblPr/>
      <w:tcPr>
        <w:tcBorders>
          <w:top w:val="double" w:sz="4" w:space="0" w:color="E87179" w:themeColor="accent4" w:themeTint="99"/>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ListTable4-Accent51">
    <w:name w:val="List Table 4 - Accent 51"/>
    <w:basedOn w:val="a4"/>
    <w:uiPriority w:val="49"/>
    <w:rsid w:val="00F527CC"/>
    <w:pPr>
      <w:spacing w:after="0" w:line="240" w:lineRule="auto"/>
    </w:pPr>
    <w:tblPr>
      <w:tblStyleRowBandSize w:val="1"/>
      <w:tblStyleColBandSize w:val="1"/>
      <w:tblBorders>
        <w:top w:val="single" w:sz="4" w:space="0" w:color="3398FF" w:themeColor="accent5" w:themeTint="99"/>
        <w:left w:val="single" w:sz="4" w:space="0" w:color="3398FF" w:themeColor="accent5" w:themeTint="99"/>
        <w:bottom w:val="single" w:sz="4" w:space="0" w:color="3398FF" w:themeColor="accent5" w:themeTint="99"/>
        <w:right w:val="single" w:sz="4" w:space="0" w:color="3398FF" w:themeColor="accent5" w:themeTint="99"/>
        <w:insideH w:val="single" w:sz="4" w:space="0" w:color="3398FF" w:themeColor="accent5" w:themeTint="99"/>
      </w:tblBorders>
    </w:tblPr>
    <w:tblStylePr w:type="firstRow">
      <w:rPr>
        <w:b/>
        <w:bCs/>
        <w:color w:val="FFFFFF" w:themeColor="background1"/>
      </w:rPr>
      <w:tblPr/>
      <w:tcPr>
        <w:tcBorders>
          <w:top w:val="single" w:sz="4" w:space="0" w:color="0055AA" w:themeColor="accent5"/>
          <w:left w:val="single" w:sz="4" w:space="0" w:color="0055AA" w:themeColor="accent5"/>
          <w:bottom w:val="single" w:sz="4" w:space="0" w:color="0055AA" w:themeColor="accent5"/>
          <w:right w:val="single" w:sz="4" w:space="0" w:color="0055AA" w:themeColor="accent5"/>
          <w:insideH w:val="nil"/>
        </w:tcBorders>
        <w:shd w:val="clear" w:color="auto" w:fill="0055AA" w:themeFill="accent5"/>
      </w:tcPr>
    </w:tblStylePr>
    <w:tblStylePr w:type="lastRow">
      <w:rPr>
        <w:b/>
        <w:bCs/>
      </w:rPr>
      <w:tblPr/>
      <w:tcPr>
        <w:tcBorders>
          <w:top w:val="double" w:sz="4" w:space="0" w:color="3398FF" w:themeColor="accent5" w:themeTint="99"/>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ListTable4-Accent61">
    <w:name w:val="List Table 4 - Accent 61"/>
    <w:basedOn w:val="a4"/>
    <w:uiPriority w:val="49"/>
    <w:rsid w:val="00F527CC"/>
    <w:pPr>
      <w:spacing w:after="0" w:line="240" w:lineRule="auto"/>
    </w:pPr>
    <w:tblPr>
      <w:tblStyleRowBandSize w:val="1"/>
      <w:tblStyleColBandSize w:val="1"/>
      <w:tblBorders>
        <w:top w:val="single" w:sz="4" w:space="0" w:color="FFCB7A" w:themeColor="accent6" w:themeTint="99"/>
        <w:left w:val="single" w:sz="4" w:space="0" w:color="FFCB7A" w:themeColor="accent6" w:themeTint="99"/>
        <w:bottom w:val="single" w:sz="4" w:space="0" w:color="FFCB7A" w:themeColor="accent6" w:themeTint="99"/>
        <w:right w:val="single" w:sz="4" w:space="0" w:color="FFCB7A" w:themeColor="accent6" w:themeTint="99"/>
        <w:insideH w:val="single" w:sz="4" w:space="0" w:color="FFCB7A" w:themeColor="accent6" w:themeTint="99"/>
      </w:tblBorders>
    </w:tblPr>
    <w:tblStylePr w:type="firstRow">
      <w:rPr>
        <w:b/>
        <w:bCs/>
        <w:color w:val="FFFFFF" w:themeColor="background1"/>
      </w:rPr>
      <w:tblPr/>
      <w:tcPr>
        <w:tcBorders>
          <w:top w:val="single" w:sz="4" w:space="0" w:color="FFAA22" w:themeColor="accent6"/>
          <w:left w:val="single" w:sz="4" w:space="0" w:color="FFAA22" w:themeColor="accent6"/>
          <w:bottom w:val="single" w:sz="4" w:space="0" w:color="FFAA22" w:themeColor="accent6"/>
          <w:right w:val="single" w:sz="4" w:space="0" w:color="FFAA22" w:themeColor="accent6"/>
          <w:insideH w:val="nil"/>
        </w:tcBorders>
        <w:shd w:val="clear" w:color="auto" w:fill="FFAA22" w:themeFill="accent6"/>
      </w:tcPr>
    </w:tblStylePr>
    <w:tblStylePr w:type="lastRow">
      <w:rPr>
        <w:b/>
        <w:bCs/>
      </w:rPr>
      <w:tblPr/>
      <w:tcPr>
        <w:tcBorders>
          <w:top w:val="double" w:sz="4" w:space="0" w:color="FFCB7A" w:themeColor="accent6" w:themeTint="99"/>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ListTable5Dark1">
    <w:name w:val="List Table 5 Dark1"/>
    <w:basedOn w:val="a4"/>
    <w:uiPriority w:val="50"/>
    <w:rsid w:val="00F527CC"/>
    <w:pPr>
      <w:spacing w:after="0" w:line="240" w:lineRule="auto"/>
    </w:pPr>
    <w:rPr>
      <w:color w:val="FFFFFF" w:themeColor="background1"/>
    </w:rPr>
    <w:tblPr>
      <w:tblStyleRowBandSize w:val="1"/>
      <w:tblStyleColBandSize w:val="1"/>
      <w:tblBorders>
        <w:top w:val="single" w:sz="24" w:space="0" w:color="404040" w:themeColor="text1"/>
        <w:left w:val="single" w:sz="24" w:space="0" w:color="404040" w:themeColor="text1"/>
        <w:bottom w:val="single" w:sz="24" w:space="0" w:color="404040" w:themeColor="text1"/>
        <w:right w:val="single" w:sz="24" w:space="0" w:color="404040" w:themeColor="text1"/>
      </w:tblBorders>
    </w:tblPr>
    <w:tcPr>
      <w:shd w:val="clear" w:color="auto" w:fill="40404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a4"/>
    <w:uiPriority w:val="50"/>
    <w:rsid w:val="00F527CC"/>
    <w:pPr>
      <w:spacing w:after="0" w:line="240" w:lineRule="auto"/>
    </w:pPr>
    <w:rPr>
      <w:color w:val="FFFFFF" w:themeColor="background1"/>
    </w:rPr>
    <w:tblPr>
      <w:tblStyleRowBandSize w:val="1"/>
      <w:tblStyleColBandSize w:val="1"/>
      <w:tblBorders>
        <w:top w:val="single" w:sz="24" w:space="0" w:color="C7C8CA" w:themeColor="accent1"/>
        <w:left w:val="single" w:sz="24" w:space="0" w:color="C7C8CA" w:themeColor="accent1"/>
        <w:bottom w:val="single" w:sz="24" w:space="0" w:color="C7C8CA" w:themeColor="accent1"/>
        <w:right w:val="single" w:sz="24" w:space="0" w:color="C7C8CA" w:themeColor="accent1"/>
      </w:tblBorders>
    </w:tblPr>
    <w:tcPr>
      <w:shd w:val="clear" w:color="auto" w:fill="C7C8C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a4"/>
    <w:uiPriority w:val="50"/>
    <w:rsid w:val="00F527CC"/>
    <w:pPr>
      <w:spacing w:after="0" w:line="240" w:lineRule="auto"/>
    </w:pPr>
    <w:rPr>
      <w:color w:val="FFFFFF" w:themeColor="background1"/>
    </w:rPr>
    <w:tblPr>
      <w:tblStyleRowBandSize w:val="1"/>
      <w:tblStyleColBandSize w:val="1"/>
      <w:tblBorders>
        <w:top w:val="single" w:sz="24" w:space="0" w:color="939598" w:themeColor="accent2"/>
        <w:left w:val="single" w:sz="24" w:space="0" w:color="939598" w:themeColor="accent2"/>
        <w:bottom w:val="single" w:sz="24" w:space="0" w:color="939598" w:themeColor="accent2"/>
        <w:right w:val="single" w:sz="24" w:space="0" w:color="939598" w:themeColor="accent2"/>
      </w:tblBorders>
    </w:tblPr>
    <w:tcPr>
      <w:shd w:val="clear" w:color="auto" w:fill="93959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a4"/>
    <w:uiPriority w:val="50"/>
    <w:rsid w:val="00F527CC"/>
    <w:pPr>
      <w:spacing w:after="0" w:line="240" w:lineRule="auto"/>
    </w:pPr>
    <w:rPr>
      <w:color w:val="FFFFFF" w:themeColor="background1"/>
    </w:rPr>
    <w:tblPr>
      <w:tblStyleRowBandSize w:val="1"/>
      <w:tblStyleColBandSize w:val="1"/>
      <w:tblBorders>
        <w:top w:val="single" w:sz="24" w:space="0" w:color="636466" w:themeColor="accent3"/>
        <w:left w:val="single" w:sz="24" w:space="0" w:color="636466" w:themeColor="accent3"/>
        <w:bottom w:val="single" w:sz="24" w:space="0" w:color="636466" w:themeColor="accent3"/>
        <w:right w:val="single" w:sz="24" w:space="0" w:color="636466" w:themeColor="accent3"/>
      </w:tblBorders>
    </w:tblPr>
    <w:tcPr>
      <w:shd w:val="clear" w:color="auto" w:fill="63646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a4"/>
    <w:uiPriority w:val="50"/>
    <w:rsid w:val="00F527CC"/>
    <w:pPr>
      <w:spacing w:after="0" w:line="240" w:lineRule="auto"/>
    </w:pPr>
    <w:rPr>
      <w:color w:val="FFFFFF" w:themeColor="background1"/>
    </w:rPr>
    <w:tblPr>
      <w:tblStyleRowBandSize w:val="1"/>
      <w:tblStyleColBandSize w:val="1"/>
      <w:tblBorders>
        <w:top w:val="single" w:sz="24" w:space="0" w:color="CD202C" w:themeColor="accent4"/>
        <w:left w:val="single" w:sz="24" w:space="0" w:color="CD202C" w:themeColor="accent4"/>
        <w:bottom w:val="single" w:sz="24" w:space="0" w:color="CD202C" w:themeColor="accent4"/>
        <w:right w:val="single" w:sz="24" w:space="0" w:color="CD202C" w:themeColor="accent4"/>
      </w:tblBorders>
    </w:tblPr>
    <w:tcPr>
      <w:shd w:val="clear" w:color="auto" w:fill="CD202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a4"/>
    <w:uiPriority w:val="50"/>
    <w:rsid w:val="00F527CC"/>
    <w:pPr>
      <w:spacing w:after="0" w:line="240" w:lineRule="auto"/>
    </w:pPr>
    <w:rPr>
      <w:color w:val="FFFFFF" w:themeColor="background1"/>
    </w:rPr>
    <w:tblPr>
      <w:tblStyleRowBandSize w:val="1"/>
      <w:tblStyleColBandSize w:val="1"/>
      <w:tblBorders>
        <w:top w:val="single" w:sz="24" w:space="0" w:color="0055AA" w:themeColor="accent5"/>
        <w:left w:val="single" w:sz="24" w:space="0" w:color="0055AA" w:themeColor="accent5"/>
        <w:bottom w:val="single" w:sz="24" w:space="0" w:color="0055AA" w:themeColor="accent5"/>
        <w:right w:val="single" w:sz="24" w:space="0" w:color="0055AA" w:themeColor="accent5"/>
      </w:tblBorders>
    </w:tblPr>
    <w:tcPr>
      <w:shd w:val="clear" w:color="auto" w:fill="0055A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a4"/>
    <w:uiPriority w:val="50"/>
    <w:rsid w:val="00F527CC"/>
    <w:pPr>
      <w:spacing w:after="0" w:line="240" w:lineRule="auto"/>
    </w:pPr>
    <w:rPr>
      <w:color w:val="FFFFFF" w:themeColor="background1"/>
    </w:rPr>
    <w:tblPr>
      <w:tblStyleRowBandSize w:val="1"/>
      <w:tblStyleColBandSize w:val="1"/>
      <w:tblBorders>
        <w:top w:val="single" w:sz="24" w:space="0" w:color="FFAA22" w:themeColor="accent6"/>
        <w:left w:val="single" w:sz="24" w:space="0" w:color="FFAA22" w:themeColor="accent6"/>
        <w:bottom w:val="single" w:sz="24" w:space="0" w:color="FFAA22" w:themeColor="accent6"/>
        <w:right w:val="single" w:sz="24" w:space="0" w:color="FFAA22" w:themeColor="accent6"/>
      </w:tblBorders>
    </w:tblPr>
    <w:tcPr>
      <w:shd w:val="clear" w:color="auto" w:fill="FFAA2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a4"/>
    <w:uiPriority w:val="51"/>
    <w:rsid w:val="00F527CC"/>
    <w:pPr>
      <w:spacing w:after="0" w:line="240" w:lineRule="auto"/>
    </w:pPr>
    <w:rPr>
      <w:color w:val="404040" w:themeColor="text1"/>
    </w:rPr>
    <w:tblPr>
      <w:tblStyleRowBandSize w:val="1"/>
      <w:tblStyleColBandSize w:val="1"/>
      <w:tblBorders>
        <w:top w:val="single" w:sz="4" w:space="0" w:color="404040" w:themeColor="text1"/>
        <w:bottom w:val="single" w:sz="4" w:space="0" w:color="404040" w:themeColor="text1"/>
      </w:tblBorders>
    </w:tblPr>
    <w:tblStylePr w:type="firstRow">
      <w:rPr>
        <w:b/>
        <w:bCs/>
      </w:rPr>
      <w:tblPr/>
      <w:tcPr>
        <w:tcBorders>
          <w:bottom w:val="single" w:sz="4" w:space="0" w:color="404040" w:themeColor="text1"/>
        </w:tcBorders>
      </w:tcPr>
    </w:tblStylePr>
    <w:tblStylePr w:type="lastRow">
      <w:rPr>
        <w:b/>
        <w:bCs/>
      </w:rPr>
      <w:tblPr/>
      <w:tcPr>
        <w:tcBorders>
          <w:top w:val="double" w:sz="4" w:space="0" w:color="404040" w:themeColor="text1"/>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customStyle="1" w:styleId="ListTable6Colorful-Accent11">
    <w:name w:val="List Table 6 Colorful - Accent 11"/>
    <w:basedOn w:val="a4"/>
    <w:uiPriority w:val="51"/>
    <w:rsid w:val="00F527CC"/>
    <w:pPr>
      <w:spacing w:after="0" w:line="240" w:lineRule="auto"/>
    </w:pPr>
    <w:rPr>
      <w:color w:val="939599" w:themeColor="accent1" w:themeShade="BF"/>
    </w:rPr>
    <w:tblPr>
      <w:tblStyleRowBandSize w:val="1"/>
      <w:tblStyleColBandSize w:val="1"/>
      <w:tblBorders>
        <w:top w:val="single" w:sz="4" w:space="0" w:color="C7C8CA" w:themeColor="accent1"/>
        <w:bottom w:val="single" w:sz="4" w:space="0" w:color="C7C8CA" w:themeColor="accent1"/>
      </w:tblBorders>
    </w:tblPr>
    <w:tblStylePr w:type="firstRow">
      <w:rPr>
        <w:b/>
        <w:bCs/>
      </w:rPr>
      <w:tblPr/>
      <w:tcPr>
        <w:tcBorders>
          <w:bottom w:val="single" w:sz="4" w:space="0" w:color="C7C8CA" w:themeColor="accent1"/>
        </w:tcBorders>
      </w:tcPr>
    </w:tblStylePr>
    <w:tblStylePr w:type="lastRow">
      <w:rPr>
        <w:b/>
        <w:bCs/>
      </w:rPr>
      <w:tblPr/>
      <w:tcPr>
        <w:tcBorders>
          <w:top w:val="double" w:sz="4" w:space="0" w:color="C7C8CA" w:themeColor="accent1"/>
        </w:tcBorders>
      </w:tcPr>
    </w:tblStylePr>
    <w:tblStylePr w:type="firstCol">
      <w:rPr>
        <w:b/>
        <w:bCs/>
      </w:rPr>
    </w:tblStylePr>
    <w:tblStylePr w:type="lastCol">
      <w:rPr>
        <w:b/>
        <w:bCs/>
      </w:rPr>
    </w:tblStylePr>
    <w:tblStylePr w:type="band1Vert">
      <w:tblPr/>
      <w:tcPr>
        <w:shd w:val="clear" w:color="auto" w:fill="F3F3F4" w:themeFill="accent1" w:themeFillTint="33"/>
      </w:tcPr>
    </w:tblStylePr>
    <w:tblStylePr w:type="band1Horz">
      <w:tblPr/>
      <w:tcPr>
        <w:shd w:val="clear" w:color="auto" w:fill="F3F3F4" w:themeFill="accent1" w:themeFillTint="33"/>
      </w:tcPr>
    </w:tblStylePr>
  </w:style>
  <w:style w:type="table" w:customStyle="1" w:styleId="ListTable6Colorful-Accent21">
    <w:name w:val="List Table 6 Colorful - Accent 21"/>
    <w:basedOn w:val="a4"/>
    <w:uiPriority w:val="51"/>
    <w:rsid w:val="00F527CC"/>
    <w:pPr>
      <w:spacing w:after="0" w:line="240" w:lineRule="auto"/>
    </w:pPr>
    <w:rPr>
      <w:color w:val="6D6F72" w:themeColor="accent2" w:themeShade="BF"/>
    </w:rPr>
    <w:tblPr>
      <w:tblStyleRowBandSize w:val="1"/>
      <w:tblStyleColBandSize w:val="1"/>
      <w:tblBorders>
        <w:top w:val="single" w:sz="4" w:space="0" w:color="939598" w:themeColor="accent2"/>
        <w:bottom w:val="single" w:sz="4" w:space="0" w:color="939598" w:themeColor="accent2"/>
      </w:tblBorders>
    </w:tblPr>
    <w:tblStylePr w:type="firstRow">
      <w:rPr>
        <w:b/>
        <w:bCs/>
      </w:rPr>
      <w:tblPr/>
      <w:tcPr>
        <w:tcBorders>
          <w:bottom w:val="single" w:sz="4" w:space="0" w:color="939598" w:themeColor="accent2"/>
        </w:tcBorders>
      </w:tcPr>
    </w:tblStylePr>
    <w:tblStylePr w:type="lastRow">
      <w:rPr>
        <w:b/>
        <w:bCs/>
      </w:rPr>
      <w:tblPr/>
      <w:tcPr>
        <w:tcBorders>
          <w:top w:val="double" w:sz="4" w:space="0" w:color="939598" w:themeColor="accent2"/>
        </w:tcBorders>
      </w:tcPr>
    </w:tblStylePr>
    <w:tblStylePr w:type="firstCol">
      <w:rPr>
        <w:b/>
        <w:bCs/>
      </w:rPr>
    </w:tblStylePr>
    <w:tblStylePr w:type="lastCol">
      <w:rPr>
        <w:b/>
        <w:bCs/>
      </w:rPr>
    </w:tblStylePr>
    <w:tblStylePr w:type="band1Vert">
      <w:tblPr/>
      <w:tcPr>
        <w:shd w:val="clear" w:color="auto" w:fill="E9E9EA" w:themeFill="accent2" w:themeFillTint="33"/>
      </w:tcPr>
    </w:tblStylePr>
    <w:tblStylePr w:type="band1Horz">
      <w:tblPr/>
      <w:tcPr>
        <w:shd w:val="clear" w:color="auto" w:fill="E9E9EA" w:themeFill="accent2" w:themeFillTint="33"/>
      </w:tcPr>
    </w:tblStylePr>
  </w:style>
  <w:style w:type="table" w:customStyle="1" w:styleId="ListTable6Colorful-Accent31">
    <w:name w:val="List Table 6 Colorful - Accent 31"/>
    <w:basedOn w:val="a4"/>
    <w:uiPriority w:val="51"/>
    <w:rsid w:val="00F527CC"/>
    <w:pPr>
      <w:spacing w:after="0" w:line="240" w:lineRule="auto"/>
    </w:pPr>
    <w:rPr>
      <w:color w:val="4A4A4C" w:themeColor="accent3" w:themeShade="BF"/>
    </w:rPr>
    <w:tblPr>
      <w:tblStyleRowBandSize w:val="1"/>
      <w:tblStyleColBandSize w:val="1"/>
      <w:tblBorders>
        <w:top w:val="single" w:sz="4" w:space="0" w:color="636466" w:themeColor="accent3"/>
        <w:bottom w:val="single" w:sz="4" w:space="0" w:color="636466" w:themeColor="accent3"/>
      </w:tblBorders>
    </w:tblPr>
    <w:tblStylePr w:type="firstRow">
      <w:rPr>
        <w:b/>
        <w:bCs/>
      </w:rPr>
      <w:tblPr/>
      <w:tcPr>
        <w:tcBorders>
          <w:bottom w:val="single" w:sz="4" w:space="0" w:color="636466" w:themeColor="accent3"/>
        </w:tcBorders>
      </w:tcPr>
    </w:tblStylePr>
    <w:tblStylePr w:type="lastRow">
      <w:rPr>
        <w:b/>
        <w:bCs/>
      </w:rPr>
      <w:tblPr/>
      <w:tcPr>
        <w:tcBorders>
          <w:top w:val="double" w:sz="4" w:space="0" w:color="636466" w:themeColor="accent3"/>
        </w:tcBorders>
      </w:tcPr>
    </w:tblStylePr>
    <w:tblStylePr w:type="firstCol">
      <w:rPr>
        <w:b/>
        <w:bCs/>
      </w:rPr>
    </w:tblStylePr>
    <w:tblStylePr w:type="lastCol">
      <w:rPr>
        <w:b/>
        <w:bCs/>
      </w:rPr>
    </w:tblStylePr>
    <w:tblStylePr w:type="band1Vert">
      <w:tblPr/>
      <w:tcPr>
        <w:shd w:val="clear" w:color="auto" w:fill="DFDFE0" w:themeFill="accent3" w:themeFillTint="33"/>
      </w:tcPr>
    </w:tblStylePr>
    <w:tblStylePr w:type="band1Horz">
      <w:tblPr/>
      <w:tcPr>
        <w:shd w:val="clear" w:color="auto" w:fill="DFDFE0" w:themeFill="accent3" w:themeFillTint="33"/>
      </w:tcPr>
    </w:tblStylePr>
  </w:style>
  <w:style w:type="table" w:customStyle="1" w:styleId="ListTable6Colorful-Accent41">
    <w:name w:val="List Table 6 Colorful - Accent 41"/>
    <w:basedOn w:val="a4"/>
    <w:uiPriority w:val="51"/>
    <w:rsid w:val="00F527CC"/>
    <w:pPr>
      <w:spacing w:after="0" w:line="240" w:lineRule="auto"/>
    </w:pPr>
    <w:rPr>
      <w:color w:val="991820" w:themeColor="accent4" w:themeShade="BF"/>
    </w:rPr>
    <w:tblPr>
      <w:tblStyleRowBandSize w:val="1"/>
      <w:tblStyleColBandSize w:val="1"/>
      <w:tblBorders>
        <w:top w:val="single" w:sz="4" w:space="0" w:color="CD202C" w:themeColor="accent4"/>
        <w:bottom w:val="single" w:sz="4" w:space="0" w:color="CD202C" w:themeColor="accent4"/>
      </w:tblBorders>
    </w:tblPr>
    <w:tblStylePr w:type="firstRow">
      <w:rPr>
        <w:b/>
        <w:bCs/>
      </w:rPr>
      <w:tblPr/>
      <w:tcPr>
        <w:tcBorders>
          <w:bottom w:val="single" w:sz="4" w:space="0" w:color="CD202C" w:themeColor="accent4"/>
        </w:tcBorders>
      </w:tcPr>
    </w:tblStylePr>
    <w:tblStylePr w:type="lastRow">
      <w:rPr>
        <w:b/>
        <w:bCs/>
      </w:rPr>
      <w:tblPr/>
      <w:tcPr>
        <w:tcBorders>
          <w:top w:val="double" w:sz="4" w:space="0" w:color="CD202C" w:themeColor="accent4"/>
        </w:tcBorders>
      </w:tcPr>
    </w:tblStylePr>
    <w:tblStylePr w:type="firstCol">
      <w:rPr>
        <w:b/>
        <w:bCs/>
      </w:rPr>
    </w:tblStylePr>
    <w:tblStylePr w:type="lastCol">
      <w:rPr>
        <w:b/>
        <w:bCs/>
      </w:rPr>
    </w:tblStylePr>
    <w:tblStylePr w:type="band1Vert">
      <w:tblPr/>
      <w:tcPr>
        <w:shd w:val="clear" w:color="auto" w:fill="F7CFD2" w:themeFill="accent4" w:themeFillTint="33"/>
      </w:tcPr>
    </w:tblStylePr>
    <w:tblStylePr w:type="band1Horz">
      <w:tblPr/>
      <w:tcPr>
        <w:shd w:val="clear" w:color="auto" w:fill="F7CFD2" w:themeFill="accent4" w:themeFillTint="33"/>
      </w:tcPr>
    </w:tblStylePr>
  </w:style>
  <w:style w:type="table" w:customStyle="1" w:styleId="ListTable6Colorful-Accent51">
    <w:name w:val="List Table 6 Colorful - Accent 51"/>
    <w:basedOn w:val="a4"/>
    <w:uiPriority w:val="51"/>
    <w:rsid w:val="00F527CC"/>
    <w:pPr>
      <w:spacing w:after="0" w:line="240" w:lineRule="auto"/>
    </w:pPr>
    <w:rPr>
      <w:color w:val="003F7F" w:themeColor="accent5" w:themeShade="BF"/>
    </w:rPr>
    <w:tblPr>
      <w:tblStyleRowBandSize w:val="1"/>
      <w:tblStyleColBandSize w:val="1"/>
      <w:tblBorders>
        <w:top w:val="single" w:sz="4" w:space="0" w:color="0055AA" w:themeColor="accent5"/>
        <w:bottom w:val="single" w:sz="4" w:space="0" w:color="0055AA" w:themeColor="accent5"/>
      </w:tblBorders>
    </w:tblPr>
    <w:tblStylePr w:type="firstRow">
      <w:rPr>
        <w:b/>
        <w:bCs/>
      </w:rPr>
      <w:tblPr/>
      <w:tcPr>
        <w:tcBorders>
          <w:bottom w:val="single" w:sz="4" w:space="0" w:color="0055AA" w:themeColor="accent5"/>
        </w:tcBorders>
      </w:tcPr>
    </w:tblStylePr>
    <w:tblStylePr w:type="lastRow">
      <w:rPr>
        <w:b/>
        <w:bCs/>
      </w:rPr>
      <w:tblPr/>
      <w:tcPr>
        <w:tcBorders>
          <w:top w:val="double" w:sz="4" w:space="0" w:color="0055AA" w:themeColor="accent5"/>
        </w:tcBorders>
      </w:tcPr>
    </w:tblStylePr>
    <w:tblStylePr w:type="firstCol">
      <w:rPr>
        <w:b/>
        <w:bCs/>
      </w:rPr>
    </w:tblStylePr>
    <w:tblStylePr w:type="lastCol">
      <w:rPr>
        <w:b/>
        <w:bCs/>
      </w:rPr>
    </w:tblStylePr>
    <w:tblStylePr w:type="band1Vert">
      <w:tblPr/>
      <w:tcPr>
        <w:shd w:val="clear" w:color="auto" w:fill="BBDCFF" w:themeFill="accent5" w:themeFillTint="33"/>
      </w:tcPr>
    </w:tblStylePr>
    <w:tblStylePr w:type="band1Horz">
      <w:tblPr/>
      <w:tcPr>
        <w:shd w:val="clear" w:color="auto" w:fill="BBDCFF" w:themeFill="accent5" w:themeFillTint="33"/>
      </w:tcPr>
    </w:tblStylePr>
  </w:style>
  <w:style w:type="table" w:customStyle="1" w:styleId="ListTable6Colorful-Accent61">
    <w:name w:val="List Table 6 Colorful - Accent 61"/>
    <w:basedOn w:val="a4"/>
    <w:uiPriority w:val="51"/>
    <w:rsid w:val="00F527CC"/>
    <w:pPr>
      <w:spacing w:after="0" w:line="240" w:lineRule="auto"/>
    </w:pPr>
    <w:rPr>
      <w:color w:val="D88400" w:themeColor="accent6" w:themeShade="BF"/>
    </w:rPr>
    <w:tblPr>
      <w:tblStyleRowBandSize w:val="1"/>
      <w:tblStyleColBandSize w:val="1"/>
      <w:tblBorders>
        <w:top w:val="single" w:sz="4" w:space="0" w:color="FFAA22" w:themeColor="accent6"/>
        <w:bottom w:val="single" w:sz="4" w:space="0" w:color="FFAA22" w:themeColor="accent6"/>
      </w:tblBorders>
    </w:tblPr>
    <w:tblStylePr w:type="firstRow">
      <w:rPr>
        <w:b/>
        <w:bCs/>
      </w:rPr>
      <w:tblPr/>
      <w:tcPr>
        <w:tcBorders>
          <w:bottom w:val="single" w:sz="4" w:space="0" w:color="FFAA22" w:themeColor="accent6"/>
        </w:tcBorders>
      </w:tcPr>
    </w:tblStylePr>
    <w:tblStylePr w:type="lastRow">
      <w:rPr>
        <w:b/>
        <w:bCs/>
      </w:rPr>
      <w:tblPr/>
      <w:tcPr>
        <w:tcBorders>
          <w:top w:val="double" w:sz="4" w:space="0" w:color="FFAA22" w:themeColor="accent6"/>
        </w:tcBorders>
      </w:tcPr>
    </w:tblStylePr>
    <w:tblStylePr w:type="firstCol">
      <w:rPr>
        <w:b/>
        <w:bCs/>
      </w:rPr>
    </w:tblStylePr>
    <w:tblStylePr w:type="lastCol">
      <w:rPr>
        <w:b/>
        <w:bCs/>
      </w:rPr>
    </w:tblStylePr>
    <w:tblStylePr w:type="band1Vert">
      <w:tblPr/>
      <w:tcPr>
        <w:shd w:val="clear" w:color="auto" w:fill="FFEDD2" w:themeFill="accent6" w:themeFillTint="33"/>
      </w:tcPr>
    </w:tblStylePr>
    <w:tblStylePr w:type="band1Horz">
      <w:tblPr/>
      <w:tcPr>
        <w:shd w:val="clear" w:color="auto" w:fill="FFEDD2" w:themeFill="accent6" w:themeFillTint="33"/>
      </w:tcPr>
    </w:tblStylePr>
  </w:style>
  <w:style w:type="table" w:customStyle="1" w:styleId="ListTable7Colorful1">
    <w:name w:val="List Table 7 Colorful1"/>
    <w:basedOn w:val="a4"/>
    <w:uiPriority w:val="52"/>
    <w:rsid w:val="00F527CC"/>
    <w:pPr>
      <w:spacing w:after="0" w:line="240" w:lineRule="auto"/>
    </w:pPr>
    <w:rPr>
      <w:color w:val="40404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4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4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4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40" w:themeColor="text1"/>
        </w:tcBorders>
        <w:shd w:val="clear" w:color="auto" w:fill="FFFFFF" w:themeFill="background1"/>
      </w:tcPr>
    </w:tblStylePr>
    <w:tblStylePr w:type="band1Vert">
      <w:tblPr/>
      <w:tcPr>
        <w:shd w:val="clear" w:color="auto" w:fill="D8D8D8" w:themeFill="text1" w:themeFillTint="33"/>
      </w:tcPr>
    </w:tblStylePr>
    <w:tblStylePr w:type="band1Horz">
      <w:tblPr/>
      <w:tcPr>
        <w:shd w:val="clear" w:color="auto" w:fill="D8D8D8"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a4"/>
    <w:uiPriority w:val="52"/>
    <w:rsid w:val="00F527CC"/>
    <w:pPr>
      <w:spacing w:after="0" w:line="240" w:lineRule="auto"/>
    </w:pPr>
    <w:rPr>
      <w:color w:val="93959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7C8C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7C8C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7C8C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7C8CA" w:themeColor="accent1"/>
        </w:tcBorders>
        <w:shd w:val="clear" w:color="auto" w:fill="FFFFFF" w:themeFill="background1"/>
      </w:tcPr>
    </w:tblStylePr>
    <w:tblStylePr w:type="band1Vert">
      <w:tblPr/>
      <w:tcPr>
        <w:shd w:val="clear" w:color="auto" w:fill="F3F3F4" w:themeFill="accent1" w:themeFillTint="33"/>
      </w:tcPr>
    </w:tblStylePr>
    <w:tblStylePr w:type="band1Horz">
      <w:tblPr/>
      <w:tcPr>
        <w:shd w:val="clear" w:color="auto" w:fill="F3F3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a4"/>
    <w:uiPriority w:val="52"/>
    <w:rsid w:val="00F527CC"/>
    <w:pPr>
      <w:spacing w:after="0" w:line="240" w:lineRule="auto"/>
    </w:pPr>
    <w:rPr>
      <w:color w:val="6D6F7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959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959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959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9598" w:themeColor="accent2"/>
        </w:tcBorders>
        <w:shd w:val="clear" w:color="auto" w:fill="FFFFFF" w:themeFill="background1"/>
      </w:tcPr>
    </w:tblStylePr>
    <w:tblStylePr w:type="band1Vert">
      <w:tblPr/>
      <w:tcPr>
        <w:shd w:val="clear" w:color="auto" w:fill="E9E9EA" w:themeFill="accent2" w:themeFillTint="33"/>
      </w:tcPr>
    </w:tblStylePr>
    <w:tblStylePr w:type="band1Horz">
      <w:tblPr/>
      <w:tcPr>
        <w:shd w:val="clear" w:color="auto" w:fill="E9E9E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a4"/>
    <w:uiPriority w:val="52"/>
    <w:rsid w:val="00F527CC"/>
    <w:pPr>
      <w:spacing w:after="0" w:line="240" w:lineRule="auto"/>
    </w:pPr>
    <w:rPr>
      <w:color w:val="4A4A4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646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646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646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6466" w:themeColor="accent3"/>
        </w:tcBorders>
        <w:shd w:val="clear" w:color="auto" w:fill="FFFFFF" w:themeFill="background1"/>
      </w:tcPr>
    </w:tblStylePr>
    <w:tblStylePr w:type="band1Vert">
      <w:tblPr/>
      <w:tcPr>
        <w:shd w:val="clear" w:color="auto" w:fill="DFDFE0" w:themeFill="accent3" w:themeFillTint="33"/>
      </w:tcPr>
    </w:tblStylePr>
    <w:tblStylePr w:type="band1Horz">
      <w:tblPr/>
      <w:tcPr>
        <w:shd w:val="clear" w:color="auto" w:fill="DFDF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a4"/>
    <w:uiPriority w:val="52"/>
    <w:rsid w:val="00F527CC"/>
    <w:pPr>
      <w:spacing w:after="0" w:line="240" w:lineRule="auto"/>
    </w:pPr>
    <w:rPr>
      <w:color w:val="99182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202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202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202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202C" w:themeColor="accent4"/>
        </w:tcBorders>
        <w:shd w:val="clear" w:color="auto" w:fill="FFFFFF" w:themeFill="background1"/>
      </w:tcPr>
    </w:tblStylePr>
    <w:tblStylePr w:type="band1Vert">
      <w:tblPr/>
      <w:tcPr>
        <w:shd w:val="clear" w:color="auto" w:fill="F7CFD2" w:themeFill="accent4" w:themeFillTint="33"/>
      </w:tcPr>
    </w:tblStylePr>
    <w:tblStylePr w:type="band1Horz">
      <w:tblPr/>
      <w:tcPr>
        <w:shd w:val="clear" w:color="auto" w:fill="F7CF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a4"/>
    <w:uiPriority w:val="52"/>
    <w:rsid w:val="00F527CC"/>
    <w:pPr>
      <w:spacing w:after="0" w:line="240" w:lineRule="auto"/>
    </w:pPr>
    <w:rPr>
      <w:color w:val="003F7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5A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5A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5A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5AA" w:themeColor="accent5"/>
        </w:tcBorders>
        <w:shd w:val="clear" w:color="auto" w:fill="FFFFFF" w:themeFill="background1"/>
      </w:tcPr>
    </w:tblStylePr>
    <w:tblStylePr w:type="band1Vert">
      <w:tblPr/>
      <w:tcPr>
        <w:shd w:val="clear" w:color="auto" w:fill="BBDCFF" w:themeFill="accent5" w:themeFillTint="33"/>
      </w:tcPr>
    </w:tblStylePr>
    <w:tblStylePr w:type="band1Horz">
      <w:tblPr/>
      <w:tcPr>
        <w:shd w:val="clear" w:color="auto" w:fill="BBD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a4"/>
    <w:uiPriority w:val="52"/>
    <w:rsid w:val="00F527CC"/>
    <w:pPr>
      <w:spacing w:after="0" w:line="240" w:lineRule="auto"/>
    </w:pPr>
    <w:rPr>
      <w:color w:val="D884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A2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A2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A2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A22" w:themeColor="accent6"/>
        </w:tcBorders>
        <w:shd w:val="clear" w:color="auto" w:fill="FFFFFF" w:themeFill="background1"/>
      </w:tcPr>
    </w:tblStylePr>
    <w:tblStylePr w:type="band1Vert">
      <w:tblPr/>
      <w:tcPr>
        <w:shd w:val="clear" w:color="auto" w:fill="FFEDD2" w:themeFill="accent6" w:themeFillTint="33"/>
      </w:tcPr>
    </w:tblStylePr>
    <w:tblStylePr w:type="band1Horz">
      <w:tblPr/>
      <w:tcPr>
        <w:shd w:val="clear" w:color="auto" w:fill="FFED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5">
    <w:name w:val="macro"/>
    <w:link w:val="affff6"/>
    <w:uiPriority w:val="99"/>
    <w:semiHidden/>
    <w:unhideWhenUsed/>
    <w:rsid w:val="00F527CC"/>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sz w:val="20"/>
      <w:szCs w:val="20"/>
      <w:lang w:val="en-US"/>
    </w:rPr>
  </w:style>
  <w:style w:type="character" w:customStyle="1" w:styleId="affff6">
    <w:name w:val="Текст макроса Знак"/>
    <w:basedOn w:val="a3"/>
    <w:link w:val="affff5"/>
    <w:uiPriority w:val="99"/>
    <w:semiHidden/>
    <w:rsid w:val="00F527CC"/>
    <w:rPr>
      <w:rFonts w:ascii="Consolas" w:hAnsi="Consolas"/>
      <w:sz w:val="20"/>
      <w:szCs w:val="20"/>
      <w:lang w:val="en-US"/>
    </w:rPr>
  </w:style>
  <w:style w:type="table" w:styleId="13">
    <w:name w:val="Medium Grid 1"/>
    <w:basedOn w:val="a4"/>
    <w:uiPriority w:val="67"/>
    <w:semiHidden/>
    <w:unhideWhenUsed/>
    <w:rsid w:val="00F527CC"/>
    <w:pPr>
      <w:spacing w:after="0" w:line="240" w:lineRule="auto"/>
    </w:pPr>
    <w:tblPr>
      <w:tblStyleRowBandSize w:val="1"/>
      <w:tblStyleColBandSize w:val="1"/>
      <w:tblBorders>
        <w:top w:val="single" w:sz="8"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single" w:sz="8" w:space="0" w:color="6F6F6F" w:themeColor="text1" w:themeTint="BF"/>
        <w:insideV w:val="single" w:sz="8" w:space="0" w:color="6F6F6F" w:themeColor="text1" w:themeTint="BF"/>
      </w:tblBorders>
    </w:tblPr>
    <w:tcPr>
      <w:shd w:val="clear" w:color="auto" w:fill="CFCFCF" w:themeFill="text1" w:themeFillTint="3F"/>
    </w:tcPr>
    <w:tblStylePr w:type="firstRow">
      <w:rPr>
        <w:b/>
        <w:bCs/>
      </w:rPr>
    </w:tblStylePr>
    <w:tblStylePr w:type="lastRow">
      <w:rPr>
        <w:b/>
        <w:bCs/>
      </w:rPr>
      <w:tblPr/>
      <w:tcPr>
        <w:tcBorders>
          <w:top w:val="single" w:sz="18" w:space="0" w:color="6F6F6F" w:themeColor="text1" w:themeTint="BF"/>
        </w:tcBorders>
      </w:tcPr>
    </w:tblStylePr>
    <w:tblStylePr w:type="firstCol">
      <w:rPr>
        <w:b/>
        <w:bCs/>
      </w:rPr>
    </w:tblStylePr>
    <w:tblStylePr w:type="lastCol">
      <w:rPr>
        <w:b/>
        <w:bCs/>
      </w:rPr>
    </w:tblStylePr>
    <w:tblStylePr w:type="band1Vert">
      <w:tblPr/>
      <w:tcPr>
        <w:shd w:val="clear" w:color="auto" w:fill="9F9F9F" w:themeFill="text1" w:themeFillTint="7F"/>
      </w:tcPr>
    </w:tblStylePr>
    <w:tblStylePr w:type="band1Horz">
      <w:tblPr/>
      <w:tcPr>
        <w:shd w:val="clear" w:color="auto" w:fill="9F9F9F" w:themeFill="text1" w:themeFillTint="7F"/>
      </w:tcPr>
    </w:tblStylePr>
  </w:style>
  <w:style w:type="table" w:styleId="1-1">
    <w:name w:val="Medium Grid 1 Accent 1"/>
    <w:basedOn w:val="a4"/>
    <w:uiPriority w:val="67"/>
    <w:semiHidden/>
    <w:unhideWhenUsed/>
    <w:rsid w:val="00F527CC"/>
    <w:pPr>
      <w:spacing w:after="0" w:line="240" w:lineRule="auto"/>
    </w:pPr>
    <w:tblPr>
      <w:tblStyleRowBandSize w:val="1"/>
      <w:tblStyleColBandSize w:val="1"/>
      <w:tblBorders>
        <w:top w:val="single" w:sz="8"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single" w:sz="8" w:space="0" w:color="D5D5D7" w:themeColor="accent1" w:themeTint="BF"/>
        <w:insideV w:val="single" w:sz="8" w:space="0" w:color="D5D5D7" w:themeColor="accent1" w:themeTint="BF"/>
      </w:tblBorders>
    </w:tblPr>
    <w:tcPr>
      <w:shd w:val="clear" w:color="auto" w:fill="F1F1F2" w:themeFill="accent1" w:themeFillTint="3F"/>
    </w:tcPr>
    <w:tblStylePr w:type="firstRow">
      <w:rPr>
        <w:b/>
        <w:bCs/>
      </w:rPr>
    </w:tblStylePr>
    <w:tblStylePr w:type="lastRow">
      <w:rPr>
        <w:b/>
        <w:bCs/>
      </w:rPr>
      <w:tblPr/>
      <w:tcPr>
        <w:tcBorders>
          <w:top w:val="single" w:sz="18" w:space="0" w:color="D5D5D7" w:themeColor="accent1" w:themeTint="BF"/>
        </w:tcBorders>
      </w:tcPr>
    </w:tblStylePr>
    <w:tblStylePr w:type="firstCol">
      <w:rPr>
        <w:b/>
        <w:bCs/>
      </w:rPr>
    </w:tblStylePr>
    <w:tblStylePr w:type="lastCol">
      <w:rPr>
        <w:b/>
        <w:bCs/>
      </w:rPr>
    </w:tblStylePr>
    <w:tblStylePr w:type="band1Vert">
      <w:tblPr/>
      <w:tcPr>
        <w:shd w:val="clear" w:color="auto" w:fill="E3E3E4" w:themeFill="accent1" w:themeFillTint="7F"/>
      </w:tcPr>
    </w:tblStylePr>
    <w:tblStylePr w:type="band1Horz">
      <w:tblPr/>
      <w:tcPr>
        <w:shd w:val="clear" w:color="auto" w:fill="E3E3E4" w:themeFill="accent1" w:themeFillTint="7F"/>
      </w:tcPr>
    </w:tblStylePr>
  </w:style>
  <w:style w:type="table" w:styleId="1-2">
    <w:name w:val="Medium Grid 1 Accent 2"/>
    <w:basedOn w:val="a4"/>
    <w:uiPriority w:val="67"/>
    <w:semiHidden/>
    <w:unhideWhenUsed/>
    <w:rsid w:val="00F527CC"/>
    <w:pPr>
      <w:spacing w:after="0" w:line="240" w:lineRule="auto"/>
    </w:pPr>
    <w:tblPr>
      <w:tblStyleRowBandSize w:val="1"/>
      <w:tblStyleColBandSize w:val="1"/>
      <w:tblBorders>
        <w:top w:val="single" w:sz="8"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single" w:sz="8" w:space="0" w:color="ADAFB1" w:themeColor="accent2" w:themeTint="BF"/>
        <w:insideV w:val="single" w:sz="8" w:space="0" w:color="ADAFB1" w:themeColor="accent2" w:themeTint="BF"/>
      </w:tblBorders>
    </w:tblPr>
    <w:tcPr>
      <w:shd w:val="clear" w:color="auto" w:fill="E4E4E5" w:themeFill="accent2" w:themeFillTint="3F"/>
    </w:tcPr>
    <w:tblStylePr w:type="firstRow">
      <w:rPr>
        <w:b/>
        <w:bCs/>
      </w:rPr>
    </w:tblStylePr>
    <w:tblStylePr w:type="lastRow">
      <w:rPr>
        <w:b/>
        <w:bCs/>
      </w:rPr>
      <w:tblPr/>
      <w:tcPr>
        <w:tcBorders>
          <w:top w:val="single" w:sz="18" w:space="0" w:color="ADAFB1" w:themeColor="accent2" w:themeTint="BF"/>
        </w:tcBorders>
      </w:tcPr>
    </w:tblStylePr>
    <w:tblStylePr w:type="firstCol">
      <w:rPr>
        <w:b/>
        <w:bCs/>
      </w:rPr>
    </w:tblStylePr>
    <w:tblStylePr w:type="lastCol">
      <w:rPr>
        <w:b/>
        <w:bCs/>
      </w:rPr>
    </w:tblStylePr>
    <w:tblStylePr w:type="band1Vert">
      <w:tblPr/>
      <w:tcPr>
        <w:shd w:val="clear" w:color="auto" w:fill="C9CACB" w:themeFill="accent2" w:themeFillTint="7F"/>
      </w:tcPr>
    </w:tblStylePr>
    <w:tblStylePr w:type="band1Horz">
      <w:tblPr/>
      <w:tcPr>
        <w:shd w:val="clear" w:color="auto" w:fill="C9CACB" w:themeFill="accent2" w:themeFillTint="7F"/>
      </w:tcPr>
    </w:tblStylePr>
  </w:style>
  <w:style w:type="table" w:styleId="1-3">
    <w:name w:val="Medium Grid 1 Accent 3"/>
    <w:basedOn w:val="a4"/>
    <w:uiPriority w:val="67"/>
    <w:semiHidden/>
    <w:unhideWhenUsed/>
    <w:rsid w:val="00F527CC"/>
    <w:pPr>
      <w:spacing w:after="0" w:line="240" w:lineRule="auto"/>
    </w:pPr>
    <w:tblPr>
      <w:tblStyleRowBandSize w:val="1"/>
      <w:tblStyleColBandSize w:val="1"/>
      <w:tblBorders>
        <w:top w:val="single" w:sz="8"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single" w:sz="8" w:space="0" w:color="898A8C" w:themeColor="accent3" w:themeTint="BF"/>
        <w:insideV w:val="single" w:sz="8" w:space="0" w:color="898A8C" w:themeColor="accent3" w:themeTint="BF"/>
      </w:tblBorders>
    </w:tblPr>
    <w:tcPr>
      <w:shd w:val="clear" w:color="auto" w:fill="D8D8D9" w:themeFill="accent3" w:themeFillTint="3F"/>
    </w:tcPr>
    <w:tblStylePr w:type="firstRow">
      <w:rPr>
        <w:b/>
        <w:bCs/>
      </w:rPr>
    </w:tblStylePr>
    <w:tblStylePr w:type="lastRow">
      <w:rPr>
        <w:b/>
        <w:bCs/>
      </w:rPr>
      <w:tblPr/>
      <w:tcPr>
        <w:tcBorders>
          <w:top w:val="single" w:sz="18" w:space="0" w:color="898A8C" w:themeColor="accent3" w:themeTint="BF"/>
        </w:tcBorders>
      </w:tcPr>
    </w:tblStylePr>
    <w:tblStylePr w:type="firstCol">
      <w:rPr>
        <w:b/>
        <w:bCs/>
      </w:rPr>
    </w:tblStylePr>
    <w:tblStylePr w:type="lastCol">
      <w:rPr>
        <w:b/>
        <w:bCs/>
      </w:rPr>
    </w:tblStylePr>
    <w:tblStylePr w:type="band1Vert">
      <w:tblPr/>
      <w:tcPr>
        <w:shd w:val="clear" w:color="auto" w:fill="B0B1B3" w:themeFill="accent3" w:themeFillTint="7F"/>
      </w:tcPr>
    </w:tblStylePr>
    <w:tblStylePr w:type="band1Horz">
      <w:tblPr/>
      <w:tcPr>
        <w:shd w:val="clear" w:color="auto" w:fill="B0B1B3" w:themeFill="accent3" w:themeFillTint="7F"/>
      </w:tcPr>
    </w:tblStylePr>
  </w:style>
  <w:style w:type="table" w:styleId="1-4">
    <w:name w:val="Medium Grid 1 Accent 4"/>
    <w:basedOn w:val="a4"/>
    <w:uiPriority w:val="67"/>
    <w:semiHidden/>
    <w:unhideWhenUsed/>
    <w:rsid w:val="00F527CC"/>
    <w:pPr>
      <w:spacing w:after="0" w:line="240" w:lineRule="auto"/>
    </w:pPr>
    <w:tblPr>
      <w:tblStyleRowBandSize w:val="1"/>
      <w:tblStyleColBandSize w:val="1"/>
      <w:tblBorders>
        <w:top w:val="single" w:sz="8"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single" w:sz="8" w:space="0" w:color="E34E57" w:themeColor="accent4" w:themeTint="BF"/>
        <w:insideV w:val="single" w:sz="8" w:space="0" w:color="E34E57" w:themeColor="accent4" w:themeTint="BF"/>
      </w:tblBorders>
    </w:tblPr>
    <w:tcPr>
      <w:shd w:val="clear" w:color="auto" w:fill="F6C4C7" w:themeFill="accent4" w:themeFillTint="3F"/>
    </w:tcPr>
    <w:tblStylePr w:type="firstRow">
      <w:rPr>
        <w:b/>
        <w:bCs/>
      </w:rPr>
    </w:tblStylePr>
    <w:tblStylePr w:type="lastRow">
      <w:rPr>
        <w:b/>
        <w:bCs/>
      </w:rPr>
      <w:tblPr/>
      <w:tcPr>
        <w:tcBorders>
          <w:top w:val="single" w:sz="18" w:space="0" w:color="E34E57" w:themeColor="accent4" w:themeTint="BF"/>
        </w:tcBorders>
      </w:tcPr>
    </w:tblStylePr>
    <w:tblStylePr w:type="firstCol">
      <w:rPr>
        <w:b/>
        <w:bCs/>
      </w:rPr>
    </w:tblStylePr>
    <w:tblStylePr w:type="lastCol">
      <w:rPr>
        <w:b/>
        <w:bCs/>
      </w:rPr>
    </w:tblStylePr>
    <w:tblStylePr w:type="band1Vert">
      <w:tblPr/>
      <w:tcPr>
        <w:shd w:val="clear" w:color="auto" w:fill="EC898F" w:themeFill="accent4" w:themeFillTint="7F"/>
      </w:tcPr>
    </w:tblStylePr>
    <w:tblStylePr w:type="band1Horz">
      <w:tblPr/>
      <w:tcPr>
        <w:shd w:val="clear" w:color="auto" w:fill="EC898F" w:themeFill="accent4" w:themeFillTint="7F"/>
      </w:tcPr>
    </w:tblStylePr>
  </w:style>
  <w:style w:type="table" w:styleId="1-5">
    <w:name w:val="Medium Grid 1 Accent 5"/>
    <w:basedOn w:val="a4"/>
    <w:uiPriority w:val="67"/>
    <w:semiHidden/>
    <w:unhideWhenUsed/>
    <w:rsid w:val="00F527CC"/>
    <w:pPr>
      <w:spacing w:after="0" w:line="240" w:lineRule="auto"/>
    </w:pPr>
    <w:tblPr>
      <w:tblStyleRowBandSize w:val="1"/>
      <w:tblStyleColBandSize w:val="1"/>
      <w:tblBorders>
        <w:top w:val="single" w:sz="8"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single" w:sz="8" w:space="0" w:color="007FFF" w:themeColor="accent5" w:themeTint="BF"/>
        <w:insideV w:val="single" w:sz="8" w:space="0" w:color="007FFF" w:themeColor="accent5" w:themeTint="BF"/>
      </w:tblBorders>
    </w:tblPr>
    <w:tcPr>
      <w:shd w:val="clear" w:color="auto" w:fill="ABD4FF" w:themeFill="accent5" w:themeFillTint="3F"/>
    </w:tcPr>
    <w:tblStylePr w:type="firstRow">
      <w:rPr>
        <w:b/>
        <w:bCs/>
      </w:rPr>
    </w:tblStylePr>
    <w:tblStylePr w:type="lastRow">
      <w:rPr>
        <w:b/>
        <w:bCs/>
      </w:rPr>
      <w:tblPr/>
      <w:tcPr>
        <w:tcBorders>
          <w:top w:val="single" w:sz="18" w:space="0" w:color="007FFF" w:themeColor="accent5" w:themeTint="BF"/>
        </w:tcBorders>
      </w:tcPr>
    </w:tblStylePr>
    <w:tblStylePr w:type="firstCol">
      <w:rPr>
        <w:b/>
        <w:bCs/>
      </w:rPr>
    </w:tblStylePr>
    <w:tblStylePr w:type="lastCol">
      <w:rPr>
        <w:b/>
        <w:bCs/>
      </w:rPr>
    </w:tblStylePr>
    <w:tblStylePr w:type="band1Vert">
      <w:tblPr/>
      <w:tcPr>
        <w:shd w:val="clear" w:color="auto" w:fill="55AAFF" w:themeFill="accent5" w:themeFillTint="7F"/>
      </w:tcPr>
    </w:tblStylePr>
    <w:tblStylePr w:type="band1Horz">
      <w:tblPr/>
      <w:tcPr>
        <w:shd w:val="clear" w:color="auto" w:fill="55AAFF" w:themeFill="accent5" w:themeFillTint="7F"/>
      </w:tcPr>
    </w:tblStylePr>
  </w:style>
  <w:style w:type="table" w:styleId="1-6">
    <w:name w:val="Medium Grid 1 Accent 6"/>
    <w:basedOn w:val="a4"/>
    <w:uiPriority w:val="67"/>
    <w:semiHidden/>
    <w:unhideWhenUsed/>
    <w:rsid w:val="00F527CC"/>
    <w:pPr>
      <w:spacing w:after="0" w:line="240" w:lineRule="auto"/>
    </w:pPr>
    <w:tblPr>
      <w:tblStyleRowBandSize w:val="1"/>
      <w:tblStyleColBandSize w:val="1"/>
      <w:tblBorders>
        <w:top w:val="single" w:sz="8"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single" w:sz="8" w:space="0" w:color="FFBE59" w:themeColor="accent6" w:themeTint="BF"/>
        <w:insideV w:val="single" w:sz="8" w:space="0" w:color="FFBE59" w:themeColor="accent6" w:themeTint="BF"/>
      </w:tblBorders>
    </w:tblPr>
    <w:tcPr>
      <w:shd w:val="clear" w:color="auto" w:fill="FFE9C8" w:themeFill="accent6" w:themeFillTint="3F"/>
    </w:tcPr>
    <w:tblStylePr w:type="firstRow">
      <w:rPr>
        <w:b/>
        <w:bCs/>
      </w:rPr>
    </w:tblStylePr>
    <w:tblStylePr w:type="lastRow">
      <w:rPr>
        <w:b/>
        <w:bCs/>
      </w:rPr>
      <w:tblPr/>
      <w:tcPr>
        <w:tcBorders>
          <w:top w:val="single" w:sz="18" w:space="0" w:color="FFBE59" w:themeColor="accent6" w:themeTint="BF"/>
        </w:tcBorders>
      </w:tcPr>
    </w:tblStylePr>
    <w:tblStylePr w:type="firstCol">
      <w:rPr>
        <w:b/>
        <w:bCs/>
      </w:rPr>
    </w:tblStylePr>
    <w:tblStylePr w:type="lastCol">
      <w:rPr>
        <w:b/>
        <w:bCs/>
      </w:rPr>
    </w:tblStylePr>
    <w:tblStylePr w:type="band1Vert">
      <w:tblPr/>
      <w:tcPr>
        <w:shd w:val="clear" w:color="auto" w:fill="FFD490" w:themeFill="accent6" w:themeFillTint="7F"/>
      </w:tcPr>
    </w:tblStylePr>
    <w:tblStylePr w:type="band1Horz">
      <w:tblPr/>
      <w:tcPr>
        <w:shd w:val="clear" w:color="auto" w:fill="FFD490" w:themeFill="accent6" w:themeFillTint="7F"/>
      </w:tcPr>
    </w:tblStylePr>
  </w:style>
  <w:style w:type="table" w:styleId="2f0">
    <w:name w:val="Medium Grid 2"/>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insideH w:val="single" w:sz="8" w:space="0" w:color="404040" w:themeColor="text1"/>
        <w:insideV w:val="single" w:sz="8" w:space="0" w:color="404040" w:themeColor="text1"/>
      </w:tblBorders>
    </w:tblPr>
    <w:tcPr>
      <w:shd w:val="clear" w:color="auto" w:fill="CFCFCF" w:themeFill="text1" w:themeFillTint="3F"/>
    </w:tcPr>
    <w:tblStylePr w:type="firstRow">
      <w:rPr>
        <w:b/>
        <w:bCs/>
        <w:color w:val="404040" w:themeColor="text1"/>
      </w:rPr>
      <w:tblPr/>
      <w:tcPr>
        <w:shd w:val="clear" w:color="auto" w:fill="ECECEC" w:themeFill="text1"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D8D8D8" w:themeFill="text1" w:themeFillTint="33"/>
      </w:tcPr>
    </w:tblStylePr>
    <w:tblStylePr w:type="band1Vert">
      <w:tblPr/>
      <w:tcPr>
        <w:shd w:val="clear" w:color="auto" w:fill="9F9F9F" w:themeFill="text1" w:themeFillTint="7F"/>
      </w:tcPr>
    </w:tblStylePr>
    <w:tblStylePr w:type="band1Horz">
      <w:tblPr/>
      <w:tcPr>
        <w:tcBorders>
          <w:insideH w:val="single" w:sz="6" w:space="0" w:color="404040" w:themeColor="text1"/>
          <w:insideV w:val="single" w:sz="6" w:space="0" w:color="404040" w:themeColor="text1"/>
        </w:tcBorders>
        <w:shd w:val="clear" w:color="auto" w:fill="9F9F9F" w:themeFill="text1" w:themeFillTint="7F"/>
      </w:tcPr>
    </w:tblStylePr>
    <w:tblStylePr w:type="nwCell">
      <w:tblPr/>
      <w:tcPr>
        <w:shd w:val="clear" w:color="auto" w:fill="FFFFFF" w:themeFill="background1"/>
      </w:tcPr>
    </w:tblStylePr>
  </w:style>
  <w:style w:type="table" w:styleId="2-1">
    <w:name w:val="Medium Grid 2 Accent 1"/>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insideH w:val="single" w:sz="8" w:space="0" w:color="C7C8CA" w:themeColor="accent1"/>
        <w:insideV w:val="single" w:sz="8" w:space="0" w:color="C7C8CA" w:themeColor="accent1"/>
      </w:tblBorders>
    </w:tblPr>
    <w:tcPr>
      <w:shd w:val="clear" w:color="auto" w:fill="F1F1F2" w:themeFill="accent1" w:themeFillTint="3F"/>
    </w:tcPr>
    <w:tblStylePr w:type="firstRow">
      <w:rPr>
        <w:b/>
        <w:bCs/>
        <w:color w:val="404040" w:themeColor="text1"/>
      </w:rPr>
      <w:tblPr/>
      <w:tcPr>
        <w:shd w:val="clear" w:color="auto" w:fill="F9F9F9" w:themeFill="accent1"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F3F3F4" w:themeFill="accent1" w:themeFillTint="33"/>
      </w:tcPr>
    </w:tblStylePr>
    <w:tblStylePr w:type="band1Vert">
      <w:tblPr/>
      <w:tcPr>
        <w:shd w:val="clear" w:color="auto" w:fill="E3E3E4" w:themeFill="accent1" w:themeFillTint="7F"/>
      </w:tcPr>
    </w:tblStylePr>
    <w:tblStylePr w:type="band1Horz">
      <w:tblPr/>
      <w:tcPr>
        <w:tcBorders>
          <w:insideH w:val="single" w:sz="6" w:space="0" w:color="C7C8CA" w:themeColor="accent1"/>
          <w:insideV w:val="single" w:sz="6" w:space="0" w:color="C7C8CA" w:themeColor="accent1"/>
        </w:tcBorders>
        <w:shd w:val="clear" w:color="auto" w:fill="E3E3E4" w:themeFill="accent1" w:themeFillTint="7F"/>
      </w:tcPr>
    </w:tblStylePr>
    <w:tblStylePr w:type="nwCell">
      <w:tblPr/>
      <w:tcPr>
        <w:shd w:val="clear" w:color="auto" w:fill="FFFFFF" w:themeFill="background1"/>
      </w:tcPr>
    </w:tblStylePr>
  </w:style>
  <w:style w:type="table" w:styleId="2-2">
    <w:name w:val="Medium Grid 2 Accent 2"/>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insideH w:val="single" w:sz="8" w:space="0" w:color="939598" w:themeColor="accent2"/>
        <w:insideV w:val="single" w:sz="8" w:space="0" w:color="939598" w:themeColor="accent2"/>
      </w:tblBorders>
    </w:tblPr>
    <w:tcPr>
      <w:shd w:val="clear" w:color="auto" w:fill="E4E4E5" w:themeFill="accent2" w:themeFillTint="3F"/>
    </w:tcPr>
    <w:tblStylePr w:type="firstRow">
      <w:rPr>
        <w:b/>
        <w:bCs/>
        <w:color w:val="404040" w:themeColor="text1"/>
      </w:rPr>
      <w:tblPr/>
      <w:tcPr>
        <w:shd w:val="clear" w:color="auto" w:fill="F4F4F4" w:themeFill="accent2"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E9E9EA" w:themeFill="accent2" w:themeFillTint="33"/>
      </w:tcPr>
    </w:tblStylePr>
    <w:tblStylePr w:type="band1Vert">
      <w:tblPr/>
      <w:tcPr>
        <w:shd w:val="clear" w:color="auto" w:fill="C9CACB" w:themeFill="accent2" w:themeFillTint="7F"/>
      </w:tcPr>
    </w:tblStylePr>
    <w:tblStylePr w:type="band1Horz">
      <w:tblPr/>
      <w:tcPr>
        <w:tcBorders>
          <w:insideH w:val="single" w:sz="6" w:space="0" w:color="939598" w:themeColor="accent2"/>
          <w:insideV w:val="single" w:sz="6" w:space="0" w:color="939598" w:themeColor="accent2"/>
        </w:tcBorders>
        <w:shd w:val="clear" w:color="auto" w:fill="C9CACB" w:themeFill="accent2" w:themeFillTint="7F"/>
      </w:tcPr>
    </w:tblStylePr>
    <w:tblStylePr w:type="nwCell">
      <w:tblPr/>
      <w:tcPr>
        <w:shd w:val="clear" w:color="auto" w:fill="FFFFFF" w:themeFill="background1"/>
      </w:tcPr>
    </w:tblStylePr>
  </w:style>
  <w:style w:type="table" w:styleId="2-3">
    <w:name w:val="Medium Grid 2 Accent 3"/>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insideH w:val="single" w:sz="8" w:space="0" w:color="636466" w:themeColor="accent3"/>
        <w:insideV w:val="single" w:sz="8" w:space="0" w:color="636466" w:themeColor="accent3"/>
      </w:tblBorders>
    </w:tblPr>
    <w:tcPr>
      <w:shd w:val="clear" w:color="auto" w:fill="D8D8D9" w:themeFill="accent3" w:themeFillTint="3F"/>
    </w:tcPr>
    <w:tblStylePr w:type="firstRow">
      <w:rPr>
        <w:b/>
        <w:bCs/>
        <w:color w:val="404040" w:themeColor="text1"/>
      </w:rPr>
      <w:tblPr/>
      <w:tcPr>
        <w:shd w:val="clear" w:color="auto" w:fill="EFEFF0" w:themeFill="accent3"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DFDFE0" w:themeFill="accent3" w:themeFillTint="33"/>
      </w:tcPr>
    </w:tblStylePr>
    <w:tblStylePr w:type="band1Vert">
      <w:tblPr/>
      <w:tcPr>
        <w:shd w:val="clear" w:color="auto" w:fill="B0B1B3" w:themeFill="accent3" w:themeFillTint="7F"/>
      </w:tcPr>
    </w:tblStylePr>
    <w:tblStylePr w:type="band1Horz">
      <w:tblPr/>
      <w:tcPr>
        <w:tcBorders>
          <w:insideH w:val="single" w:sz="6" w:space="0" w:color="636466" w:themeColor="accent3"/>
          <w:insideV w:val="single" w:sz="6" w:space="0" w:color="636466" w:themeColor="accent3"/>
        </w:tcBorders>
        <w:shd w:val="clear" w:color="auto" w:fill="B0B1B3" w:themeFill="accent3" w:themeFillTint="7F"/>
      </w:tcPr>
    </w:tblStylePr>
    <w:tblStylePr w:type="nwCell">
      <w:tblPr/>
      <w:tcPr>
        <w:shd w:val="clear" w:color="auto" w:fill="FFFFFF" w:themeFill="background1"/>
      </w:tcPr>
    </w:tblStylePr>
  </w:style>
  <w:style w:type="table" w:styleId="2-4">
    <w:name w:val="Medium Grid 2 Accent 4"/>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insideH w:val="single" w:sz="8" w:space="0" w:color="CD202C" w:themeColor="accent4"/>
        <w:insideV w:val="single" w:sz="8" w:space="0" w:color="CD202C" w:themeColor="accent4"/>
      </w:tblBorders>
    </w:tblPr>
    <w:tcPr>
      <w:shd w:val="clear" w:color="auto" w:fill="F6C4C7" w:themeFill="accent4" w:themeFillTint="3F"/>
    </w:tcPr>
    <w:tblStylePr w:type="firstRow">
      <w:rPr>
        <w:b/>
        <w:bCs/>
        <w:color w:val="404040" w:themeColor="text1"/>
      </w:rPr>
      <w:tblPr/>
      <w:tcPr>
        <w:shd w:val="clear" w:color="auto" w:fill="FBE7E8" w:themeFill="accent4"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F7CFD2" w:themeFill="accent4" w:themeFillTint="33"/>
      </w:tcPr>
    </w:tblStylePr>
    <w:tblStylePr w:type="band1Vert">
      <w:tblPr/>
      <w:tcPr>
        <w:shd w:val="clear" w:color="auto" w:fill="EC898F" w:themeFill="accent4" w:themeFillTint="7F"/>
      </w:tcPr>
    </w:tblStylePr>
    <w:tblStylePr w:type="band1Horz">
      <w:tblPr/>
      <w:tcPr>
        <w:tcBorders>
          <w:insideH w:val="single" w:sz="6" w:space="0" w:color="CD202C" w:themeColor="accent4"/>
          <w:insideV w:val="single" w:sz="6" w:space="0" w:color="CD202C" w:themeColor="accent4"/>
        </w:tcBorders>
        <w:shd w:val="clear" w:color="auto" w:fill="EC898F" w:themeFill="accent4" w:themeFillTint="7F"/>
      </w:tcPr>
    </w:tblStylePr>
    <w:tblStylePr w:type="nwCell">
      <w:tblPr/>
      <w:tcPr>
        <w:shd w:val="clear" w:color="auto" w:fill="FFFFFF" w:themeFill="background1"/>
      </w:tcPr>
    </w:tblStylePr>
  </w:style>
  <w:style w:type="table" w:styleId="2-5">
    <w:name w:val="Medium Grid 2 Accent 5"/>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insideH w:val="single" w:sz="8" w:space="0" w:color="0055AA" w:themeColor="accent5"/>
        <w:insideV w:val="single" w:sz="8" w:space="0" w:color="0055AA" w:themeColor="accent5"/>
      </w:tblBorders>
    </w:tblPr>
    <w:tcPr>
      <w:shd w:val="clear" w:color="auto" w:fill="ABD4FF" w:themeFill="accent5" w:themeFillTint="3F"/>
    </w:tcPr>
    <w:tblStylePr w:type="firstRow">
      <w:rPr>
        <w:b/>
        <w:bCs/>
        <w:color w:val="404040" w:themeColor="text1"/>
      </w:rPr>
      <w:tblPr/>
      <w:tcPr>
        <w:shd w:val="clear" w:color="auto" w:fill="DDEEFF" w:themeFill="accent5"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BBDCFF" w:themeFill="accent5" w:themeFillTint="33"/>
      </w:tcPr>
    </w:tblStylePr>
    <w:tblStylePr w:type="band1Vert">
      <w:tblPr/>
      <w:tcPr>
        <w:shd w:val="clear" w:color="auto" w:fill="55AAFF" w:themeFill="accent5" w:themeFillTint="7F"/>
      </w:tcPr>
    </w:tblStylePr>
    <w:tblStylePr w:type="band1Horz">
      <w:tblPr/>
      <w:tcPr>
        <w:tcBorders>
          <w:insideH w:val="single" w:sz="6" w:space="0" w:color="0055AA" w:themeColor="accent5"/>
          <w:insideV w:val="single" w:sz="6" w:space="0" w:color="0055AA" w:themeColor="accent5"/>
        </w:tcBorders>
        <w:shd w:val="clear" w:color="auto" w:fill="55AAFF" w:themeFill="accent5" w:themeFillTint="7F"/>
      </w:tcPr>
    </w:tblStylePr>
    <w:tblStylePr w:type="nwCell">
      <w:tblPr/>
      <w:tcPr>
        <w:shd w:val="clear" w:color="auto" w:fill="FFFFFF" w:themeFill="background1"/>
      </w:tcPr>
    </w:tblStylePr>
  </w:style>
  <w:style w:type="table" w:styleId="2-6">
    <w:name w:val="Medium Grid 2 Accent 6"/>
    <w:basedOn w:val="a4"/>
    <w:uiPriority w:val="68"/>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insideH w:val="single" w:sz="8" w:space="0" w:color="FFAA22" w:themeColor="accent6"/>
        <w:insideV w:val="single" w:sz="8" w:space="0" w:color="FFAA22" w:themeColor="accent6"/>
      </w:tblBorders>
    </w:tblPr>
    <w:tcPr>
      <w:shd w:val="clear" w:color="auto" w:fill="FFE9C8" w:themeFill="accent6" w:themeFillTint="3F"/>
    </w:tcPr>
    <w:tblStylePr w:type="firstRow">
      <w:rPr>
        <w:b/>
        <w:bCs/>
        <w:color w:val="404040" w:themeColor="text1"/>
      </w:rPr>
      <w:tblPr/>
      <w:tcPr>
        <w:shd w:val="clear" w:color="auto" w:fill="FFF6E9" w:themeFill="accent6" w:themeFillTint="19"/>
      </w:tcPr>
    </w:tblStylePr>
    <w:tblStylePr w:type="lastRow">
      <w:rPr>
        <w:b/>
        <w:bCs/>
        <w:color w:val="404040" w:themeColor="text1"/>
      </w:rPr>
      <w:tblPr/>
      <w:tcPr>
        <w:tcBorders>
          <w:top w:val="single" w:sz="12" w:space="0" w:color="404040" w:themeColor="text1"/>
          <w:left w:val="nil"/>
          <w:bottom w:val="nil"/>
          <w:right w:val="nil"/>
          <w:insideH w:val="nil"/>
          <w:insideV w:val="nil"/>
        </w:tcBorders>
        <w:shd w:val="clear" w:color="auto" w:fill="FFFFFF" w:themeFill="background1"/>
      </w:tcPr>
    </w:tblStylePr>
    <w:tblStylePr w:type="firstCol">
      <w:rPr>
        <w:b/>
        <w:bCs/>
        <w:color w:val="40404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404040" w:themeColor="text1"/>
      </w:rPr>
      <w:tblPr/>
      <w:tcPr>
        <w:tcBorders>
          <w:top w:val="nil"/>
          <w:left w:val="nil"/>
          <w:bottom w:val="nil"/>
          <w:right w:val="nil"/>
          <w:insideH w:val="nil"/>
          <w:insideV w:val="nil"/>
        </w:tcBorders>
        <w:shd w:val="clear" w:color="auto" w:fill="FFEDD2" w:themeFill="accent6" w:themeFillTint="33"/>
      </w:tcPr>
    </w:tblStylePr>
    <w:tblStylePr w:type="band1Vert">
      <w:tblPr/>
      <w:tcPr>
        <w:shd w:val="clear" w:color="auto" w:fill="FFD490" w:themeFill="accent6" w:themeFillTint="7F"/>
      </w:tcPr>
    </w:tblStylePr>
    <w:tblStylePr w:type="band1Horz">
      <w:tblPr/>
      <w:tcPr>
        <w:tcBorders>
          <w:insideH w:val="single" w:sz="6" w:space="0" w:color="FFAA22" w:themeColor="accent6"/>
          <w:insideV w:val="single" w:sz="6" w:space="0" w:color="FFAA22" w:themeColor="accent6"/>
        </w:tcBorders>
        <w:shd w:val="clear" w:color="auto" w:fill="FFD490" w:themeFill="accent6" w:themeFillTint="7F"/>
      </w:tcPr>
    </w:tblStylePr>
    <w:tblStylePr w:type="nwCell">
      <w:tblPr/>
      <w:tcPr>
        <w:shd w:val="clear" w:color="auto" w:fill="FFFFFF" w:themeFill="background1"/>
      </w:tcPr>
    </w:tblStylePr>
  </w:style>
  <w:style w:type="table" w:styleId="3b">
    <w:name w:val="Medium Grid 3"/>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4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4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4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4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9F9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9F9F" w:themeFill="text1" w:themeFillTint="7F"/>
      </w:tcPr>
    </w:tblStylePr>
  </w:style>
  <w:style w:type="table" w:styleId="3-1">
    <w:name w:val="Medium Grid 3 Accent 1"/>
    <w:basedOn w:val="a4"/>
    <w:uiPriority w:val="69"/>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C8C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C8C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C8C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C8C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4" w:themeFill="accent1" w:themeFillTint="7F"/>
      </w:tcPr>
    </w:tblStylePr>
  </w:style>
  <w:style w:type="table" w:styleId="3-2">
    <w:name w:val="Medium Grid 3 Accent 2"/>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4E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959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959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959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959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AC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ACB" w:themeFill="accent2" w:themeFillTint="7F"/>
      </w:tcPr>
    </w:tblStylePr>
  </w:style>
  <w:style w:type="table" w:styleId="3-3">
    <w:name w:val="Medium Grid 3 Accent 3"/>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8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646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646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646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646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B1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B1B3" w:themeFill="accent3" w:themeFillTint="7F"/>
      </w:tcPr>
    </w:tblStylePr>
  </w:style>
  <w:style w:type="table" w:styleId="3-4">
    <w:name w:val="Medium Grid 3 Accent 4"/>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C4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202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202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202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202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898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898F" w:themeFill="accent4" w:themeFillTint="7F"/>
      </w:tcPr>
    </w:tblStylePr>
  </w:style>
  <w:style w:type="table" w:styleId="3-5">
    <w:name w:val="Medium Grid 3 Accent 5"/>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D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5A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5A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5A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5A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A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AAFF" w:themeFill="accent5" w:themeFillTint="7F"/>
      </w:tcPr>
    </w:tblStylePr>
  </w:style>
  <w:style w:type="table" w:styleId="3-6">
    <w:name w:val="Medium Grid 3 Accent 6"/>
    <w:basedOn w:val="a4"/>
    <w:uiPriority w:val="69"/>
    <w:semiHidden/>
    <w:unhideWhenUsed/>
    <w:rsid w:val="00F527C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9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A2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A2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A2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A2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49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490" w:themeFill="accent6" w:themeFillTint="7F"/>
      </w:tcPr>
    </w:tblStylePr>
  </w:style>
  <w:style w:type="table" w:styleId="14">
    <w:name w:val="Medium List 1"/>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404040" w:themeColor="text1"/>
        <w:bottom w:val="single" w:sz="8" w:space="0" w:color="404040" w:themeColor="text1"/>
      </w:tblBorders>
    </w:tblPr>
    <w:tblStylePr w:type="firstRow">
      <w:rPr>
        <w:rFonts w:asciiTheme="majorHAnsi" w:eastAsiaTheme="majorEastAsia" w:hAnsiTheme="majorHAnsi" w:cstheme="majorBidi"/>
      </w:rPr>
      <w:tblPr/>
      <w:tcPr>
        <w:tcBorders>
          <w:top w:val="nil"/>
          <w:bottom w:val="single" w:sz="8" w:space="0" w:color="404040" w:themeColor="text1"/>
        </w:tcBorders>
      </w:tcPr>
    </w:tblStylePr>
    <w:tblStylePr w:type="lastRow">
      <w:rPr>
        <w:b/>
        <w:bCs/>
        <w:color w:val="FFFFFF" w:themeColor="text2"/>
      </w:rPr>
      <w:tblPr/>
      <w:tcPr>
        <w:tcBorders>
          <w:top w:val="single" w:sz="8" w:space="0" w:color="404040" w:themeColor="text1"/>
          <w:bottom w:val="single" w:sz="8" w:space="0" w:color="404040" w:themeColor="text1"/>
        </w:tcBorders>
      </w:tcPr>
    </w:tblStylePr>
    <w:tblStylePr w:type="firstCol">
      <w:rPr>
        <w:b/>
        <w:bCs/>
      </w:rPr>
    </w:tblStylePr>
    <w:tblStylePr w:type="lastCol">
      <w:rPr>
        <w:b/>
        <w:bCs/>
      </w:rPr>
      <w:tblPr/>
      <w:tcPr>
        <w:tcBorders>
          <w:top w:val="single" w:sz="8" w:space="0" w:color="404040" w:themeColor="text1"/>
          <w:bottom w:val="single" w:sz="8" w:space="0" w:color="404040" w:themeColor="text1"/>
        </w:tcBorders>
      </w:tcPr>
    </w:tblStylePr>
    <w:tblStylePr w:type="band1Vert">
      <w:tblPr/>
      <w:tcPr>
        <w:shd w:val="clear" w:color="auto" w:fill="CFCFCF" w:themeFill="text1" w:themeFillTint="3F"/>
      </w:tcPr>
    </w:tblStylePr>
    <w:tblStylePr w:type="band1Horz">
      <w:tblPr/>
      <w:tcPr>
        <w:shd w:val="clear" w:color="auto" w:fill="CFCFCF" w:themeFill="text1" w:themeFillTint="3F"/>
      </w:tcPr>
    </w:tblStylePr>
  </w:style>
  <w:style w:type="table" w:styleId="1-10">
    <w:name w:val="Medium List 1 Accent 1"/>
    <w:basedOn w:val="a4"/>
    <w:uiPriority w:val="65"/>
    <w:unhideWhenUsed/>
    <w:rsid w:val="00F527CC"/>
    <w:pPr>
      <w:spacing w:after="0" w:line="240" w:lineRule="auto"/>
    </w:pPr>
    <w:rPr>
      <w:color w:val="404040" w:themeColor="text1"/>
    </w:rPr>
    <w:tblPr>
      <w:tblStyleRowBandSize w:val="1"/>
      <w:tblStyleColBandSize w:val="1"/>
      <w:tblBorders>
        <w:top w:val="single" w:sz="8" w:space="0" w:color="C7C8CA" w:themeColor="accent1"/>
        <w:bottom w:val="single" w:sz="8" w:space="0" w:color="C7C8CA" w:themeColor="accent1"/>
      </w:tblBorders>
    </w:tblPr>
    <w:tblStylePr w:type="firstRow">
      <w:rPr>
        <w:rFonts w:asciiTheme="majorHAnsi" w:eastAsiaTheme="majorEastAsia" w:hAnsiTheme="majorHAnsi" w:cstheme="majorBidi"/>
      </w:rPr>
      <w:tblPr/>
      <w:tcPr>
        <w:tcBorders>
          <w:top w:val="nil"/>
          <w:bottom w:val="single" w:sz="8" w:space="0" w:color="C7C8CA" w:themeColor="accent1"/>
        </w:tcBorders>
      </w:tcPr>
    </w:tblStylePr>
    <w:tblStylePr w:type="lastRow">
      <w:rPr>
        <w:b/>
        <w:bCs/>
        <w:color w:val="FFFFFF" w:themeColor="text2"/>
      </w:rPr>
      <w:tblPr/>
      <w:tcPr>
        <w:tcBorders>
          <w:top w:val="single" w:sz="8" w:space="0" w:color="C7C8CA" w:themeColor="accent1"/>
          <w:bottom w:val="single" w:sz="8" w:space="0" w:color="C7C8CA" w:themeColor="accent1"/>
        </w:tcBorders>
      </w:tcPr>
    </w:tblStylePr>
    <w:tblStylePr w:type="firstCol">
      <w:rPr>
        <w:b/>
        <w:bCs/>
      </w:rPr>
    </w:tblStylePr>
    <w:tblStylePr w:type="lastCol">
      <w:rPr>
        <w:b/>
        <w:bCs/>
      </w:rPr>
      <w:tblPr/>
      <w:tcPr>
        <w:tcBorders>
          <w:top w:val="single" w:sz="8" w:space="0" w:color="C7C8CA" w:themeColor="accent1"/>
          <w:bottom w:val="single" w:sz="8" w:space="0" w:color="C7C8CA" w:themeColor="accent1"/>
        </w:tcBorders>
      </w:tcPr>
    </w:tblStylePr>
    <w:tblStylePr w:type="band1Vert">
      <w:tblPr/>
      <w:tcPr>
        <w:shd w:val="clear" w:color="auto" w:fill="F1F1F2" w:themeFill="accent1" w:themeFillTint="3F"/>
      </w:tcPr>
    </w:tblStylePr>
    <w:tblStylePr w:type="band1Horz">
      <w:tblPr/>
      <w:tcPr>
        <w:shd w:val="clear" w:color="auto" w:fill="F1F1F2" w:themeFill="accent1" w:themeFillTint="3F"/>
      </w:tcPr>
    </w:tblStylePr>
  </w:style>
  <w:style w:type="table" w:styleId="1-20">
    <w:name w:val="Medium List 1 Accent 2"/>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939598" w:themeColor="accent2"/>
        <w:bottom w:val="single" w:sz="8" w:space="0" w:color="939598" w:themeColor="accent2"/>
      </w:tblBorders>
    </w:tblPr>
    <w:tblStylePr w:type="firstRow">
      <w:rPr>
        <w:rFonts w:asciiTheme="majorHAnsi" w:eastAsiaTheme="majorEastAsia" w:hAnsiTheme="majorHAnsi" w:cstheme="majorBidi"/>
      </w:rPr>
      <w:tblPr/>
      <w:tcPr>
        <w:tcBorders>
          <w:top w:val="nil"/>
          <w:bottom w:val="single" w:sz="8" w:space="0" w:color="939598" w:themeColor="accent2"/>
        </w:tcBorders>
      </w:tcPr>
    </w:tblStylePr>
    <w:tblStylePr w:type="lastRow">
      <w:rPr>
        <w:b/>
        <w:bCs/>
        <w:color w:val="FFFFFF" w:themeColor="text2"/>
      </w:rPr>
      <w:tblPr/>
      <w:tcPr>
        <w:tcBorders>
          <w:top w:val="single" w:sz="8" w:space="0" w:color="939598" w:themeColor="accent2"/>
          <w:bottom w:val="single" w:sz="8" w:space="0" w:color="939598" w:themeColor="accent2"/>
        </w:tcBorders>
      </w:tcPr>
    </w:tblStylePr>
    <w:tblStylePr w:type="firstCol">
      <w:rPr>
        <w:b/>
        <w:bCs/>
      </w:rPr>
    </w:tblStylePr>
    <w:tblStylePr w:type="lastCol">
      <w:rPr>
        <w:b/>
        <w:bCs/>
      </w:rPr>
      <w:tblPr/>
      <w:tcPr>
        <w:tcBorders>
          <w:top w:val="single" w:sz="8" w:space="0" w:color="939598" w:themeColor="accent2"/>
          <w:bottom w:val="single" w:sz="8" w:space="0" w:color="939598" w:themeColor="accent2"/>
        </w:tcBorders>
      </w:tcPr>
    </w:tblStylePr>
    <w:tblStylePr w:type="band1Vert">
      <w:tblPr/>
      <w:tcPr>
        <w:shd w:val="clear" w:color="auto" w:fill="E4E4E5" w:themeFill="accent2" w:themeFillTint="3F"/>
      </w:tcPr>
    </w:tblStylePr>
    <w:tblStylePr w:type="band1Horz">
      <w:tblPr/>
      <w:tcPr>
        <w:shd w:val="clear" w:color="auto" w:fill="E4E4E5" w:themeFill="accent2" w:themeFillTint="3F"/>
      </w:tcPr>
    </w:tblStylePr>
  </w:style>
  <w:style w:type="table" w:styleId="1-30">
    <w:name w:val="Medium List 1 Accent 3"/>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636466" w:themeColor="accent3"/>
        <w:bottom w:val="single" w:sz="8" w:space="0" w:color="636466" w:themeColor="accent3"/>
      </w:tblBorders>
    </w:tblPr>
    <w:tblStylePr w:type="firstRow">
      <w:rPr>
        <w:rFonts w:asciiTheme="majorHAnsi" w:eastAsiaTheme="majorEastAsia" w:hAnsiTheme="majorHAnsi" w:cstheme="majorBidi"/>
      </w:rPr>
      <w:tblPr/>
      <w:tcPr>
        <w:tcBorders>
          <w:top w:val="nil"/>
          <w:bottom w:val="single" w:sz="8" w:space="0" w:color="636466" w:themeColor="accent3"/>
        </w:tcBorders>
      </w:tcPr>
    </w:tblStylePr>
    <w:tblStylePr w:type="lastRow">
      <w:rPr>
        <w:b/>
        <w:bCs/>
        <w:color w:val="FFFFFF" w:themeColor="text2"/>
      </w:rPr>
      <w:tblPr/>
      <w:tcPr>
        <w:tcBorders>
          <w:top w:val="single" w:sz="8" w:space="0" w:color="636466" w:themeColor="accent3"/>
          <w:bottom w:val="single" w:sz="8" w:space="0" w:color="636466" w:themeColor="accent3"/>
        </w:tcBorders>
      </w:tcPr>
    </w:tblStylePr>
    <w:tblStylePr w:type="firstCol">
      <w:rPr>
        <w:b/>
        <w:bCs/>
      </w:rPr>
    </w:tblStylePr>
    <w:tblStylePr w:type="lastCol">
      <w:rPr>
        <w:b/>
        <w:bCs/>
      </w:rPr>
      <w:tblPr/>
      <w:tcPr>
        <w:tcBorders>
          <w:top w:val="single" w:sz="8" w:space="0" w:color="636466" w:themeColor="accent3"/>
          <w:bottom w:val="single" w:sz="8" w:space="0" w:color="636466" w:themeColor="accent3"/>
        </w:tcBorders>
      </w:tcPr>
    </w:tblStylePr>
    <w:tblStylePr w:type="band1Vert">
      <w:tblPr/>
      <w:tcPr>
        <w:shd w:val="clear" w:color="auto" w:fill="D8D8D9" w:themeFill="accent3" w:themeFillTint="3F"/>
      </w:tcPr>
    </w:tblStylePr>
    <w:tblStylePr w:type="band1Horz">
      <w:tblPr/>
      <w:tcPr>
        <w:shd w:val="clear" w:color="auto" w:fill="D8D8D9" w:themeFill="accent3" w:themeFillTint="3F"/>
      </w:tcPr>
    </w:tblStylePr>
  </w:style>
  <w:style w:type="table" w:styleId="1-40">
    <w:name w:val="Medium List 1 Accent 4"/>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CD202C" w:themeColor="accent4"/>
        <w:bottom w:val="single" w:sz="8" w:space="0" w:color="CD202C" w:themeColor="accent4"/>
      </w:tblBorders>
    </w:tblPr>
    <w:tblStylePr w:type="firstRow">
      <w:rPr>
        <w:rFonts w:asciiTheme="majorHAnsi" w:eastAsiaTheme="majorEastAsia" w:hAnsiTheme="majorHAnsi" w:cstheme="majorBidi"/>
      </w:rPr>
      <w:tblPr/>
      <w:tcPr>
        <w:tcBorders>
          <w:top w:val="nil"/>
          <w:bottom w:val="single" w:sz="8" w:space="0" w:color="CD202C" w:themeColor="accent4"/>
        </w:tcBorders>
      </w:tcPr>
    </w:tblStylePr>
    <w:tblStylePr w:type="lastRow">
      <w:rPr>
        <w:b/>
        <w:bCs/>
        <w:color w:val="FFFFFF" w:themeColor="text2"/>
      </w:rPr>
      <w:tblPr/>
      <w:tcPr>
        <w:tcBorders>
          <w:top w:val="single" w:sz="8" w:space="0" w:color="CD202C" w:themeColor="accent4"/>
          <w:bottom w:val="single" w:sz="8" w:space="0" w:color="CD202C" w:themeColor="accent4"/>
        </w:tcBorders>
      </w:tcPr>
    </w:tblStylePr>
    <w:tblStylePr w:type="firstCol">
      <w:rPr>
        <w:b/>
        <w:bCs/>
      </w:rPr>
    </w:tblStylePr>
    <w:tblStylePr w:type="lastCol">
      <w:rPr>
        <w:b/>
        <w:bCs/>
      </w:rPr>
      <w:tblPr/>
      <w:tcPr>
        <w:tcBorders>
          <w:top w:val="single" w:sz="8" w:space="0" w:color="CD202C" w:themeColor="accent4"/>
          <w:bottom w:val="single" w:sz="8" w:space="0" w:color="CD202C" w:themeColor="accent4"/>
        </w:tcBorders>
      </w:tcPr>
    </w:tblStylePr>
    <w:tblStylePr w:type="band1Vert">
      <w:tblPr/>
      <w:tcPr>
        <w:shd w:val="clear" w:color="auto" w:fill="F6C4C7" w:themeFill="accent4" w:themeFillTint="3F"/>
      </w:tcPr>
    </w:tblStylePr>
    <w:tblStylePr w:type="band1Horz">
      <w:tblPr/>
      <w:tcPr>
        <w:shd w:val="clear" w:color="auto" w:fill="F6C4C7" w:themeFill="accent4" w:themeFillTint="3F"/>
      </w:tcPr>
    </w:tblStylePr>
  </w:style>
  <w:style w:type="table" w:styleId="1-50">
    <w:name w:val="Medium List 1 Accent 5"/>
    <w:basedOn w:val="a4"/>
    <w:uiPriority w:val="65"/>
    <w:semiHidden/>
    <w:unhideWhenUsed/>
    <w:rsid w:val="00F527CC"/>
    <w:pPr>
      <w:spacing w:after="0" w:line="240" w:lineRule="auto"/>
    </w:pPr>
    <w:rPr>
      <w:color w:val="404040" w:themeColor="text1"/>
    </w:rPr>
    <w:tblPr>
      <w:tblStyleRowBandSize w:val="1"/>
      <w:tblStyleColBandSize w:val="1"/>
      <w:tblBorders>
        <w:top w:val="single" w:sz="8" w:space="0" w:color="0055AA" w:themeColor="accent5"/>
        <w:bottom w:val="single" w:sz="8" w:space="0" w:color="0055AA" w:themeColor="accent5"/>
      </w:tblBorders>
    </w:tblPr>
    <w:tblStylePr w:type="firstRow">
      <w:rPr>
        <w:rFonts w:asciiTheme="majorHAnsi" w:eastAsiaTheme="majorEastAsia" w:hAnsiTheme="majorHAnsi" w:cstheme="majorBidi"/>
      </w:rPr>
      <w:tblPr/>
      <w:tcPr>
        <w:tcBorders>
          <w:top w:val="nil"/>
          <w:bottom w:val="single" w:sz="8" w:space="0" w:color="0055AA" w:themeColor="accent5"/>
        </w:tcBorders>
      </w:tcPr>
    </w:tblStylePr>
    <w:tblStylePr w:type="lastRow">
      <w:rPr>
        <w:b/>
        <w:bCs/>
        <w:color w:val="FFFFFF" w:themeColor="text2"/>
      </w:rPr>
      <w:tblPr/>
      <w:tcPr>
        <w:tcBorders>
          <w:top w:val="single" w:sz="8" w:space="0" w:color="0055AA" w:themeColor="accent5"/>
          <w:bottom w:val="single" w:sz="8" w:space="0" w:color="0055AA" w:themeColor="accent5"/>
        </w:tcBorders>
      </w:tcPr>
    </w:tblStylePr>
    <w:tblStylePr w:type="firstCol">
      <w:rPr>
        <w:b/>
        <w:bCs/>
      </w:rPr>
    </w:tblStylePr>
    <w:tblStylePr w:type="lastCol">
      <w:rPr>
        <w:b/>
        <w:bCs/>
      </w:rPr>
      <w:tblPr/>
      <w:tcPr>
        <w:tcBorders>
          <w:top w:val="single" w:sz="8" w:space="0" w:color="0055AA" w:themeColor="accent5"/>
          <w:bottom w:val="single" w:sz="8" w:space="0" w:color="0055AA" w:themeColor="accent5"/>
        </w:tcBorders>
      </w:tcPr>
    </w:tblStylePr>
    <w:tblStylePr w:type="band1Vert">
      <w:tblPr/>
      <w:tcPr>
        <w:shd w:val="clear" w:color="auto" w:fill="ABD4FF" w:themeFill="accent5" w:themeFillTint="3F"/>
      </w:tcPr>
    </w:tblStylePr>
    <w:tblStylePr w:type="band1Horz">
      <w:tblPr/>
      <w:tcPr>
        <w:shd w:val="clear" w:color="auto" w:fill="ABD4FF" w:themeFill="accent5" w:themeFillTint="3F"/>
      </w:tcPr>
    </w:tblStylePr>
  </w:style>
  <w:style w:type="table" w:styleId="1-60">
    <w:name w:val="Medium List 1 Accent 6"/>
    <w:basedOn w:val="a4"/>
    <w:uiPriority w:val="65"/>
    <w:unhideWhenUsed/>
    <w:rsid w:val="00F527CC"/>
    <w:pPr>
      <w:spacing w:after="0" w:line="240" w:lineRule="auto"/>
    </w:pPr>
    <w:rPr>
      <w:color w:val="404040" w:themeColor="text1"/>
    </w:rPr>
    <w:tblPr>
      <w:tblStyleRowBandSize w:val="1"/>
      <w:tblStyleColBandSize w:val="1"/>
      <w:tblBorders>
        <w:top w:val="single" w:sz="8" w:space="0" w:color="FFAA22" w:themeColor="accent6"/>
        <w:bottom w:val="single" w:sz="8" w:space="0" w:color="FFAA22" w:themeColor="accent6"/>
      </w:tblBorders>
    </w:tblPr>
    <w:tblStylePr w:type="firstRow">
      <w:rPr>
        <w:rFonts w:asciiTheme="majorHAnsi" w:eastAsiaTheme="majorEastAsia" w:hAnsiTheme="majorHAnsi" w:cstheme="majorBidi"/>
      </w:rPr>
      <w:tblPr/>
      <w:tcPr>
        <w:tcBorders>
          <w:top w:val="nil"/>
          <w:bottom w:val="single" w:sz="8" w:space="0" w:color="FFAA22" w:themeColor="accent6"/>
        </w:tcBorders>
      </w:tcPr>
    </w:tblStylePr>
    <w:tblStylePr w:type="lastRow">
      <w:rPr>
        <w:b/>
        <w:bCs/>
        <w:color w:val="FFFFFF" w:themeColor="text2"/>
      </w:rPr>
      <w:tblPr/>
      <w:tcPr>
        <w:tcBorders>
          <w:top w:val="single" w:sz="8" w:space="0" w:color="FFAA22" w:themeColor="accent6"/>
          <w:bottom w:val="single" w:sz="8" w:space="0" w:color="FFAA22" w:themeColor="accent6"/>
        </w:tcBorders>
      </w:tcPr>
    </w:tblStylePr>
    <w:tblStylePr w:type="firstCol">
      <w:rPr>
        <w:b/>
        <w:bCs/>
      </w:rPr>
    </w:tblStylePr>
    <w:tblStylePr w:type="lastCol">
      <w:rPr>
        <w:b/>
        <w:bCs/>
      </w:rPr>
      <w:tblPr/>
      <w:tcPr>
        <w:tcBorders>
          <w:top w:val="single" w:sz="8" w:space="0" w:color="FFAA22" w:themeColor="accent6"/>
          <w:bottom w:val="single" w:sz="8" w:space="0" w:color="FFAA22" w:themeColor="accent6"/>
        </w:tcBorders>
      </w:tcPr>
    </w:tblStylePr>
    <w:tblStylePr w:type="band1Vert">
      <w:tblPr/>
      <w:tcPr>
        <w:shd w:val="clear" w:color="auto" w:fill="FFE9C8" w:themeFill="accent6" w:themeFillTint="3F"/>
      </w:tcPr>
    </w:tblStylePr>
    <w:tblStylePr w:type="band1Horz">
      <w:tblPr/>
      <w:tcPr>
        <w:shd w:val="clear" w:color="auto" w:fill="FFE9C8" w:themeFill="accent6" w:themeFillTint="3F"/>
      </w:tcPr>
    </w:tblStylePr>
  </w:style>
  <w:style w:type="table" w:styleId="2f1">
    <w:name w:val="Medium List 2"/>
    <w:basedOn w:val="a4"/>
    <w:uiPriority w:val="66"/>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404040" w:themeColor="text1"/>
        <w:left w:val="single" w:sz="8" w:space="0" w:color="404040" w:themeColor="text1"/>
        <w:bottom w:val="single" w:sz="8" w:space="0" w:color="404040" w:themeColor="text1"/>
        <w:right w:val="single" w:sz="8" w:space="0" w:color="404040" w:themeColor="text1"/>
      </w:tblBorders>
    </w:tblPr>
    <w:tblStylePr w:type="firstRow">
      <w:rPr>
        <w:sz w:val="24"/>
        <w:szCs w:val="24"/>
      </w:rPr>
      <w:tblPr/>
      <w:tcPr>
        <w:tcBorders>
          <w:top w:val="nil"/>
          <w:left w:val="nil"/>
          <w:bottom w:val="single" w:sz="24" w:space="0" w:color="40404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40" w:themeColor="text1"/>
          <w:insideH w:val="nil"/>
          <w:insideV w:val="nil"/>
        </w:tcBorders>
        <w:shd w:val="clear" w:color="auto" w:fill="FFFFFF" w:themeFill="background1"/>
      </w:tcPr>
    </w:tblStylePr>
    <w:tblStylePr w:type="lastCol">
      <w:tblPr/>
      <w:tcPr>
        <w:tcBorders>
          <w:top w:val="nil"/>
          <w:left w:val="single" w:sz="8" w:space="0" w:color="40404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F" w:themeFill="text1" w:themeFillTint="3F"/>
      </w:tcPr>
    </w:tblStylePr>
    <w:tblStylePr w:type="band1Horz">
      <w:tblPr/>
      <w:tcPr>
        <w:tcBorders>
          <w:top w:val="nil"/>
          <w:bottom w:val="nil"/>
          <w:insideH w:val="nil"/>
          <w:insideV w:val="nil"/>
        </w:tcBorders>
        <w:shd w:val="clear" w:color="auto" w:fill="CFCFC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7C8CA" w:themeColor="accent1"/>
        <w:left w:val="single" w:sz="8" w:space="0" w:color="C7C8CA" w:themeColor="accent1"/>
        <w:bottom w:val="single" w:sz="8" w:space="0" w:color="C7C8CA" w:themeColor="accent1"/>
        <w:right w:val="single" w:sz="8" w:space="0" w:color="C7C8CA" w:themeColor="accent1"/>
      </w:tblBorders>
    </w:tblPr>
    <w:tblStylePr w:type="firstRow">
      <w:rPr>
        <w:sz w:val="24"/>
        <w:szCs w:val="24"/>
      </w:rPr>
      <w:tblPr/>
      <w:tcPr>
        <w:tcBorders>
          <w:top w:val="nil"/>
          <w:left w:val="nil"/>
          <w:bottom w:val="single" w:sz="24" w:space="0" w:color="C7C8C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8CA" w:themeColor="accent1"/>
          <w:insideH w:val="nil"/>
          <w:insideV w:val="nil"/>
        </w:tcBorders>
        <w:shd w:val="clear" w:color="auto" w:fill="FFFFFF" w:themeFill="background1"/>
      </w:tcPr>
    </w:tblStylePr>
    <w:tblStylePr w:type="lastCol">
      <w:tblPr/>
      <w:tcPr>
        <w:tcBorders>
          <w:top w:val="nil"/>
          <w:left w:val="single" w:sz="8" w:space="0" w:color="C7C8C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2" w:themeFill="accent1" w:themeFillTint="3F"/>
      </w:tcPr>
    </w:tblStylePr>
    <w:tblStylePr w:type="band1Horz">
      <w:tblPr/>
      <w:tcPr>
        <w:tcBorders>
          <w:top w:val="nil"/>
          <w:bottom w:val="nil"/>
          <w:insideH w:val="nil"/>
          <w:insideV w:val="nil"/>
        </w:tcBorders>
        <w:shd w:val="clear" w:color="auto" w:fill="F1F1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939598" w:themeColor="accent2"/>
        <w:left w:val="single" w:sz="8" w:space="0" w:color="939598" w:themeColor="accent2"/>
        <w:bottom w:val="single" w:sz="8" w:space="0" w:color="939598" w:themeColor="accent2"/>
        <w:right w:val="single" w:sz="8" w:space="0" w:color="939598" w:themeColor="accent2"/>
      </w:tblBorders>
    </w:tblPr>
    <w:tblStylePr w:type="firstRow">
      <w:rPr>
        <w:sz w:val="24"/>
        <w:szCs w:val="24"/>
      </w:rPr>
      <w:tblPr/>
      <w:tcPr>
        <w:tcBorders>
          <w:top w:val="nil"/>
          <w:left w:val="nil"/>
          <w:bottom w:val="single" w:sz="24" w:space="0" w:color="93959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9598" w:themeColor="accent2"/>
          <w:insideH w:val="nil"/>
          <w:insideV w:val="nil"/>
        </w:tcBorders>
        <w:shd w:val="clear" w:color="auto" w:fill="FFFFFF" w:themeFill="background1"/>
      </w:tcPr>
    </w:tblStylePr>
    <w:tblStylePr w:type="lastCol">
      <w:tblPr/>
      <w:tcPr>
        <w:tcBorders>
          <w:top w:val="nil"/>
          <w:left w:val="single" w:sz="8" w:space="0" w:color="93959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4E5" w:themeFill="accent2" w:themeFillTint="3F"/>
      </w:tcPr>
    </w:tblStylePr>
    <w:tblStylePr w:type="band1Horz">
      <w:tblPr/>
      <w:tcPr>
        <w:tcBorders>
          <w:top w:val="nil"/>
          <w:bottom w:val="nil"/>
          <w:insideH w:val="nil"/>
          <w:insideV w:val="nil"/>
        </w:tcBorders>
        <w:shd w:val="clear" w:color="auto" w:fill="E4E4E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636466" w:themeColor="accent3"/>
        <w:left w:val="single" w:sz="8" w:space="0" w:color="636466" w:themeColor="accent3"/>
        <w:bottom w:val="single" w:sz="8" w:space="0" w:color="636466" w:themeColor="accent3"/>
        <w:right w:val="single" w:sz="8" w:space="0" w:color="636466" w:themeColor="accent3"/>
      </w:tblBorders>
    </w:tblPr>
    <w:tblStylePr w:type="firstRow">
      <w:rPr>
        <w:sz w:val="24"/>
        <w:szCs w:val="24"/>
      </w:rPr>
      <w:tblPr/>
      <w:tcPr>
        <w:tcBorders>
          <w:top w:val="nil"/>
          <w:left w:val="nil"/>
          <w:bottom w:val="single" w:sz="24" w:space="0" w:color="63646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6466" w:themeColor="accent3"/>
          <w:insideH w:val="nil"/>
          <w:insideV w:val="nil"/>
        </w:tcBorders>
        <w:shd w:val="clear" w:color="auto" w:fill="FFFFFF" w:themeFill="background1"/>
      </w:tcPr>
    </w:tblStylePr>
    <w:tblStylePr w:type="lastCol">
      <w:tblPr/>
      <w:tcPr>
        <w:tcBorders>
          <w:top w:val="nil"/>
          <w:left w:val="single" w:sz="8" w:space="0" w:color="63646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8D9" w:themeFill="accent3" w:themeFillTint="3F"/>
      </w:tcPr>
    </w:tblStylePr>
    <w:tblStylePr w:type="band1Horz">
      <w:tblPr/>
      <w:tcPr>
        <w:tcBorders>
          <w:top w:val="nil"/>
          <w:bottom w:val="nil"/>
          <w:insideH w:val="nil"/>
          <w:insideV w:val="nil"/>
        </w:tcBorders>
        <w:shd w:val="clear" w:color="auto" w:fill="D8D8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4"/>
    <w:uiPriority w:val="66"/>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CD202C" w:themeColor="accent4"/>
        <w:left w:val="single" w:sz="8" w:space="0" w:color="CD202C" w:themeColor="accent4"/>
        <w:bottom w:val="single" w:sz="8" w:space="0" w:color="CD202C" w:themeColor="accent4"/>
        <w:right w:val="single" w:sz="8" w:space="0" w:color="CD202C" w:themeColor="accent4"/>
      </w:tblBorders>
    </w:tblPr>
    <w:tblStylePr w:type="firstRow">
      <w:rPr>
        <w:sz w:val="24"/>
        <w:szCs w:val="24"/>
      </w:rPr>
      <w:tblPr/>
      <w:tcPr>
        <w:tcBorders>
          <w:top w:val="nil"/>
          <w:left w:val="nil"/>
          <w:bottom w:val="single" w:sz="24" w:space="0" w:color="CD202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202C" w:themeColor="accent4"/>
          <w:insideH w:val="nil"/>
          <w:insideV w:val="nil"/>
        </w:tcBorders>
        <w:shd w:val="clear" w:color="auto" w:fill="FFFFFF" w:themeFill="background1"/>
      </w:tcPr>
    </w:tblStylePr>
    <w:tblStylePr w:type="lastCol">
      <w:tblPr/>
      <w:tcPr>
        <w:tcBorders>
          <w:top w:val="nil"/>
          <w:left w:val="single" w:sz="8" w:space="0" w:color="CD202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C4C7" w:themeFill="accent4" w:themeFillTint="3F"/>
      </w:tcPr>
    </w:tblStylePr>
    <w:tblStylePr w:type="band1Horz">
      <w:tblPr/>
      <w:tcPr>
        <w:tcBorders>
          <w:top w:val="nil"/>
          <w:bottom w:val="nil"/>
          <w:insideH w:val="nil"/>
          <w:insideV w:val="nil"/>
        </w:tcBorders>
        <w:shd w:val="clear" w:color="auto" w:fill="F6C4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0055AA" w:themeColor="accent5"/>
        <w:left w:val="single" w:sz="8" w:space="0" w:color="0055AA" w:themeColor="accent5"/>
        <w:bottom w:val="single" w:sz="8" w:space="0" w:color="0055AA" w:themeColor="accent5"/>
        <w:right w:val="single" w:sz="8" w:space="0" w:color="0055AA" w:themeColor="accent5"/>
      </w:tblBorders>
    </w:tblPr>
    <w:tblStylePr w:type="firstRow">
      <w:rPr>
        <w:sz w:val="24"/>
        <w:szCs w:val="24"/>
      </w:rPr>
      <w:tblPr/>
      <w:tcPr>
        <w:tcBorders>
          <w:top w:val="nil"/>
          <w:left w:val="nil"/>
          <w:bottom w:val="single" w:sz="24" w:space="0" w:color="0055A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5AA" w:themeColor="accent5"/>
          <w:insideH w:val="nil"/>
          <w:insideV w:val="nil"/>
        </w:tcBorders>
        <w:shd w:val="clear" w:color="auto" w:fill="FFFFFF" w:themeFill="background1"/>
      </w:tcPr>
    </w:tblStylePr>
    <w:tblStylePr w:type="lastCol">
      <w:tblPr/>
      <w:tcPr>
        <w:tcBorders>
          <w:top w:val="nil"/>
          <w:left w:val="single" w:sz="8" w:space="0" w:color="0055A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D4FF" w:themeFill="accent5" w:themeFillTint="3F"/>
      </w:tcPr>
    </w:tblStylePr>
    <w:tblStylePr w:type="band1Horz">
      <w:tblPr/>
      <w:tcPr>
        <w:tcBorders>
          <w:top w:val="nil"/>
          <w:bottom w:val="nil"/>
          <w:insideH w:val="nil"/>
          <w:insideV w:val="nil"/>
        </w:tcBorders>
        <w:shd w:val="clear" w:color="auto" w:fill="ABD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4"/>
    <w:uiPriority w:val="66"/>
    <w:semiHidden/>
    <w:unhideWhenUsed/>
    <w:rsid w:val="00F527CC"/>
    <w:pPr>
      <w:spacing w:after="0" w:line="240" w:lineRule="auto"/>
    </w:pPr>
    <w:rPr>
      <w:rFonts w:eastAsiaTheme="majorEastAsia" w:cs="Arial"/>
      <w:color w:val="404040" w:themeColor="text1"/>
    </w:rPr>
    <w:tblPr>
      <w:tblStyleRowBandSize w:val="1"/>
      <w:tblStyleColBandSize w:val="1"/>
      <w:tblBorders>
        <w:top w:val="single" w:sz="8" w:space="0" w:color="FFAA22" w:themeColor="accent6"/>
        <w:left w:val="single" w:sz="8" w:space="0" w:color="FFAA22" w:themeColor="accent6"/>
        <w:bottom w:val="single" w:sz="8" w:space="0" w:color="FFAA22" w:themeColor="accent6"/>
        <w:right w:val="single" w:sz="8" w:space="0" w:color="FFAA22" w:themeColor="accent6"/>
      </w:tblBorders>
    </w:tblPr>
    <w:tblStylePr w:type="firstRow">
      <w:rPr>
        <w:sz w:val="24"/>
        <w:szCs w:val="24"/>
      </w:rPr>
      <w:tblPr/>
      <w:tcPr>
        <w:tcBorders>
          <w:top w:val="nil"/>
          <w:left w:val="nil"/>
          <w:bottom w:val="single" w:sz="24" w:space="0" w:color="FFAA2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A22" w:themeColor="accent6"/>
          <w:insideH w:val="nil"/>
          <w:insideV w:val="nil"/>
        </w:tcBorders>
        <w:shd w:val="clear" w:color="auto" w:fill="FFFFFF" w:themeFill="background1"/>
      </w:tcPr>
    </w:tblStylePr>
    <w:tblStylePr w:type="lastCol">
      <w:tblPr/>
      <w:tcPr>
        <w:tcBorders>
          <w:top w:val="nil"/>
          <w:left w:val="single" w:sz="8" w:space="0" w:color="FFAA2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9C8" w:themeFill="accent6" w:themeFillTint="3F"/>
      </w:tcPr>
    </w:tblStylePr>
    <w:tblStylePr w:type="band1Horz">
      <w:tblPr/>
      <w:tcPr>
        <w:tcBorders>
          <w:top w:val="nil"/>
          <w:bottom w:val="nil"/>
          <w:insideH w:val="nil"/>
          <w:insideV w:val="nil"/>
        </w:tcBorders>
        <w:shd w:val="clear" w:color="auto" w:fill="FFE9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w:basedOn w:val="a4"/>
    <w:uiPriority w:val="63"/>
    <w:semiHidden/>
    <w:unhideWhenUsed/>
    <w:rsid w:val="00F527CC"/>
    <w:pPr>
      <w:spacing w:after="0" w:line="240" w:lineRule="auto"/>
    </w:pPr>
    <w:tblPr>
      <w:tblStyleRowBandSize w:val="1"/>
      <w:tblStyleColBandSize w:val="1"/>
      <w:tblBorders>
        <w:top w:val="single" w:sz="8"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single" w:sz="8" w:space="0" w:color="6F6F6F" w:themeColor="text1" w:themeTint="BF"/>
      </w:tblBorders>
    </w:tblPr>
    <w:tblStylePr w:type="firstRow">
      <w:pPr>
        <w:spacing w:before="0" w:after="0" w:line="240" w:lineRule="auto"/>
      </w:pPr>
      <w:rPr>
        <w:b/>
        <w:bCs/>
        <w:color w:val="FFFFFF" w:themeColor="background1"/>
      </w:rPr>
      <w:tblPr/>
      <w:tcPr>
        <w:tcBorders>
          <w:top w:val="single" w:sz="8"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nil"/>
          <w:insideV w:val="nil"/>
        </w:tcBorders>
        <w:shd w:val="clear" w:color="auto" w:fill="404040" w:themeFill="text1"/>
      </w:tcPr>
    </w:tblStylePr>
    <w:tblStylePr w:type="lastRow">
      <w:pPr>
        <w:spacing w:before="0" w:after="0" w:line="240" w:lineRule="auto"/>
      </w:pPr>
      <w:rPr>
        <w:b/>
        <w:bCs/>
      </w:rPr>
      <w:tblPr/>
      <w:tcPr>
        <w:tcBorders>
          <w:top w:val="double" w:sz="6" w:space="0" w:color="6F6F6F" w:themeColor="text1" w:themeTint="BF"/>
          <w:left w:val="single" w:sz="8" w:space="0" w:color="6F6F6F" w:themeColor="text1" w:themeTint="BF"/>
          <w:bottom w:val="single" w:sz="8" w:space="0" w:color="6F6F6F" w:themeColor="text1" w:themeTint="BF"/>
          <w:right w:val="single" w:sz="8" w:space="0" w:color="6F6F6F" w:themeColor="text1" w:themeTint="BF"/>
          <w:insideH w:val="nil"/>
          <w:insideV w:val="nil"/>
        </w:tcBorders>
      </w:tcPr>
    </w:tblStylePr>
    <w:tblStylePr w:type="firstCol">
      <w:rPr>
        <w:b/>
        <w:bCs/>
      </w:rPr>
    </w:tblStylePr>
    <w:tblStylePr w:type="lastCol">
      <w:rPr>
        <w:b/>
        <w:bCs/>
      </w:rPr>
    </w:tblStylePr>
    <w:tblStylePr w:type="band1Vert">
      <w:tblPr/>
      <w:tcPr>
        <w:shd w:val="clear" w:color="auto" w:fill="CFCFCF" w:themeFill="text1" w:themeFillTint="3F"/>
      </w:tcPr>
    </w:tblStylePr>
    <w:tblStylePr w:type="band1Horz">
      <w:tblPr/>
      <w:tcPr>
        <w:tcBorders>
          <w:insideH w:val="nil"/>
          <w:insideV w:val="nil"/>
        </w:tcBorders>
        <w:shd w:val="clear" w:color="auto" w:fill="CFCFCF" w:themeFill="text1" w:themeFillTint="3F"/>
      </w:tcPr>
    </w:tblStylePr>
    <w:tblStylePr w:type="band2Horz">
      <w:tblPr/>
      <w:tcPr>
        <w:tcBorders>
          <w:insideH w:val="nil"/>
          <w:insideV w:val="nil"/>
        </w:tcBorders>
      </w:tcPr>
    </w:tblStylePr>
  </w:style>
  <w:style w:type="table" w:styleId="1-11">
    <w:name w:val="Medium Shading 1 Accent 1"/>
    <w:basedOn w:val="a4"/>
    <w:uiPriority w:val="63"/>
    <w:semiHidden/>
    <w:unhideWhenUsed/>
    <w:rsid w:val="00F527CC"/>
    <w:pPr>
      <w:spacing w:after="0" w:line="240" w:lineRule="auto"/>
    </w:pPr>
    <w:tblPr>
      <w:tblStyleRowBandSize w:val="1"/>
      <w:tblStyleColBandSize w:val="1"/>
      <w:tblBorders>
        <w:top w:val="single" w:sz="8"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single" w:sz="8" w:space="0" w:color="D5D5D7" w:themeColor="accent1" w:themeTint="BF"/>
      </w:tblBorders>
    </w:tblPr>
    <w:tblStylePr w:type="firstRow">
      <w:pPr>
        <w:spacing w:before="0" w:after="0" w:line="240" w:lineRule="auto"/>
      </w:pPr>
      <w:rPr>
        <w:b/>
        <w:bCs/>
        <w:color w:val="FFFFFF" w:themeColor="background1"/>
      </w:rPr>
      <w:tblPr/>
      <w:tcPr>
        <w:tcBorders>
          <w:top w:val="single" w:sz="8"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nil"/>
          <w:insideV w:val="nil"/>
        </w:tcBorders>
        <w:shd w:val="clear" w:color="auto" w:fill="C7C8CA" w:themeFill="accent1"/>
      </w:tcPr>
    </w:tblStylePr>
    <w:tblStylePr w:type="lastRow">
      <w:pPr>
        <w:spacing w:before="0" w:after="0" w:line="240" w:lineRule="auto"/>
      </w:pPr>
      <w:rPr>
        <w:b/>
        <w:bCs/>
      </w:rPr>
      <w:tblPr/>
      <w:tcPr>
        <w:tcBorders>
          <w:top w:val="double" w:sz="6" w:space="0" w:color="D5D5D7" w:themeColor="accent1" w:themeTint="BF"/>
          <w:left w:val="single" w:sz="8" w:space="0" w:color="D5D5D7" w:themeColor="accent1" w:themeTint="BF"/>
          <w:bottom w:val="single" w:sz="8" w:space="0" w:color="D5D5D7" w:themeColor="accent1" w:themeTint="BF"/>
          <w:right w:val="single" w:sz="8" w:space="0" w:color="D5D5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F1F2" w:themeFill="accent1" w:themeFillTint="3F"/>
      </w:tcPr>
    </w:tblStylePr>
    <w:tblStylePr w:type="band1Horz">
      <w:tblPr/>
      <w:tcPr>
        <w:tcBorders>
          <w:insideH w:val="nil"/>
          <w:insideV w:val="nil"/>
        </w:tcBorders>
        <w:shd w:val="clear" w:color="auto" w:fill="F1F1F2" w:themeFill="accent1" w:themeFillTint="3F"/>
      </w:tcPr>
    </w:tblStylePr>
    <w:tblStylePr w:type="band2Horz">
      <w:tblPr/>
      <w:tcPr>
        <w:tcBorders>
          <w:insideH w:val="nil"/>
          <w:insideV w:val="nil"/>
        </w:tcBorders>
      </w:tcPr>
    </w:tblStylePr>
  </w:style>
  <w:style w:type="table" w:styleId="1-21">
    <w:name w:val="Medium Shading 1 Accent 2"/>
    <w:basedOn w:val="a4"/>
    <w:uiPriority w:val="63"/>
    <w:semiHidden/>
    <w:unhideWhenUsed/>
    <w:rsid w:val="00F527CC"/>
    <w:pPr>
      <w:spacing w:after="0" w:line="240" w:lineRule="auto"/>
    </w:pPr>
    <w:tblPr>
      <w:tblStyleRowBandSize w:val="1"/>
      <w:tblStyleColBandSize w:val="1"/>
      <w:tblBorders>
        <w:top w:val="single" w:sz="8"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single" w:sz="8" w:space="0" w:color="ADAFB1" w:themeColor="accent2" w:themeTint="BF"/>
      </w:tblBorders>
    </w:tblPr>
    <w:tblStylePr w:type="firstRow">
      <w:pPr>
        <w:spacing w:before="0" w:after="0" w:line="240" w:lineRule="auto"/>
      </w:pPr>
      <w:rPr>
        <w:b/>
        <w:bCs/>
        <w:color w:val="FFFFFF" w:themeColor="background1"/>
      </w:rPr>
      <w:tblPr/>
      <w:tcPr>
        <w:tcBorders>
          <w:top w:val="single" w:sz="8"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nil"/>
          <w:insideV w:val="nil"/>
        </w:tcBorders>
        <w:shd w:val="clear" w:color="auto" w:fill="939598" w:themeFill="accent2"/>
      </w:tcPr>
    </w:tblStylePr>
    <w:tblStylePr w:type="lastRow">
      <w:pPr>
        <w:spacing w:before="0" w:after="0" w:line="240" w:lineRule="auto"/>
      </w:pPr>
      <w:rPr>
        <w:b/>
        <w:bCs/>
      </w:rPr>
      <w:tblPr/>
      <w:tcPr>
        <w:tcBorders>
          <w:top w:val="double" w:sz="6" w:space="0" w:color="ADAFB1" w:themeColor="accent2" w:themeTint="BF"/>
          <w:left w:val="single" w:sz="8" w:space="0" w:color="ADAFB1" w:themeColor="accent2" w:themeTint="BF"/>
          <w:bottom w:val="single" w:sz="8" w:space="0" w:color="ADAFB1" w:themeColor="accent2" w:themeTint="BF"/>
          <w:right w:val="single" w:sz="8" w:space="0" w:color="ADAFB1" w:themeColor="accent2" w:themeTint="BF"/>
          <w:insideH w:val="nil"/>
          <w:insideV w:val="nil"/>
        </w:tcBorders>
      </w:tcPr>
    </w:tblStylePr>
    <w:tblStylePr w:type="firstCol">
      <w:rPr>
        <w:b/>
        <w:bCs/>
      </w:rPr>
    </w:tblStylePr>
    <w:tblStylePr w:type="lastCol">
      <w:rPr>
        <w:b/>
        <w:bCs/>
      </w:rPr>
    </w:tblStylePr>
    <w:tblStylePr w:type="band1Vert">
      <w:tblPr/>
      <w:tcPr>
        <w:shd w:val="clear" w:color="auto" w:fill="E4E4E5" w:themeFill="accent2" w:themeFillTint="3F"/>
      </w:tcPr>
    </w:tblStylePr>
    <w:tblStylePr w:type="band1Horz">
      <w:tblPr/>
      <w:tcPr>
        <w:tcBorders>
          <w:insideH w:val="nil"/>
          <w:insideV w:val="nil"/>
        </w:tcBorders>
        <w:shd w:val="clear" w:color="auto" w:fill="E4E4E5" w:themeFill="accent2" w:themeFillTint="3F"/>
      </w:tcPr>
    </w:tblStylePr>
    <w:tblStylePr w:type="band2Horz">
      <w:tblPr/>
      <w:tcPr>
        <w:tcBorders>
          <w:insideH w:val="nil"/>
          <w:insideV w:val="nil"/>
        </w:tcBorders>
      </w:tcPr>
    </w:tblStylePr>
  </w:style>
  <w:style w:type="table" w:styleId="1-31">
    <w:name w:val="Medium Shading 1 Accent 3"/>
    <w:basedOn w:val="a4"/>
    <w:uiPriority w:val="63"/>
    <w:semiHidden/>
    <w:unhideWhenUsed/>
    <w:rsid w:val="00F527CC"/>
    <w:pPr>
      <w:spacing w:after="0" w:line="240" w:lineRule="auto"/>
    </w:pPr>
    <w:tblPr>
      <w:tblStyleRowBandSize w:val="1"/>
      <w:tblStyleColBandSize w:val="1"/>
      <w:tblBorders>
        <w:top w:val="single" w:sz="8"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single" w:sz="8" w:space="0" w:color="898A8C" w:themeColor="accent3" w:themeTint="BF"/>
      </w:tblBorders>
    </w:tblPr>
    <w:tblStylePr w:type="firstRow">
      <w:pPr>
        <w:spacing w:before="0" w:after="0" w:line="240" w:lineRule="auto"/>
      </w:pPr>
      <w:rPr>
        <w:b/>
        <w:bCs/>
        <w:color w:val="FFFFFF" w:themeColor="background1"/>
      </w:rPr>
      <w:tblPr/>
      <w:tcPr>
        <w:tcBorders>
          <w:top w:val="single" w:sz="8"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nil"/>
          <w:insideV w:val="nil"/>
        </w:tcBorders>
        <w:shd w:val="clear" w:color="auto" w:fill="636466" w:themeFill="accent3"/>
      </w:tcPr>
    </w:tblStylePr>
    <w:tblStylePr w:type="lastRow">
      <w:pPr>
        <w:spacing w:before="0" w:after="0" w:line="240" w:lineRule="auto"/>
      </w:pPr>
      <w:rPr>
        <w:b/>
        <w:bCs/>
      </w:rPr>
      <w:tblPr/>
      <w:tcPr>
        <w:tcBorders>
          <w:top w:val="double" w:sz="6" w:space="0" w:color="898A8C" w:themeColor="accent3" w:themeTint="BF"/>
          <w:left w:val="single" w:sz="8" w:space="0" w:color="898A8C" w:themeColor="accent3" w:themeTint="BF"/>
          <w:bottom w:val="single" w:sz="8" w:space="0" w:color="898A8C" w:themeColor="accent3" w:themeTint="BF"/>
          <w:right w:val="single" w:sz="8" w:space="0" w:color="898A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D8D9" w:themeFill="accent3" w:themeFillTint="3F"/>
      </w:tcPr>
    </w:tblStylePr>
    <w:tblStylePr w:type="band1Horz">
      <w:tblPr/>
      <w:tcPr>
        <w:tcBorders>
          <w:insideH w:val="nil"/>
          <w:insideV w:val="nil"/>
        </w:tcBorders>
        <w:shd w:val="clear" w:color="auto" w:fill="D8D8D9" w:themeFill="accent3" w:themeFillTint="3F"/>
      </w:tcPr>
    </w:tblStylePr>
    <w:tblStylePr w:type="band2Horz">
      <w:tblPr/>
      <w:tcPr>
        <w:tcBorders>
          <w:insideH w:val="nil"/>
          <w:insideV w:val="nil"/>
        </w:tcBorders>
      </w:tcPr>
    </w:tblStylePr>
  </w:style>
  <w:style w:type="table" w:styleId="1-41">
    <w:name w:val="Medium Shading 1 Accent 4"/>
    <w:basedOn w:val="a4"/>
    <w:uiPriority w:val="63"/>
    <w:semiHidden/>
    <w:unhideWhenUsed/>
    <w:rsid w:val="00F527CC"/>
    <w:pPr>
      <w:spacing w:after="0" w:line="240" w:lineRule="auto"/>
    </w:pPr>
    <w:tblPr>
      <w:tblStyleRowBandSize w:val="1"/>
      <w:tblStyleColBandSize w:val="1"/>
      <w:tblBorders>
        <w:top w:val="single" w:sz="8"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single" w:sz="8" w:space="0" w:color="E34E57" w:themeColor="accent4" w:themeTint="BF"/>
      </w:tblBorders>
    </w:tblPr>
    <w:tblStylePr w:type="firstRow">
      <w:pPr>
        <w:spacing w:before="0" w:after="0" w:line="240" w:lineRule="auto"/>
      </w:pPr>
      <w:rPr>
        <w:b/>
        <w:bCs/>
        <w:color w:val="FFFFFF" w:themeColor="background1"/>
      </w:rPr>
      <w:tblPr/>
      <w:tcPr>
        <w:tcBorders>
          <w:top w:val="single" w:sz="8"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nil"/>
          <w:insideV w:val="nil"/>
        </w:tcBorders>
        <w:shd w:val="clear" w:color="auto" w:fill="CD202C" w:themeFill="accent4"/>
      </w:tcPr>
    </w:tblStylePr>
    <w:tblStylePr w:type="lastRow">
      <w:pPr>
        <w:spacing w:before="0" w:after="0" w:line="240" w:lineRule="auto"/>
      </w:pPr>
      <w:rPr>
        <w:b/>
        <w:bCs/>
      </w:rPr>
      <w:tblPr/>
      <w:tcPr>
        <w:tcBorders>
          <w:top w:val="double" w:sz="6" w:space="0" w:color="E34E57" w:themeColor="accent4" w:themeTint="BF"/>
          <w:left w:val="single" w:sz="8" w:space="0" w:color="E34E57" w:themeColor="accent4" w:themeTint="BF"/>
          <w:bottom w:val="single" w:sz="8" w:space="0" w:color="E34E57" w:themeColor="accent4" w:themeTint="BF"/>
          <w:right w:val="single" w:sz="8" w:space="0" w:color="E34E5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6C4C7" w:themeFill="accent4" w:themeFillTint="3F"/>
      </w:tcPr>
    </w:tblStylePr>
    <w:tblStylePr w:type="band1Horz">
      <w:tblPr/>
      <w:tcPr>
        <w:tcBorders>
          <w:insideH w:val="nil"/>
          <w:insideV w:val="nil"/>
        </w:tcBorders>
        <w:shd w:val="clear" w:color="auto" w:fill="F6C4C7" w:themeFill="accent4" w:themeFillTint="3F"/>
      </w:tcPr>
    </w:tblStylePr>
    <w:tblStylePr w:type="band2Horz">
      <w:tblPr/>
      <w:tcPr>
        <w:tcBorders>
          <w:insideH w:val="nil"/>
          <w:insideV w:val="nil"/>
        </w:tcBorders>
      </w:tcPr>
    </w:tblStylePr>
  </w:style>
  <w:style w:type="table" w:styleId="1-51">
    <w:name w:val="Medium Shading 1 Accent 5"/>
    <w:basedOn w:val="a4"/>
    <w:uiPriority w:val="63"/>
    <w:semiHidden/>
    <w:unhideWhenUsed/>
    <w:rsid w:val="00F527CC"/>
    <w:pPr>
      <w:spacing w:after="0" w:line="240" w:lineRule="auto"/>
    </w:pPr>
    <w:tblPr>
      <w:tblStyleRowBandSize w:val="1"/>
      <w:tblStyleColBandSize w:val="1"/>
      <w:tblBorders>
        <w:top w:val="single" w:sz="8"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single" w:sz="8" w:space="0" w:color="007FFF" w:themeColor="accent5" w:themeTint="BF"/>
      </w:tblBorders>
    </w:tblPr>
    <w:tblStylePr w:type="firstRow">
      <w:pPr>
        <w:spacing w:before="0" w:after="0" w:line="240" w:lineRule="auto"/>
      </w:pPr>
      <w:rPr>
        <w:b/>
        <w:bCs/>
        <w:color w:val="FFFFFF" w:themeColor="background1"/>
      </w:rPr>
      <w:tblPr/>
      <w:tcPr>
        <w:tcBorders>
          <w:top w:val="single" w:sz="8"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nil"/>
          <w:insideV w:val="nil"/>
        </w:tcBorders>
        <w:shd w:val="clear" w:color="auto" w:fill="0055AA" w:themeFill="accent5"/>
      </w:tcPr>
    </w:tblStylePr>
    <w:tblStylePr w:type="lastRow">
      <w:pPr>
        <w:spacing w:before="0" w:after="0" w:line="240" w:lineRule="auto"/>
      </w:pPr>
      <w:rPr>
        <w:b/>
        <w:bCs/>
      </w:rPr>
      <w:tblPr/>
      <w:tcPr>
        <w:tcBorders>
          <w:top w:val="double" w:sz="6" w:space="0" w:color="007FFF" w:themeColor="accent5" w:themeTint="BF"/>
          <w:left w:val="single" w:sz="8" w:space="0" w:color="007FFF" w:themeColor="accent5" w:themeTint="BF"/>
          <w:bottom w:val="single" w:sz="8" w:space="0" w:color="007FFF" w:themeColor="accent5" w:themeTint="BF"/>
          <w:right w:val="single" w:sz="8" w:space="0" w:color="007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ABD4FF" w:themeFill="accent5" w:themeFillTint="3F"/>
      </w:tcPr>
    </w:tblStylePr>
    <w:tblStylePr w:type="band1Horz">
      <w:tblPr/>
      <w:tcPr>
        <w:tcBorders>
          <w:insideH w:val="nil"/>
          <w:insideV w:val="nil"/>
        </w:tcBorders>
        <w:shd w:val="clear" w:color="auto" w:fill="ABD4FF" w:themeFill="accent5" w:themeFillTint="3F"/>
      </w:tcPr>
    </w:tblStylePr>
    <w:tblStylePr w:type="band2Horz">
      <w:tblPr/>
      <w:tcPr>
        <w:tcBorders>
          <w:insideH w:val="nil"/>
          <w:insideV w:val="nil"/>
        </w:tcBorders>
      </w:tcPr>
    </w:tblStylePr>
  </w:style>
  <w:style w:type="table" w:styleId="1-61">
    <w:name w:val="Medium Shading 1 Accent 6"/>
    <w:basedOn w:val="a4"/>
    <w:uiPriority w:val="63"/>
    <w:semiHidden/>
    <w:unhideWhenUsed/>
    <w:rsid w:val="00F527CC"/>
    <w:pPr>
      <w:spacing w:after="0" w:line="240" w:lineRule="auto"/>
    </w:pPr>
    <w:tblPr>
      <w:tblStyleRowBandSize w:val="1"/>
      <w:tblStyleColBandSize w:val="1"/>
      <w:tblBorders>
        <w:top w:val="single" w:sz="8"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single" w:sz="8" w:space="0" w:color="FFBE59" w:themeColor="accent6" w:themeTint="BF"/>
      </w:tblBorders>
    </w:tblPr>
    <w:tblStylePr w:type="firstRow">
      <w:pPr>
        <w:spacing w:before="0" w:after="0" w:line="240" w:lineRule="auto"/>
      </w:pPr>
      <w:rPr>
        <w:b/>
        <w:bCs/>
        <w:color w:val="FFFFFF" w:themeColor="background1"/>
      </w:rPr>
      <w:tblPr/>
      <w:tcPr>
        <w:tcBorders>
          <w:top w:val="single" w:sz="8"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nil"/>
          <w:insideV w:val="nil"/>
        </w:tcBorders>
        <w:shd w:val="clear" w:color="auto" w:fill="FFAA22" w:themeFill="accent6"/>
      </w:tcPr>
    </w:tblStylePr>
    <w:tblStylePr w:type="lastRow">
      <w:pPr>
        <w:spacing w:before="0" w:after="0" w:line="240" w:lineRule="auto"/>
      </w:pPr>
      <w:rPr>
        <w:b/>
        <w:bCs/>
      </w:rPr>
      <w:tblPr/>
      <w:tcPr>
        <w:tcBorders>
          <w:top w:val="double" w:sz="6" w:space="0" w:color="FFBE59" w:themeColor="accent6" w:themeTint="BF"/>
          <w:left w:val="single" w:sz="8" w:space="0" w:color="FFBE59" w:themeColor="accent6" w:themeTint="BF"/>
          <w:bottom w:val="single" w:sz="8" w:space="0" w:color="FFBE59" w:themeColor="accent6" w:themeTint="BF"/>
          <w:right w:val="single" w:sz="8" w:space="0" w:color="FFBE5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9C8" w:themeFill="accent6" w:themeFillTint="3F"/>
      </w:tcPr>
    </w:tblStylePr>
    <w:tblStylePr w:type="band1Horz">
      <w:tblPr/>
      <w:tcPr>
        <w:tcBorders>
          <w:insideH w:val="nil"/>
          <w:insideV w:val="nil"/>
        </w:tcBorders>
        <w:shd w:val="clear" w:color="auto" w:fill="FFE9C8" w:themeFill="accent6" w:themeFillTint="3F"/>
      </w:tcPr>
    </w:tblStylePr>
    <w:tblStylePr w:type="band2Horz">
      <w:tblPr/>
      <w:tcPr>
        <w:tcBorders>
          <w:insideH w:val="nil"/>
          <w:insideV w:val="nil"/>
        </w:tcBorders>
      </w:tcPr>
    </w:tblStylePr>
  </w:style>
  <w:style w:type="table" w:styleId="2f2">
    <w:name w:val="Medium Shading 2"/>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4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04040" w:themeFill="text1"/>
      </w:tcPr>
    </w:tblStylePr>
    <w:tblStylePr w:type="lastCol">
      <w:rPr>
        <w:b/>
        <w:bCs/>
        <w:color w:val="FFFFFF" w:themeColor="background1"/>
      </w:rPr>
      <w:tblPr/>
      <w:tcPr>
        <w:tcBorders>
          <w:left w:val="nil"/>
          <w:right w:val="nil"/>
          <w:insideH w:val="nil"/>
          <w:insideV w:val="nil"/>
        </w:tcBorders>
        <w:shd w:val="clear" w:color="auto" w:fill="40404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1">
    <w:name w:val="Medium Shading 2 Accent 1"/>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7C8C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7C8CA" w:themeFill="accent1"/>
      </w:tcPr>
    </w:tblStylePr>
    <w:tblStylePr w:type="lastCol">
      <w:rPr>
        <w:b/>
        <w:bCs/>
        <w:color w:val="FFFFFF" w:themeColor="background1"/>
      </w:rPr>
      <w:tblPr/>
      <w:tcPr>
        <w:tcBorders>
          <w:left w:val="nil"/>
          <w:right w:val="nil"/>
          <w:insideH w:val="nil"/>
          <w:insideV w:val="nil"/>
        </w:tcBorders>
        <w:shd w:val="clear" w:color="auto" w:fill="C7C8C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1">
    <w:name w:val="Medium Shading 2 Accent 2"/>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959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39598" w:themeFill="accent2"/>
      </w:tcPr>
    </w:tblStylePr>
    <w:tblStylePr w:type="lastCol">
      <w:rPr>
        <w:b/>
        <w:bCs/>
        <w:color w:val="FFFFFF" w:themeColor="background1"/>
      </w:rPr>
      <w:tblPr/>
      <w:tcPr>
        <w:tcBorders>
          <w:left w:val="nil"/>
          <w:right w:val="nil"/>
          <w:insideH w:val="nil"/>
          <w:insideV w:val="nil"/>
        </w:tcBorders>
        <w:shd w:val="clear" w:color="auto" w:fill="93959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1">
    <w:name w:val="Medium Shading 2 Accent 3"/>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646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6466" w:themeFill="accent3"/>
      </w:tcPr>
    </w:tblStylePr>
    <w:tblStylePr w:type="lastCol">
      <w:rPr>
        <w:b/>
        <w:bCs/>
        <w:color w:val="FFFFFF" w:themeColor="background1"/>
      </w:rPr>
      <w:tblPr/>
      <w:tcPr>
        <w:tcBorders>
          <w:left w:val="nil"/>
          <w:right w:val="nil"/>
          <w:insideH w:val="nil"/>
          <w:insideV w:val="nil"/>
        </w:tcBorders>
        <w:shd w:val="clear" w:color="auto" w:fill="63646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1">
    <w:name w:val="Medium Shading 2 Accent 4"/>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202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D202C" w:themeFill="accent4"/>
      </w:tcPr>
    </w:tblStylePr>
    <w:tblStylePr w:type="lastCol">
      <w:rPr>
        <w:b/>
        <w:bCs/>
        <w:color w:val="FFFFFF" w:themeColor="background1"/>
      </w:rPr>
      <w:tblPr/>
      <w:tcPr>
        <w:tcBorders>
          <w:left w:val="nil"/>
          <w:right w:val="nil"/>
          <w:insideH w:val="nil"/>
          <w:insideV w:val="nil"/>
        </w:tcBorders>
        <w:shd w:val="clear" w:color="auto" w:fill="CD202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1">
    <w:name w:val="Medium Shading 2 Accent 5"/>
    <w:basedOn w:val="a4"/>
    <w:uiPriority w:val="64"/>
    <w:semiHidden/>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5A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5AA" w:themeFill="accent5"/>
      </w:tcPr>
    </w:tblStylePr>
    <w:tblStylePr w:type="lastCol">
      <w:rPr>
        <w:b/>
        <w:bCs/>
        <w:color w:val="FFFFFF" w:themeColor="background1"/>
      </w:rPr>
      <w:tblPr/>
      <w:tcPr>
        <w:tcBorders>
          <w:left w:val="nil"/>
          <w:right w:val="nil"/>
          <w:insideH w:val="nil"/>
          <w:insideV w:val="nil"/>
        </w:tcBorders>
        <w:shd w:val="clear" w:color="auto" w:fill="0055A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1">
    <w:name w:val="Medium Shading 2 Accent 6"/>
    <w:basedOn w:val="a4"/>
    <w:uiPriority w:val="64"/>
    <w:unhideWhenUsed/>
    <w:rsid w:val="00F527C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A2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AA22" w:themeFill="accent6"/>
      </w:tcPr>
    </w:tblStylePr>
    <w:tblStylePr w:type="lastCol">
      <w:rPr>
        <w:b/>
        <w:bCs/>
        <w:color w:val="FFFFFF" w:themeColor="background1"/>
      </w:rPr>
      <w:tblPr/>
      <w:tcPr>
        <w:tcBorders>
          <w:left w:val="nil"/>
          <w:right w:val="nil"/>
          <w:insideH w:val="nil"/>
          <w:insideV w:val="nil"/>
        </w:tcBorders>
        <w:shd w:val="clear" w:color="auto" w:fill="FFAA2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7">
    <w:name w:val="Message Header"/>
    <w:basedOn w:val="a2"/>
    <w:link w:val="affff8"/>
    <w:uiPriority w:val="99"/>
    <w:semiHidden/>
    <w:unhideWhenUsed/>
    <w:rsid w:val="00F527C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Arial"/>
      <w:sz w:val="24"/>
      <w:szCs w:val="24"/>
    </w:rPr>
  </w:style>
  <w:style w:type="character" w:customStyle="1" w:styleId="affff8">
    <w:name w:val="Шапка Знак"/>
    <w:basedOn w:val="a3"/>
    <w:link w:val="affff7"/>
    <w:uiPriority w:val="99"/>
    <w:semiHidden/>
    <w:rsid w:val="00F527CC"/>
    <w:rPr>
      <w:rFonts w:eastAsiaTheme="majorEastAsia" w:cs="Arial"/>
      <w:sz w:val="24"/>
      <w:szCs w:val="24"/>
      <w:shd w:val="pct20" w:color="auto" w:fill="auto"/>
      <w:lang w:val="en-US"/>
    </w:rPr>
  </w:style>
  <w:style w:type="paragraph" w:styleId="affff9">
    <w:name w:val="Normal (Web)"/>
    <w:basedOn w:val="a2"/>
    <w:uiPriority w:val="99"/>
    <w:unhideWhenUsed/>
    <w:rsid w:val="00F527CC"/>
    <w:rPr>
      <w:rFonts w:ascii="Times New Roman" w:hAnsi="Times New Roman" w:cs="Times New Roman"/>
      <w:sz w:val="24"/>
      <w:szCs w:val="24"/>
    </w:rPr>
  </w:style>
  <w:style w:type="paragraph" w:styleId="affffa">
    <w:name w:val="Normal Indent"/>
    <w:basedOn w:val="a2"/>
    <w:uiPriority w:val="99"/>
    <w:semiHidden/>
    <w:unhideWhenUsed/>
    <w:rsid w:val="00F527CC"/>
    <w:pPr>
      <w:ind w:left="720"/>
    </w:pPr>
  </w:style>
  <w:style w:type="paragraph" w:styleId="affffb">
    <w:name w:val="Note Heading"/>
    <w:basedOn w:val="a2"/>
    <w:next w:val="a2"/>
    <w:link w:val="affffc"/>
    <w:uiPriority w:val="99"/>
    <w:semiHidden/>
    <w:unhideWhenUsed/>
    <w:rsid w:val="00F527CC"/>
    <w:pPr>
      <w:spacing w:after="0" w:line="240" w:lineRule="auto"/>
    </w:pPr>
  </w:style>
  <w:style w:type="character" w:customStyle="1" w:styleId="affffc">
    <w:name w:val="Заголовок записки Знак"/>
    <w:basedOn w:val="a3"/>
    <w:link w:val="affffb"/>
    <w:uiPriority w:val="99"/>
    <w:semiHidden/>
    <w:rsid w:val="00F527CC"/>
    <w:rPr>
      <w:lang w:val="en-US"/>
    </w:rPr>
  </w:style>
  <w:style w:type="character" w:styleId="affffd">
    <w:name w:val="page number"/>
    <w:basedOn w:val="a3"/>
    <w:uiPriority w:val="99"/>
    <w:semiHidden/>
    <w:unhideWhenUsed/>
    <w:rsid w:val="00F527CC"/>
    <w:rPr>
      <w:lang w:val="en-US"/>
    </w:rPr>
  </w:style>
  <w:style w:type="table" w:customStyle="1" w:styleId="PlainTable11">
    <w:name w:val="Plain Table 11"/>
    <w:basedOn w:val="a4"/>
    <w:uiPriority w:val="41"/>
    <w:rsid w:val="00F527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a4"/>
    <w:uiPriority w:val="42"/>
    <w:rsid w:val="00F527CC"/>
    <w:pPr>
      <w:spacing w:after="0" w:line="240" w:lineRule="auto"/>
    </w:pPr>
    <w:tblPr>
      <w:tblStyleRowBandSize w:val="1"/>
      <w:tblStyleColBandSize w:val="1"/>
      <w:tblBorders>
        <w:top w:val="single" w:sz="4" w:space="0" w:color="9F9F9F" w:themeColor="text1" w:themeTint="80"/>
        <w:bottom w:val="single" w:sz="4" w:space="0" w:color="9F9F9F" w:themeColor="text1" w:themeTint="80"/>
      </w:tblBorders>
    </w:tblPr>
    <w:tblStylePr w:type="firstRow">
      <w:rPr>
        <w:b/>
        <w:bCs/>
      </w:rPr>
      <w:tblPr/>
      <w:tcPr>
        <w:tcBorders>
          <w:bottom w:val="single" w:sz="4" w:space="0" w:color="9F9F9F" w:themeColor="text1" w:themeTint="80"/>
        </w:tcBorders>
      </w:tcPr>
    </w:tblStylePr>
    <w:tblStylePr w:type="lastRow">
      <w:rPr>
        <w:b/>
        <w:bCs/>
      </w:rPr>
      <w:tblPr/>
      <w:tcPr>
        <w:tcBorders>
          <w:top w:val="single" w:sz="4" w:space="0" w:color="9F9F9F" w:themeColor="text1" w:themeTint="80"/>
        </w:tcBorders>
      </w:tcPr>
    </w:tblStylePr>
    <w:tblStylePr w:type="firstCol">
      <w:rPr>
        <w:b/>
        <w:bCs/>
      </w:rPr>
    </w:tblStylePr>
    <w:tblStylePr w:type="lastCol">
      <w:rPr>
        <w:b/>
        <w:bCs/>
      </w:rPr>
    </w:tblStylePr>
    <w:tblStylePr w:type="band1Vert">
      <w:tblPr/>
      <w:tcPr>
        <w:tcBorders>
          <w:left w:val="single" w:sz="4" w:space="0" w:color="9F9F9F" w:themeColor="text1" w:themeTint="80"/>
          <w:right w:val="single" w:sz="4" w:space="0" w:color="9F9F9F" w:themeColor="text1" w:themeTint="80"/>
        </w:tcBorders>
      </w:tcPr>
    </w:tblStylePr>
    <w:tblStylePr w:type="band2Vert">
      <w:tblPr/>
      <w:tcPr>
        <w:tcBorders>
          <w:left w:val="single" w:sz="4" w:space="0" w:color="9F9F9F" w:themeColor="text1" w:themeTint="80"/>
          <w:right w:val="single" w:sz="4" w:space="0" w:color="9F9F9F" w:themeColor="text1" w:themeTint="80"/>
        </w:tcBorders>
      </w:tcPr>
    </w:tblStylePr>
    <w:tblStylePr w:type="band1Horz">
      <w:tblPr/>
      <w:tcPr>
        <w:tcBorders>
          <w:top w:val="single" w:sz="4" w:space="0" w:color="9F9F9F" w:themeColor="text1" w:themeTint="80"/>
          <w:bottom w:val="single" w:sz="4" w:space="0" w:color="9F9F9F" w:themeColor="text1" w:themeTint="80"/>
        </w:tcBorders>
      </w:tcPr>
    </w:tblStylePr>
  </w:style>
  <w:style w:type="table" w:customStyle="1" w:styleId="PlainTable31">
    <w:name w:val="Plain Table 31"/>
    <w:basedOn w:val="a4"/>
    <w:uiPriority w:val="43"/>
    <w:rsid w:val="00F527CC"/>
    <w:pPr>
      <w:spacing w:after="0" w:line="240" w:lineRule="auto"/>
    </w:pPr>
    <w:tblPr>
      <w:tblStyleRowBandSize w:val="1"/>
      <w:tblStyleColBandSize w:val="1"/>
    </w:tblPr>
    <w:tblStylePr w:type="firstRow">
      <w:rPr>
        <w:b/>
        <w:bCs/>
        <w:caps/>
      </w:rPr>
      <w:tblPr/>
      <w:tcPr>
        <w:tcBorders>
          <w:bottom w:val="single" w:sz="4" w:space="0" w:color="9F9F9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F9F9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a4"/>
    <w:uiPriority w:val="44"/>
    <w:rsid w:val="00F527C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a4"/>
    <w:uiPriority w:val="45"/>
    <w:rsid w:val="00F527C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9F9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9F9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9F9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9F9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e">
    <w:name w:val="Plain Text"/>
    <w:basedOn w:val="a2"/>
    <w:link w:val="afffff"/>
    <w:uiPriority w:val="99"/>
    <w:semiHidden/>
    <w:unhideWhenUsed/>
    <w:rsid w:val="00F527CC"/>
    <w:pPr>
      <w:spacing w:after="0" w:line="240" w:lineRule="auto"/>
    </w:pPr>
    <w:rPr>
      <w:rFonts w:ascii="Consolas" w:hAnsi="Consolas"/>
      <w:sz w:val="21"/>
      <w:szCs w:val="21"/>
    </w:rPr>
  </w:style>
  <w:style w:type="character" w:customStyle="1" w:styleId="afffff">
    <w:name w:val="Текст Знак"/>
    <w:basedOn w:val="a3"/>
    <w:link w:val="affffe"/>
    <w:uiPriority w:val="99"/>
    <w:semiHidden/>
    <w:rsid w:val="00F527CC"/>
    <w:rPr>
      <w:rFonts w:ascii="Consolas" w:hAnsi="Consolas"/>
      <w:sz w:val="21"/>
      <w:szCs w:val="21"/>
      <w:lang w:val="en-US"/>
    </w:rPr>
  </w:style>
  <w:style w:type="paragraph" w:styleId="afffff0">
    <w:name w:val="Salutation"/>
    <w:basedOn w:val="a2"/>
    <w:next w:val="a2"/>
    <w:link w:val="afffff1"/>
    <w:uiPriority w:val="99"/>
    <w:semiHidden/>
    <w:unhideWhenUsed/>
    <w:rsid w:val="00F527CC"/>
  </w:style>
  <w:style w:type="character" w:customStyle="1" w:styleId="afffff1">
    <w:name w:val="Приветствие Знак"/>
    <w:basedOn w:val="a3"/>
    <w:link w:val="afffff0"/>
    <w:uiPriority w:val="99"/>
    <w:semiHidden/>
    <w:rsid w:val="00F527CC"/>
    <w:rPr>
      <w:lang w:val="en-US"/>
    </w:rPr>
  </w:style>
  <w:style w:type="paragraph" w:styleId="afffff2">
    <w:name w:val="Signature"/>
    <w:basedOn w:val="a2"/>
    <w:link w:val="afffff3"/>
    <w:uiPriority w:val="99"/>
    <w:semiHidden/>
    <w:unhideWhenUsed/>
    <w:rsid w:val="00F527CC"/>
    <w:pPr>
      <w:spacing w:after="0" w:line="240" w:lineRule="auto"/>
      <w:ind w:left="4252"/>
    </w:pPr>
  </w:style>
  <w:style w:type="character" w:customStyle="1" w:styleId="afffff3">
    <w:name w:val="Подпись Знак"/>
    <w:basedOn w:val="a3"/>
    <w:link w:val="afffff2"/>
    <w:uiPriority w:val="99"/>
    <w:semiHidden/>
    <w:rsid w:val="00F527CC"/>
    <w:rPr>
      <w:lang w:val="en-US"/>
    </w:rPr>
  </w:style>
  <w:style w:type="character" w:styleId="afffff4">
    <w:name w:val="Strong"/>
    <w:basedOn w:val="a3"/>
    <w:uiPriority w:val="22"/>
    <w:qFormat/>
    <w:rsid w:val="00F527CC"/>
    <w:rPr>
      <w:b/>
      <w:bCs/>
      <w:lang w:val="en-US"/>
    </w:rPr>
  </w:style>
  <w:style w:type="character" w:styleId="afffff5">
    <w:name w:val="Subtle Emphasis"/>
    <w:basedOn w:val="a3"/>
    <w:uiPriority w:val="19"/>
    <w:qFormat/>
    <w:rsid w:val="00F527CC"/>
    <w:rPr>
      <w:i/>
      <w:iCs/>
      <w:color w:val="6F6F6F" w:themeColor="text1" w:themeTint="BF"/>
      <w:lang w:val="en-US"/>
    </w:rPr>
  </w:style>
  <w:style w:type="character" w:styleId="afffff6">
    <w:name w:val="Subtle Reference"/>
    <w:basedOn w:val="a3"/>
    <w:uiPriority w:val="31"/>
    <w:qFormat/>
    <w:rsid w:val="00F527CC"/>
    <w:rPr>
      <w:smallCaps/>
      <w:color w:val="838383" w:themeColor="text1" w:themeTint="A5"/>
      <w:lang w:val="en-US"/>
    </w:rPr>
  </w:style>
  <w:style w:type="table" w:styleId="16">
    <w:name w:val="Table 3D effects 1"/>
    <w:basedOn w:val="a4"/>
    <w:uiPriority w:val="99"/>
    <w:semiHidden/>
    <w:unhideWhenUsed/>
    <w:rsid w:val="00F527CC"/>
    <w:pPr>
      <w:spacing w:after="1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4"/>
    <w:uiPriority w:val="99"/>
    <w:semiHidden/>
    <w:unhideWhenUsed/>
    <w:rsid w:val="00F527CC"/>
    <w:pPr>
      <w:spacing w:after="1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4"/>
    <w:uiPriority w:val="99"/>
    <w:semiHidden/>
    <w:unhideWhenUsed/>
    <w:rsid w:val="00F527CC"/>
    <w:pPr>
      <w:spacing w:after="1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4"/>
    <w:uiPriority w:val="99"/>
    <w:semiHidden/>
    <w:unhideWhenUsed/>
    <w:rsid w:val="00F527CC"/>
    <w:pPr>
      <w:spacing w:after="1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4"/>
    <w:uiPriority w:val="99"/>
    <w:semiHidden/>
    <w:unhideWhenUsed/>
    <w:rsid w:val="00F527CC"/>
    <w:pPr>
      <w:spacing w:after="1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4"/>
    <w:uiPriority w:val="99"/>
    <w:semiHidden/>
    <w:unhideWhenUsed/>
    <w:rsid w:val="00F527CC"/>
    <w:pPr>
      <w:spacing w:after="1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uiPriority w:val="99"/>
    <w:semiHidden/>
    <w:unhideWhenUsed/>
    <w:rsid w:val="00F527CC"/>
    <w:pPr>
      <w:spacing w:after="1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Colorful 1"/>
    <w:basedOn w:val="a4"/>
    <w:uiPriority w:val="99"/>
    <w:semiHidden/>
    <w:unhideWhenUsed/>
    <w:rsid w:val="00F527CC"/>
    <w:pPr>
      <w:spacing w:after="1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uiPriority w:val="99"/>
    <w:semiHidden/>
    <w:unhideWhenUsed/>
    <w:rsid w:val="00F527CC"/>
    <w:pPr>
      <w:spacing w:after="1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4"/>
    <w:uiPriority w:val="99"/>
    <w:semiHidden/>
    <w:unhideWhenUsed/>
    <w:rsid w:val="00F527CC"/>
    <w:pPr>
      <w:spacing w:after="1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9">
    <w:name w:val="Table Columns 1"/>
    <w:basedOn w:val="a4"/>
    <w:uiPriority w:val="99"/>
    <w:semiHidden/>
    <w:unhideWhenUsed/>
    <w:rsid w:val="00F527CC"/>
    <w:pPr>
      <w:spacing w:after="1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4"/>
    <w:uiPriority w:val="99"/>
    <w:semiHidden/>
    <w:unhideWhenUsed/>
    <w:rsid w:val="00F527CC"/>
    <w:pPr>
      <w:spacing w:after="1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F527CC"/>
    <w:pPr>
      <w:spacing w:after="1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F527CC"/>
    <w:pPr>
      <w:spacing w:after="1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uiPriority w:val="99"/>
    <w:semiHidden/>
    <w:unhideWhenUsed/>
    <w:rsid w:val="00F527CC"/>
    <w:pPr>
      <w:spacing w:after="1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7">
    <w:name w:val="Table Contemporary"/>
    <w:basedOn w:val="a4"/>
    <w:uiPriority w:val="99"/>
    <w:semiHidden/>
    <w:unhideWhenUsed/>
    <w:rsid w:val="00F527CC"/>
    <w:pPr>
      <w:spacing w:after="1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8">
    <w:name w:val="Table Elegant"/>
    <w:basedOn w:val="a4"/>
    <w:uiPriority w:val="99"/>
    <w:semiHidden/>
    <w:unhideWhenUsed/>
    <w:rsid w:val="00F527CC"/>
    <w:pPr>
      <w:spacing w:after="1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Grid 1"/>
    <w:basedOn w:val="a4"/>
    <w:uiPriority w:val="99"/>
    <w:semiHidden/>
    <w:unhideWhenUsed/>
    <w:rsid w:val="00F527CC"/>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4"/>
    <w:uiPriority w:val="99"/>
    <w:semiHidden/>
    <w:unhideWhenUsed/>
    <w:rsid w:val="00F527CC"/>
    <w:pPr>
      <w:spacing w:after="1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4"/>
    <w:uiPriority w:val="99"/>
    <w:semiHidden/>
    <w:unhideWhenUsed/>
    <w:rsid w:val="00F527CC"/>
    <w:pPr>
      <w:spacing w:after="1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4"/>
    <w:uiPriority w:val="99"/>
    <w:semiHidden/>
    <w:unhideWhenUsed/>
    <w:rsid w:val="00F527CC"/>
    <w:pPr>
      <w:spacing w:after="1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F527CC"/>
    <w:pPr>
      <w:spacing w:after="1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F527CC"/>
    <w:pPr>
      <w:spacing w:after="1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a4"/>
    <w:uiPriority w:val="40"/>
    <w:rsid w:val="00F527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6">
    <w:name w:val="Table List 1"/>
    <w:basedOn w:val="a4"/>
    <w:uiPriority w:val="99"/>
    <w:semiHidden/>
    <w:unhideWhenUsed/>
    <w:rsid w:val="00F527CC"/>
    <w:pPr>
      <w:spacing w:after="1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List 2"/>
    <w:basedOn w:val="a4"/>
    <w:uiPriority w:val="99"/>
    <w:semiHidden/>
    <w:unhideWhenUsed/>
    <w:rsid w:val="00F527CC"/>
    <w:pPr>
      <w:spacing w:after="1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List 3"/>
    <w:basedOn w:val="a4"/>
    <w:uiPriority w:val="99"/>
    <w:semiHidden/>
    <w:unhideWhenUsed/>
    <w:rsid w:val="00F527CC"/>
    <w:pPr>
      <w:spacing w:after="1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6">
    <w:name w:val="Table List 4"/>
    <w:basedOn w:val="a4"/>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uiPriority w:val="99"/>
    <w:semiHidden/>
    <w:unhideWhenUsed/>
    <w:rsid w:val="00F527CC"/>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6">
    <w:name w:val="Table List 6"/>
    <w:basedOn w:val="a4"/>
    <w:uiPriority w:val="99"/>
    <w:semiHidden/>
    <w:unhideWhenUsed/>
    <w:rsid w:val="00F527CC"/>
    <w:pPr>
      <w:spacing w:after="1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F527CC"/>
    <w:pPr>
      <w:spacing w:after="1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F527CC"/>
    <w:pPr>
      <w:spacing w:after="1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9">
    <w:name w:val="table of authorities"/>
    <w:basedOn w:val="a2"/>
    <w:next w:val="a2"/>
    <w:uiPriority w:val="99"/>
    <w:semiHidden/>
    <w:unhideWhenUsed/>
    <w:rsid w:val="00F527CC"/>
    <w:pPr>
      <w:spacing w:after="0"/>
      <w:ind w:left="220" w:hanging="220"/>
    </w:pPr>
  </w:style>
  <w:style w:type="paragraph" w:styleId="afffffa">
    <w:name w:val="table of figures"/>
    <w:basedOn w:val="a2"/>
    <w:next w:val="a2"/>
    <w:uiPriority w:val="99"/>
    <w:semiHidden/>
    <w:unhideWhenUsed/>
    <w:rsid w:val="00F527CC"/>
    <w:pPr>
      <w:spacing w:after="0"/>
    </w:pPr>
  </w:style>
  <w:style w:type="table" w:styleId="afffffb">
    <w:name w:val="Table Professional"/>
    <w:basedOn w:val="a4"/>
    <w:uiPriority w:val="99"/>
    <w:semiHidden/>
    <w:unhideWhenUsed/>
    <w:rsid w:val="00F527CC"/>
    <w:pPr>
      <w:spacing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4"/>
    <w:uiPriority w:val="99"/>
    <w:semiHidden/>
    <w:unhideWhenUsed/>
    <w:rsid w:val="00F527CC"/>
    <w:pPr>
      <w:spacing w:after="1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4"/>
    <w:uiPriority w:val="99"/>
    <w:semiHidden/>
    <w:unhideWhenUsed/>
    <w:rsid w:val="00F527CC"/>
    <w:pPr>
      <w:spacing w:after="1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4"/>
    <w:uiPriority w:val="99"/>
    <w:semiHidden/>
    <w:unhideWhenUsed/>
    <w:rsid w:val="00F527CC"/>
    <w:pPr>
      <w:spacing w:after="1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4"/>
    <w:uiPriority w:val="99"/>
    <w:semiHidden/>
    <w:unhideWhenUsed/>
    <w:rsid w:val="00F527CC"/>
    <w:pPr>
      <w:spacing w:after="1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4"/>
    <w:uiPriority w:val="99"/>
    <w:semiHidden/>
    <w:unhideWhenUsed/>
    <w:rsid w:val="00F527CC"/>
    <w:pPr>
      <w:spacing w:after="1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Theme"/>
    <w:basedOn w:val="a4"/>
    <w:uiPriority w:val="99"/>
    <w:semiHidden/>
    <w:unhideWhenUsed/>
    <w:rsid w:val="00F527CC"/>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Web 1"/>
    <w:basedOn w:val="a4"/>
    <w:uiPriority w:val="99"/>
    <w:semiHidden/>
    <w:unhideWhenUsed/>
    <w:rsid w:val="00F527CC"/>
    <w:pPr>
      <w:spacing w:after="1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4"/>
    <w:uiPriority w:val="99"/>
    <w:semiHidden/>
    <w:unhideWhenUsed/>
    <w:rsid w:val="00F527CC"/>
    <w:pPr>
      <w:spacing w:after="1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7">
    <w:name w:val="Table Web 3"/>
    <w:basedOn w:val="a4"/>
    <w:uiPriority w:val="99"/>
    <w:semiHidden/>
    <w:unhideWhenUsed/>
    <w:rsid w:val="00F527CC"/>
    <w:pPr>
      <w:spacing w:after="1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d">
    <w:name w:val="toa heading"/>
    <w:basedOn w:val="a2"/>
    <w:next w:val="a2"/>
    <w:uiPriority w:val="99"/>
    <w:semiHidden/>
    <w:unhideWhenUsed/>
    <w:rsid w:val="00F527CC"/>
    <w:pPr>
      <w:spacing w:before="120"/>
    </w:pPr>
    <w:rPr>
      <w:rFonts w:eastAsiaTheme="majorEastAsia" w:cs="Arial"/>
      <w:b/>
      <w:bCs/>
      <w:sz w:val="24"/>
      <w:szCs w:val="24"/>
    </w:rPr>
  </w:style>
  <w:style w:type="paragraph" w:styleId="58">
    <w:name w:val="toc 5"/>
    <w:basedOn w:val="a2"/>
    <w:next w:val="a2"/>
    <w:autoRedefine/>
    <w:uiPriority w:val="39"/>
    <w:unhideWhenUsed/>
    <w:rsid w:val="00F527CC"/>
    <w:pPr>
      <w:spacing w:after="100"/>
      <w:ind w:left="880"/>
    </w:pPr>
  </w:style>
  <w:style w:type="paragraph" w:styleId="63">
    <w:name w:val="toc 6"/>
    <w:basedOn w:val="a2"/>
    <w:next w:val="a2"/>
    <w:autoRedefine/>
    <w:uiPriority w:val="39"/>
    <w:unhideWhenUsed/>
    <w:rsid w:val="00F527CC"/>
    <w:pPr>
      <w:spacing w:after="100"/>
      <w:ind w:left="1100"/>
    </w:pPr>
  </w:style>
  <w:style w:type="paragraph" w:styleId="73">
    <w:name w:val="toc 7"/>
    <w:basedOn w:val="a2"/>
    <w:next w:val="a2"/>
    <w:autoRedefine/>
    <w:uiPriority w:val="39"/>
    <w:unhideWhenUsed/>
    <w:rsid w:val="00F527CC"/>
    <w:pPr>
      <w:spacing w:after="100"/>
      <w:ind w:left="1320"/>
    </w:pPr>
  </w:style>
  <w:style w:type="paragraph" w:styleId="83">
    <w:name w:val="toc 8"/>
    <w:basedOn w:val="a2"/>
    <w:next w:val="a2"/>
    <w:autoRedefine/>
    <w:uiPriority w:val="39"/>
    <w:unhideWhenUsed/>
    <w:rsid w:val="00F527CC"/>
    <w:pPr>
      <w:spacing w:after="100"/>
      <w:ind w:left="1540"/>
    </w:pPr>
  </w:style>
  <w:style w:type="paragraph" w:styleId="92">
    <w:name w:val="toc 9"/>
    <w:basedOn w:val="a2"/>
    <w:next w:val="a2"/>
    <w:autoRedefine/>
    <w:uiPriority w:val="39"/>
    <w:unhideWhenUsed/>
    <w:rsid w:val="00F527CC"/>
    <w:pPr>
      <w:spacing w:after="100"/>
      <w:ind w:left="1760"/>
    </w:pPr>
  </w:style>
  <w:style w:type="paragraph" w:styleId="afffffe">
    <w:name w:val="TOC Heading"/>
    <w:basedOn w:val="1"/>
    <w:next w:val="a2"/>
    <w:uiPriority w:val="39"/>
    <w:unhideWhenUsed/>
    <w:qFormat/>
    <w:rsid w:val="00F527CC"/>
    <w:pPr>
      <w:numPr>
        <w:numId w:val="0"/>
      </w:numPr>
      <w:spacing w:before="240" w:after="0" w:line="240" w:lineRule="atLeast"/>
      <w:outlineLvl w:val="9"/>
    </w:pPr>
    <w:rPr>
      <w:bCs w:val="0"/>
      <w:noProof w:val="0"/>
      <w:color w:val="939599" w:themeColor="accent1" w:themeShade="BF"/>
      <w:sz w:val="32"/>
      <w:szCs w:val="32"/>
    </w:rPr>
  </w:style>
  <w:style w:type="character" w:customStyle="1" w:styleId="1d">
    <w:name w:val="Хэштег1"/>
    <w:basedOn w:val="a3"/>
    <w:uiPriority w:val="99"/>
    <w:semiHidden/>
    <w:unhideWhenUsed/>
    <w:rsid w:val="009F52F1"/>
    <w:rPr>
      <w:color w:val="2B579A"/>
      <w:shd w:val="clear" w:color="auto" w:fill="E6E6E6"/>
    </w:rPr>
  </w:style>
  <w:style w:type="character" w:customStyle="1" w:styleId="1e">
    <w:name w:val="Упомянуть1"/>
    <w:basedOn w:val="a3"/>
    <w:uiPriority w:val="99"/>
    <w:semiHidden/>
    <w:unhideWhenUsed/>
    <w:rsid w:val="009F52F1"/>
    <w:rPr>
      <w:color w:val="2B579A"/>
      <w:shd w:val="clear" w:color="auto" w:fill="E6E6E6"/>
    </w:rPr>
  </w:style>
  <w:style w:type="character" w:customStyle="1" w:styleId="-18">
    <w:name w:val="Смарт-гиперссылка1"/>
    <w:basedOn w:val="a3"/>
    <w:uiPriority w:val="99"/>
    <w:semiHidden/>
    <w:unhideWhenUsed/>
    <w:rsid w:val="009F52F1"/>
    <w:rPr>
      <w:u w:val="dotted"/>
    </w:rPr>
  </w:style>
  <w:style w:type="character" w:customStyle="1" w:styleId="1f">
    <w:name w:val="Неразрешенное упоминание1"/>
    <w:basedOn w:val="a3"/>
    <w:uiPriority w:val="99"/>
    <w:semiHidden/>
    <w:unhideWhenUsed/>
    <w:rsid w:val="009F52F1"/>
    <w:rPr>
      <w:color w:val="808080"/>
      <w:shd w:val="clear" w:color="auto" w:fill="E6E6E6"/>
    </w:rPr>
  </w:style>
  <w:style w:type="table" w:customStyle="1" w:styleId="TableGrid2">
    <w:name w:val="Table Grid2"/>
    <w:basedOn w:val="a4"/>
    <w:next w:val="aa"/>
    <w:uiPriority w:val="59"/>
    <w:rsid w:val="009F52F1"/>
    <w:pPr>
      <w:spacing w:after="0" w:line="240" w:lineRule="auto"/>
    </w:pPr>
    <w:rPr>
      <w:rFonts w:ascii="Calibri" w:eastAsia="Calibri" w:hAnsi="Calibri"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Абзац списка Знак"/>
    <w:aliases w:val="Paragraph Знак,Header 2 Знак,Head1.1 Знак,References Знак,Paragraphe de liste1 Знак,List Paragraph1 Знак,Liste couleur - Accent 11 Знак,Liste couleur - Accent 111 Знак,Paragraphe de liste3 Знак,List Paragraph2 Знак,Bullets Знак,lp Знак"/>
    <w:basedOn w:val="a3"/>
    <w:link w:val="affff3"/>
    <w:uiPriority w:val="34"/>
    <w:qFormat/>
    <w:locked/>
    <w:rsid w:val="009A6DE4"/>
    <w:rPr>
      <w:lang w:val="en-US"/>
    </w:rPr>
  </w:style>
  <w:style w:type="table" w:customStyle="1" w:styleId="TableGrid3">
    <w:name w:val="Table Grid3"/>
    <w:basedOn w:val="a4"/>
    <w:next w:val="aa"/>
    <w:uiPriority w:val="39"/>
    <w:rsid w:val="00485066"/>
    <w:pPr>
      <w:spacing w:after="0" w:line="240" w:lineRule="auto"/>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4"/>
    <w:next w:val="aa"/>
    <w:uiPriority w:val="59"/>
    <w:rsid w:val="003F4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n Char2,Footnote ak Char2,fn Char Char2,footnote text Char Char1,Footnotes Char Char2,Footnote ak Char Char1,ft Char1,fn cafc Char1,Footnotes Char Char Char1,Footnote Text Char Char Char1,fn Char Char Char1,footnote text Char2"/>
    <w:basedOn w:val="a3"/>
    <w:uiPriority w:val="99"/>
    <w:semiHidden/>
    <w:locked/>
    <w:rsid w:val="004807FB"/>
    <w:rPr>
      <w:rFonts w:ascii="Arial" w:eastAsia="SimSun" w:hAnsi="Arial" w:cs="Times New Roman"/>
      <w:sz w:val="20"/>
      <w:szCs w:val="20"/>
      <w:lang w:val="en-US" w:eastAsia="zh-CN"/>
    </w:rPr>
  </w:style>
  <w:style w:type="paragraph" w:styleId="affffff">
    <w:name w:val="Revision"/>
    <w:hidden/>
    <w:uiPriority w:val="99"/>
    <w:semiHidden/>
    <w:rsid w:val="00F85686"/>
    <w:pPr>
      <w:spacing w:after="0" w:line="240" w:lineRule="auto"/>
    </w:pPr>
    <w:rPr>
      <w:lang w:val="en-US"/>
    </w:rPr>
  </w:style>
  <w:style w:type="paragraph" w:customStyle="1" w:styleId="paragraph">
    <w:name w:val="paragraph"/>
    <w:basedOn w:val="a2"/>
    <w:rsid w:val="00854A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3"/>
    <w:rsid w:val="00854A89"/>
  </w:style>
  <w:style w:type="character" w:customStyle="1" w:styleId="eop">
    <w:name w:val="eop"/>
    <w:basedOn w:val="a3"/>
    <w:rsid w:val="00854A89"/>
  </w:style>
  <w:style w:type="paragraph" w:customStyle="1" w:styleId="Default">
    <w:name w:val="Default"/>
    <w:rsid w:val="00172EDE"/>
    <w:pPr>
      <w:autoSpaceDE w:val="0"/>
      <w:autoSpaceDN w:val="0"/>
      <w:adjustRightInd w:val="0"/>
      <w:spacing w:after="0" w:line="240" w:lineRule="auto"/>
    </w:pPr>
    <w:rPr>
      <w:rFonts w:cs="Arial"/>
      <w:color w:val="000000"/>
      <w:sz w:val="24"/>
      <w:szCs w:val="24"/>
      <w:lang w:val="en-US"/>
    </w:rPr>
  </w:style>
  <w:style w:type="paragraph" w:customStyle="1" w:styleId="Char2">
    <w:name w:val="Char2"/>
    <w:basedOn w:val="a2"/>
    <w:link w:val="af"/>
    <w:uiPriority w:val="99"/>
    <w:rsid w:val="006E5FEA"/>
    <w:pPr>
      <w:spacing w:after="160" w:line="240" w:lineRule="exact"/>
    </w:pPr>
    <w:rPr>
      <w:vertAlign w:val="superscript"/>
    </w:rPr>
  </w:style>
  <w:style w:type="character" w:customStyle="1" w:styleId="longtext">
    <w:name w:val="long_text"/>
    <w:basedOn w:val="a3"/>
    <w:rsid w:val="006E5FEA"/>
  </w:style>
  <w:style w:type="character" w:customStyle="1" w:styleId="apple-converted-space">
    <w:name w:val="apple-converted-space"/>
    <w:basedOn w:val="a3"/>
    <w:rsid w:val="002B4EA3"/>
  </w:style>
  <w:style w:type="paragraph" w:customStyle="1" w:styleId="ydpc8710e1bmsonormal">
    <w:name w:val="ydpc8710e1bmsonormal"/>
    <w:basedOn w:val="a2"/>
    <w:rsid w:val="002B4EA3"/>
    <w:pPr>
      <w:spacing w:before="100" w:beforeAutospacing="1" w:after="100" w:afterAutospacing="1" w:line="240" w:lineRule="auto"/>
    </w:pPr>
    <w:rPr>
      <w:rFonts w:ascii="Times" w:eastAsiaTheme="minorEastAsia" w:hAnsi="Times"/>
      <w:sz w:val="20"/>
      <w:szCs w:val="20"/>
    </w:rPr>
  </w:style>
  <w:style w:type="paragraph" w:customStyle="1" w:styleId="EndNoteBibliography">
    <w:name w:val="EndNote Bibliography"/>
    <w:basedOn w:val="a2"/>
    <w:link w:val="EndNoteBibliographyChar"/>
    <w:rsid w:val="002B4EA3"/>
    <w:pPr>
      <w:spacing w:after="200" w:line="240" w:lineRule="auto"/>
      <w:jc w:val="both"/>
    </w:pPr>
    <w:rPr>
      <w:rFonts w:ascii="Calibri" w:eastAsiaTheme="minorEastAsia" w:hAnsi="Calibri"/>
      <w:noProof/>
      <w:lang w:eastAsia="en-GB"/>
    </w:rPr>
  </w:style>
  <w:style w:type="character" w:customStyle="1" w:styleId="EndNoteBibliographyChar">
    <w:name w:val="EndNote Bibliography Char"/>
    <w:basedOn w:val="a3"/>
    <w:link w:val="EndNoteBibliography"/>
    <w:rsid w:val="002B4EA3"/>
    <w:rPr>
      <w:rFonts w:ascii="Calibri" w:eastAsiaTheme="minorEastAsia" w:hAnsi="Calibri"/>
      <w:noProof/>
      <w:lang w:val="en-US" w:eastAsia="en-GB"/>
    </w:rPr>
  </w:style>
  <w:style w:type="character" w:customStyle="1" w:styleId="highwire-cite-journal">
    <w:name w:val="highwire-cite-journal"/>
    <w:basedOn w:val="a3"/>
    <w:rsid w:val="002B4EA3"/>
  </w:style>
  <w:style w:type="character" w:customStyle="1" w:styleId="highwire-cite-published-year">
    <w:name w:val="highwire-cite-published-year"/>
    <w:basedOn w:val="a3"/>
    <w:rsid w:val="002B4EA3"/>
  </w:style>
  <w:style w:type="character" w:customStyle="1" w:styleId="name">
    <w:name w:val="name"/>
    <w:basedOn w:val="a3"/>
    <w:rsid w:val="002B4EA3"/>
  </w:style>
  <w:style w:type="character" w:customStyle="1" w:styleId="contrib-role">
    <w:name w:val="contrib-role"/>
    <w:basedOn w:val="a3"/>
    <w:rsid w:val="002B4EA3"/>
  </w:style>
  <w:style w:type="table" w:customStyle="1" w:styleId="TableGrid">
    <w:name w:val="TableGrid"/>
    <w:rsid w:val="002B4EA3"/>
    <w:pPr>
      <w:spacing w:after="0" w:line="240" w:lineRule="auto"/>
    </w:pPr>
    <w:rPr>
      <w:rFonts w:asciiTheme="minorHAnsi" w:eastAsiaTheme="minorEastAsia" w:hAnsiTheme="minorHAnsi"/>
      <w:lang w:val="fr-BE" w:eastAsia="fr-BE"/>
    </w:rPr>
    <w:tblPr>
      <w:tblCellMar>
        <w:top w:w="0" w:type="dxa"/>
        <w:left w:w="0" w:type="dxa"/>
        <w:bottom w:w="0" w:type="dxa"/>
        <w:right w:w="0" w:type="dxa"/>
      </w:tblCellMar>
    </w:tblPr>
  </w:style>
  <w:style w:type="paragraph" w:customStyle="1" w:styleId="norm">
    <w:name w:val="norm"/>
    <w:basedOn w:val="a2"/>
    <w:rsid w:val="002B4EA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harCharCharCharCharCharCharCharCharChar">
    <w:name w:val="Char Char Char Char Char Char Char Char Char Char"/>
    <w:basedOn w:val="a2"/>
    <w:rsid w:val="002B4EA3"/>
    <w:pPr>
      <w:spacing w:after="160" w:line="240" w:lineRule="exact"/>
    </w:pPr>
    <w:rPr>
      <w:rFonts w:eastAsia="Batang" w:cs="Arial"/>
      <w:sz w:val="20"/>
      <w:szCs w:val="20"/>
    </w:rPr>
  </w:style>
  <w:style w:type="paragraph" w:customStyle="1" w:styleId="yiv7097389575ydp23f4d815yiv6508507777ydpffa531aayiv8856891045msonormal">
    <w:name w:val="yiv7097389575ydp23f4d815yiv6508507777ydpffa531aayiv8856891045msonormal"/>
    <w:basedOn w:val="a2"/>
    <w:rsid w:val="002B4EA3"/>
    <w:pPr>
      <w:spacing w:before="100" w:beforeAutospacing="1" w:after="100" w:afterAutospacing="1" w:line="240" w:lineRule="auto"/>
    </w:pPr>
    <w:rPr>
      <w:rFonts w:ascii="Times" w:eastAsiaTheme="minorEastAsia" w:hAnsi="Times"/>
      <w:sz w:val="20"/>
      <w:szCs w:val="20"/>
    </w:rPr>
  </w:style>
  <w:style w:type="character" w:customStyle="1" w:styleId="citation">
    <w:name w:val="citation"/>
    <w:basedOn w:val="a3"/>
    <w:rsid w:val="002B4EA3"/>
  </w:style>
  <w:style w:type="paragraph" w:customStyle="1" w:styleId="DefaultParagraphFontParaChar">
    <w:name w:val="Default Paragraph Font Para Char"/>
    <w:basedOn w:val="a2"/>
    <w:locked/>
    <w:rsid w:val="002B4EA3"/>
    <w:pPr>
      <w:spacing w:after="160" w:line="240" w:lineRule="auto"/>
    </w:pPr>
    <w:rPr>
      <w:rFonts w:ascii="Verdana" w:eastAsia="Batang" w:hAnsi="Verdana" w:cs="Verdana"/>
      <w:sz w:val="24"/>
      <w:szCs w:val="24"/>
    </w:rPr>
  </w:style>
  <w:style w:type="paragraph" w:customStyle="1" w:styleId="Outline1">
    <w:name w:val="Outline1"/>
    <w:basedOn w:val="a2"/>
    <w:next w:val="a2"/>
    <w:rsid w:val="002B4EA3"/>
    <w:pPr>
      <w:keepNext/>
      <w:tabs>
        <w:tab w:val="left" w:pos="360"/>
      </w:tabs>
      <w:autoSpaceDE w:val="0"/>
      <w:autoSpaceDN w:val="0"/>
      <w:spacing w:before="240" w:after="0" w:line="240" w:lineRule="auto"/>
      <w:ind w:left="360" w:hanging="360"/>
    </w:pPr>
    <w:rPr>
      <w:rFonts w:eastAsia="Times New Roman" w:cs="Arial"/>
      <w:kern w:val="28"/>
      <w:sz w:val="24"/>
      <w:szCs w:val="24"/>
    </w:rPr>
  </w:style>
  <w:style w:type="character" w:customStyle="1" w:styleId="st">
    <w:name w:val="st"/>
    <w:basedOn w:val="a3"/>
    <w:rsid w:val="002B4EA3"/>
  </w:style>
  <w:style w:type="paragraph" w:customStyle="1" w:styleId="rtejustify">
    <w:name w:val="rtejustify"/>
    <w:basedOn w:val="a2"/>
    <w:rsid w:val="002B4EA3"/>
    <w:pPr>
      <w:spacing w:before="100" w:beforeAutospacing="1" w:after="100" w:afterAutospacing="1" w:line="240" w:lineRule="auto"/>
    </w:pPr>
    <w:rPr>
      <w:rFonts w:ascii="Times" w:eastAsiaTheme="minorEastAsia" w:hAnsi="Times"/>
      <w:sz w:val="20"/>
      <w:szCs w:val="20"/>
    </w:rPr>
  </w:style>
  <w:style w:type="paragraph" w:customStyle="1" w:styleId="doc-info">
    <w:name w:val="doc-info"/>
    <w:basedOn w:val="a2"/>
    <w:rsid w:val="002B4EA3"/>
    <w:pPr>
      <w:spacing w:before="100" w:beforeAutospacing="1" w:after="100" w:afterAutospacing="1" w:line="240" w:lineRule="auto"/>
    </w:pPr>
    <w:rPr>
      <w:rFonts w:ascii="Times" w:eastAsiaTheme="minorEastAsia" w:hAnsi="Times"/>
      <w:sz w:val="20"/>
      <w:szCs w:val="20"/>
    </w:rPr>
  </w:style>
  <w:style w:type="paragraph" w:customStyle="1" w:styleId="dname">
    <w:name w:val="dname"/>
    <w:basedOn w:val="a2"/>
    <w:rsid w:val="002B4EA3"/>
    <w:pPr>
      <w:spacing w:before="100" w:beforeAutospacing="1" w:after="100" w:afterAutospacing="1" w:line="240" w:lineRule="auto"/>
    </w:pPr>
    <w:rPr>
      <w:rFonts w:ascii="Times" w:eastAsiaTheme="minorEastAsia" w:hAnsi="Times"/>
      <w:sz w:val="20"/>
      <w:szCs w:val="20"/>
    </w:rPr>
  </w:style>
  <w:style w:type="paragraph" w:customStyle="1" w:styleId="Pa15">
    <w:name w:val="Pa15"/>
    <w:basedOn w:val="a2"/>
    <w:next w:val="a2"/>
    <w:uiPriority w:val="99"/>
    <w:rsid w:val="002B4EA3"/>
    <w:pPr>
      <w:autoSpaceDE w:val="0"/>
      <w:autoSpaceDN w:val="0"/>
      <w:adjustRightInd w:val="0"/>
      <w:spacing w:after="0" w:line="221" w:lineRule="atLeast"/>
    </w:pPr>
    <w:rPr>
      <w:rFonts w:ascii="Times New Roman" w:hAnsi="Times New Roman" w:cs="Times New Roman"/>
      <w:sz w:val="24"/>
      <w:szCs w:val="24"/>
      <w:lang w:val="ru-RU"/>
    </w:rPr>
  </w:style>
  <w:style w:type="paragraph" w:customStyle="1" w:styleId="ConsPlusNormal">
    <w:name w:val="ConsPlusNormal"/>
    <w:rsid w:val="002B4EA3"/>
    <w:pPr>
      <w:widowControl w:val="0"/>
      <w:autoSpaceDE w:val="0"/>
      <w:autoSpaceDN w:val="0"/>
      <w:adjustRightInd w:val="0"/>
      <w:spacing w:after="0" w:line="240" w:lineRule="auto"/>
      <w:ind w:firstLine="720"/>
    </w:pPr>
    <w:rPr>
      <w:rFonts w:eastAsia="Times New Roman" w:cs="Arial"/>
      <w:sz w:val="20"/>
      <w:szCs w:val="20"/>
      <w:lang w:val="ru-RU" w:eastAsia="ru-RU"/>
    </w:rPr>
  </w:style>
  <w:style w:type="character" w:customStyle="1" w:styleId="e24kjd">
    <w:name w:val="e24kjd"/>
    <w:basedOn w:val="a3"/>
    <w:rsid w:val="00F179F6"/>
  </w:style>
  <w:style w:type="character" w:customStyle="1" w:styleId="A00">
    <w:name w:val="A0"/>
    <w:uiPriority w:val="99"/>
    <w:rsid w:val="00C629AD"/>
    <w:rPr>
      <w:color w:val="000000"/>
      <w:sz w:val="16"/>
      <w:szCs w:val="16"/>
    </w:rPr>
  </w:style>
  <w:style w:type="character" w:customStyle="1" w:styleId="A14">
    <w:name w:val="A14"/>
    <w:uiPriority w:val="99"/>
    <w:rsid w:val="00C629AD"/>
    <w:rPr>
      <w:color w:val="000000"/>
      <w:sz w:val="20"/>
      <w:szCs w:val="20"/>
    </w:rPr>
  </w:style>
  <w:style w:type="paragraph" w:customStyle="1" w:styleId="Pa0">
    <w:name w:val="Pa0"/>
    <w:basedOn w:val="Default"/>
    <w:next w:val="Default"/>
    <w:uiPriority w:val="99"/>
    <w:rsid w:val="00C03DE0"/>
    <w:pPr>
      <w:widowControl w:val="0"/>
      <w:spacing w:line="221" w:lineRule="atLeast"/>
    </w:pPr>
    <w:rPr>
      <w:rFonts w:ascii="Roboto" w:hAnsi="Roboto" w:cs="Times New Roman"/>
      <w:color w:val="auto"/>
    </w:rPr>
  </w:style>
  <w:style w:type="paragraph" w:customStyle="1" w:styleId="Standard">
    <w:name w:val="Standard"/>
    <w:rsid w:val="00B31D7F"/>
    <w:pPr>
      <w:suppressAutoHyphens/>
      <w:autoSpaceDN w:val="0"/>
      <w:spacing w:after="0" w:line="240" w:lineRule="auto"/>
      <w:textAlignment w:val="baseline"/>
    </w:pPr>
    <w:rPr>
      <w:rFonts w:ascii="Calibri" w:eastAsia="SimSun" w:hAnsi="Calibri" w:cs="Calibri"/>
      <w:color w:val="000000"/>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5380">
      <w:bodyDiv w:val="1"/>
      <w:marLeft w:val="0"/>
      <w:marRight w:val="0"/>
      <w:marTop w:val="0"/>
      <w:marBottom w:val="0"/>
      <w:divBdr>
        <w:top w:val="none" w:sz="0" w:space="0" w:color="auto"/>
        <w:left w:val="none" w:sz="0" w:space="0" w:color="auto"/>
        <w:bottom w:val="none" w:sz="0" w:space="0" w:color="auto"/>
        <w:right w:val="none" w:sz="0" w:space="0" w:color="auto"/>
      </w:divBdr>
      <w:divsChild>
        <w:div w:id="276260167">
          <w:marLeft w:val="0"/>
          <w:marRight w:val="0"/>
          <w:marTop w:val="0"/>
          <w:marBottom w:val="0"/>
          <w:divBdr>
            <w:top w:val="none" w:sz="0" w:space="0" w:color="auto"/>
            <w:left w:val="none" w:sz="0" w:space="0" w:color="auto"/>
            <w:bottom w:val="none" w:sz="0" w:space="0" w:color="auto"/>
            <w:right w:val="none" w:sz="0" w:space="0" w:color="auto"/>
          </w:divBdr>
          <w:divsChild>
            <w:div w:id="876744972">
              <w:marLeft w:val="0"/>
              <w:marRight w:val="0"/>
              <w:marTop w:val="0"/>
              <w:marBottom w:val="0"/>
              <w:divBdr>
                <w:top w:val="none" w:sz="0" w:space="0" w:color="auto"/>
                <w:left w:val="none" w:sz="0" w:space="0" w:color="auto"/>
                <w:bottom w:val="none" w:sz="0" w:space="0" w:color="auto"/>
                <w:right w:val="none" w:sz="0" w:space="0" w:color="auto"/>
              </w:divBdr>
              <w:divsChild>
                <w:div w:id="30940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0979">
      <w:bodyDiv w:val="1"/>
      <w:marLeft w:val="0"/>
      <w:marRight w:val="0"/>
      <w:marTop w:val="0"/>
      <w:marBottom w:val="0"/>
      <w:divBdr>
        <w:top w:val="none" w:sz="0" w:space="0" w:color="auto"/>
        <w:left w:val="none" w:sz="0" w:space="0" w:color="auto"/>
        <w:bottom w:val="none" w:sz="0" w:space="0" w:color="auto"/>
        <w:right w:val="none" w:sz="0" w:space="0" w:color="auto"/>
      </w:divBdr>
    </w:div>
    <w:div w:id="28143224">
      <w:bodyDiv w:val="1"/>
      <w:marLeft w:val="0"/>
      <w:marRight w:val="0"/>
      <w:marTop w:val="0"/>
      <w:marBottom w:val="0"/>
      <w:divBdr>
        <w:top w:val="none" w:sz="0" w:space="0" w:color="auto"/>
        <w:left w:val="none" w:sz="0" w:space="0" w:color="auto"/>
        <w:bottom w:val="none" w:sz="0" w:space="0" w:color="auto"/>
        <w:right w:val="none" w:sz="0" w:space="0" w:color="auto"/>
      </w:divBdr>
    </w:div>
    <w:div w:id="34279798">
      <w:bodyDiv w:val="1"/>
      <w:marLeft w:val="0"/>
      <w:marRight w:val="0"/>
      <w:marTop w:val="0"/>
      <w:marBottom w:val="0"/>
      <w:divBdr>
        <w:top w:val="none" w:sz="0" w:space="0" w:color="auto"/>
        <w:left w:val="none" w:sz="0" w:space="0" w:color="auto"/>
        <w:bottom w:val="none" w:sz="0" w:space="0" w:color="auto"/>
        <w:right w:val="none" w:sz="0" w:space="0" w:color="auto"/>
      </w:divBdr>
    </w:div>
    <w:div w:id="35933659">
      <w:bodyDiv w:val="1"/>
      <w:marLeft w:val="0"/>
      <w:marRight w:val="0"/>
      <w:marTop w:val="0"/>
      <w:marBottom w:val="0"/>
      <w:divBdr>
        <w:top w:val="none" w:sz="0" w:space="0" w:color="auto"/>
        <w:left w:val="none" w:sz="0" w:space="0" w:color="auto"/>
        <w:bottom w:val="none" w:sz="0" w:space="0" w:color="auto"/>
        <w:right w:val="none" w:sz="0" w:space="0" w:color="auto"/>
      </w:divBdr>
      <w:divsChild>
        <w:div w:id="2121218939">
          <w:marLeft w:val="0"/>
          <w:marRight w:val="0"/>
          <w:marTop w:val="0"/>
          <w:marBottom w:val="0"/>
          <w:divBdr>
            <w:top w:val="none" w:sz="0" w:space="0" w:color="auto"/>
            <w:left w:val="none" w:sz="0" w:space="0" w:color="auto"/>
            <w:bottom w:val="none" w:sz="0" w:space="0" w:color="auto"/>
            <w:right w:val="none" w:sz="0" w:space="0" w:color="auto"/>
          </w:divBdr>
          <w:divsChild>
            <w:div w:id="1141965147">
              <w:marLeft w:val="0"/>
              <w:marRight w:val="0"/>
              <w:marTop w:val="0"/>
              <w:marBottom w:val="0"/>
              <w:divBdr>
                <w:top w:val="none" w:sz="0" w:space="0" w:color="auto"/>
                <w:left w:val="none" w:sz="0" w:space="0" w:color="auto"/>
                <w:bottom w:val="none" w:sz="0" w:space="0" w:color="auto"/>
                <w:right w:val="none" w:sz="0" w:space="0" w:color="auto"/>
              </w:divBdr>
              <w:divsChild>
                <w:div w:id="1690598280">
                  <w:marLeft w:val="0"/>
                  <w:marRight w:val="0"/>
                  <w:marTop w:val="0"/>
                  <w:marBottom w:val="0"/>
                  <w:divBdr>
                    <w:top w:val="none" w:sz="0" w:space="0" w:color="auto"/>
                    <w:left w:val="none" w:sz="0" w:space="0" w:color="auto"/>
                    <w:bottom w:val="none" w:sz="0" w:space="0" w:color="auto"/>
                    <w:right w:val="none" w:sz="0" w:space="0" w:color="auto"/>
                  </w:divBdr>
                  <w:divsChild>
                    <w:div w:id="14017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3532">
      <w:bodyDiv w:val="1"/>
      <w:marLeft w:val="0"/>
      <w:marRight w:val="0"/>
      <w:marTop w:val="0"/>
      <w:marBottom w:val="0"/>
      <w:divBdr>
        <w:top w:val="none" w:sz="0" w:space="0" w:color="auto"/>
        <w:left w:val="none" w:sz="0" w:space="0" w:color="auto"/>
        <w:bottom w:val="none" w:sz="0" w:space="0" w:color="auto"/>
        <w:right w:val="none" w:sz="0" w:space="0" w:color="auto"/>
      </w:divBdr>
    </w:div>
    <w:div w:id="65878070">
      <w:bodyDiv w:val="1"/>
      <w:marLeft w:val="0"/>
      <w:marRight w:val="0"/>
      <w:marTop w:val="0"/>
      <w:marBottom w:val="0"/>
      <w:divBdr>
        <w:top w:val="none" w:sz="0" w:space="0" w:color="auto"/>
        <w:left w:val="none" w:sz="0" w:space="0" w:color="auto"/>
        <w:bottom w:val="none" w:sz="0" w:space="0" w:color="auto"/>
        <w:right w:val="none" w:sz="0" w:space="0" w:color="auto"/>
      </w:divBdr>
    </w:div>
    <w:div w:id="67191288">
      <w:bodyDiv w:val="1"/>
      <w:marLeft w:val="0"/>
      <w:marRight w:val="0"/>
      <w:marTop w:val="0"/>
      <w:marBottom w:val="0"/>
      <w:divBdr>
        <w:top w:val="none" w:sz="0" w:space="0" w:color="auto"/>
        <w:left w:val="none" w:sz="0" w:space="0" w:color="auto"/>
        <w:bottom w:val="none" w:sz="0" w:space="0" w:color="auto"/>
        <w:right w:val="none" w:sz="0" w:space="0" w:color="auto"/>
      </w:divBdr>
      <w:divsChild>
        <w:div w:id="1985619874">
          <w:marLeft w:val="0"/>
          <w:marRight w:val="0"/>
          <w:marTop w:val="0"/>
          <w:marBottom w:val="0"/>
          <w:divBdr>
            <w:top w:val="none" w:sz="0" w:space="0" w:color="auto"/>
            <w:left w:val="none" w:sz="0" w:space="0" w:color="auto"/>
            <w:bottom w:val="none" w:sz="0" w:space="0" w:color="auto"/>
            <w:right w:val="none" w:sz="0" w:space="0" w:color="auto"/>
          </w:divBdr>
          <w:divsChild>
            <w:div w:id="873158738">
              <w:marLeft w:val="0"/>
              <w:marRight w:val="0"/>
              <w:marTop w:val="0"/>
              <w:marBottom w:val="0"/>
              <w:divBdr>
                <w:top w:val="none" w:sz="0" w:space="0" w:color="auto"/>
                <w:left w:val="none" w:sz="0" w:space="0" w:color="auto"/>
                <w:bottom w:val="none" w:sz="0" w:space="0" w:color="auto"/>
                <w:right w:val="none" w:sz="0" w:space="0" w:color="auto"/>
              </w:divBdr>
              <w:divsChild>
                <w:div w:id="858201929">
                  <w:marLeft w:val="0"/>
                  <w:marRight w:val="0"/>
                  <w:marTop w:val="0"/>
                  <w:marBottom w:val="0"/>
                  <w:divBdr>
                    <w:top w:val="none" w:sz="0" w:space="0" w:color="auto"/>
                    <w:left w:val="none" w:sz="0" w:space="0" w:color="auto"/>
                    <w:bottom w:val="none" w:sz="0" w:space="0" w:color="auto"/>
                    <w:right w:val="none" w:sz="0" w:space="0" w:color="auto"/>
                  </w:divBdr>
                  <w:divsChild>
                    <w:div w:id="46512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13967">
      <w:bodyDiv w:val="1"/>
      <w:marLeft w:val="0"/>
      <w:marRight w:val="0"/>
      <w:marTop w:val="0"/>
      <w:marBottom w:val="0"/>
      <w:divBdr>
        <w:top w:val="none" w:sz="0" w:space="0" w:color="auto"/>
        <w:left w:val="none" w:sz="0" w:space="0" w:color="auto"/>
        <w:bottom w:val="none" w:sz="0" w:space="0" w:color="auto"/>
        <w:right w:val="none" w:sz="0" w:space="0" w:color="auto"/>
      </w:divBdr>
      <w:divsChild>
        <w:div w:id="1624537570">
          <w:marLeft w:val="0"/>
          <w:marRight w:val="0"/>
          <w:marTop w:val="0"/>
          <w:marBottom w:val="0"/>
          <w:divBdr>
            <w:top w:val="none" w:sz="0" w:space="0" w:color="auto"/>
            <w:left w:val="none" w:sz="0" w:space="0" w:color="auto"/>
            <w:bottom w:val="none" w:sz="0" w:space="0" w:color="auto"/>
            <w:right w:val="none" w:sz="0" w:space="0" w:color="auto"/>
          </w:divBdr>
          <w:divsChild>
            <w:div w:id="734208705">
              <w:marLeft w:val="0"/>
              <w:marRight w:val="0"/>
              <w:marTop w:val="0"/>
              <w:marBottom w:val="0"/>
              <w:divBdr>
                <w:top w:val="none" w:sz="0" w:space="0" w:color="auto"/>
                <w:left w:val="none" w:sz="0" w:space="0" w:color="auto"/>
                <w:bottom w:val="none" w:sz="0" w:space="0" w:color="auto"/>
                <w:right w:val="none" w:sz="0" w:space="0" w:color="auto"/>
              </w:divBdr>
              <w:divsChild>
                <w:div w:id="1146974687">
                  <w:marLeft w:val="0"/>
                  <w:marRight w:val="0"/>
                  <w:marTop w:val="0"/>
                  <w:marBottom w:val="0"/>
                  <w:divBdr>
                    <w:top w:val="none" w:sz="0" w:space="0" w:color="auto"/>
                    <w:left w:val="none" w:sz="0" w:space="0" w:color="auto"/>
                    <w:bottom w:val="none" w:sz="0" w:space="0" w:color="auto"/>
                    <w:right w:val="none" w:sz="0" w:space="0" w:color="auto"/>
                  </w:divBdr>
                  <w:divsChild>
                    <w:div w:id="145675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1124">
      <w:bodyDiv w:val="1"/>
      <w:marLeft w:val="0"/>
      <w:marRight w:val="0"/>
      <w:marTop w:val="0"/>
      <w:marBottom w:val="0"/>
      <w:divBdr>
        <w:top w:val="none" w:sz="0" w:space="0" w:color="auto"/>
        <w:left w:val="none" w:sz="0" w:space="0" w:color="auto"/>
        <w:bottom w:val="none" w:sz="0" w:space="0" w:color="auto"/>
        <w:right w:val="none" w:sz="0" w:space="0" w:color="auto"/>
      </w:divBdr>
    </w:div>
    <w:div w:id="104547063">
      <w:bodyDiv w:val="1"/>
      <w:marLeft w:val="0"/>
      <w:marRight w:val="0"/>
      <w:marTop w:val="0"/>
      <w:marBottom w:val="0"/>
      <w:divBdr>
        <w:top w:val="none" w:sz="0" w:space="0" w:color="auto"/>
        <w:left w:val="none" w:sz="0" w:space="0" w:color="auto"/>
        <w:bottom w:val="none" w:sz="0" w:space="0" w:color="auto"/>
        <w:right w:val="none" w:sz="0" w:space="0" w:color="auto"/>
      </w:divBdr>
    </w:div>
    <w:div w:id="110632993">
      <w:bodyDiv w:val="1"/>
      <w:marLeft w:val="0"/>
      <w:marRight w:val="0"/>
      <w:marTop w:val="0"/>
      <w:marBottom w:val="0"/>
      <w:divBdr>
        <w:top w:val="none" w:sz="0" w:space="0" w:color="auto"/>
        <w:left w:val="none" w:sz="0" w:space="0" w:color="auto"/>
        <w:bottom w:val="none" w:sz="0" w:space="0" w:color="auto"/>
        <w:right w:val="none" w:sz="0" w:space="0" w:color="auto"/>
      </w:divBdr>
    </w:div>
    <w:div w:id="123082895">
      <w:bodyDiv w:val="1"/>
      <w:marLeft w:val="0"/>
      <w:marRight w:val="0"/>
      <w:marTop w:val="0"/>
      <w:marBottom w:val="0"/>
      <w:divBdr>
        <w:top w:val="none" w:sz="0" w:space="0" w:color="auto"/>
        <w:left w:val="none" w:sz="0" w:space="0" w:color="auto"/>
        <w:bottom w:val="none" w:sz="0" w:space="0" w:color="auto"/>
        <w:right w:val="none" w:sz="0" w:space="0" w:color="auto"/>
      </w:divBdr>
      <w:divsChild>
        <w:div w:id="798496690">
          <w:marLeft w:val="0"/>
          <w:marRight w:val="0"/>
          <w:marTop w:val="0"/>
          <w:marBottom w:val="0"/>
          <w:divBdr>
            <w:top w:val="none" w:sz="0" w:space="0" w:color="auto"/>
            <w:left w:val="none" w:sz="0" w:space="0" w:color="auto"/>
            <w:bottom w:val="none" w:sz="0" w:space="0" w:color="auto"/>
            <w:right w:val="none" w:sz="0" w:space="0" w:color="auto"/>
          </w:divBdr>
          <w:divsChild>
            <w:div w:id="1544176235">
              <w:marLeft w:val="0"/>
              <w:marRight w:val="0"/>
              <w:marTop w:val="0"/>
              <w:marBottom w:val="0"/>
              <w:divBdr>
                <w:top w:val="none" w:sz="0" w:space="0" w:color="auto"/>
                <w:left w:val="none" w:sz="0" w:space="0" w:color="auto"/>
                <w:bottom w:val="none" w:sz="0" w:space="0" w:color="auto"/>
                <w:right w:val="none" w:sz="0" w:space="0" w:color="auto"/>
              </w:divBdr>
              <w:divsChild>
                <w:div w:id="362485904">
                  <w:marLeft w:val="0"/>
                  <w:marRight w:val="0"/>
                  <w:marTop w:val="0"/>
                  <w:marBottom w:val="0"/>
                  <w:divBdr>
                    <w:top w:val="none" w:sz="0" w:space="0" w:color="auto"/>
                    <w:left w:val="none" w:sz="0" w:space="0" w:color="auto"/>
                    <w:bottom w:val="none" w:sz="0" w:space="0" w:color="auto"/>
                    <w:right w:val="none" w:sz="0" w:space="0" w:color="auto"/>
                  </w:divBdr>
                  <w:divsChild>
                    <w:div w:id="13297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0960">
      <w:bodyDiv w:val="1"/>
      <w:marLeft w:val="0"/>
      <w:marRight w:val="0"/>
      <w:marTop w:val="0"/>
      <w:marBottom w:val="0"/>
      <w:divBdr>
        <w:top w:val="none" w:sz="0" w:space="0" w:color="auto"/>
        <w:left w:val="none" w:sz="0" w:space="0" w:color="auto"/>
        <w:bottom w:val="none" w:sz="0" w:space="0" w:color="auto"/>
        <w:right w:val="none" w:sz="0" w:space="0" w:color="auto"/>
      </w:divBdr>
    </w:div>
    <w:div w:id="132719632">
      <w:bodyDiv w:val="1"/>
      <w:marLeft w:val="0"/>
      <w:marRight w:val="0"/>
      <w:marTop w:val="0"/>
      <w:marBottom w:val="0"/>
      <w:divBdr>
        <w:top w:val="none" w:sz="0" w:space="0" w:color="auto"/>
        <w:left w:val="none" w:sz="0" w:space="0" w:color="auto"/>
        <w:bottom w:val="none" w:sz="0" w:space="0" w:color="auto"/>
        <w:right w:val="none" w:sz="0" w:space="0" w:color="auto"/>
      </w:divBdr>
      <w:divsChild>
        <w:div w:id="2122525252">
          <w:marLeft w:val="0"/>
          <w:marRight w:val="0"/>
          <w:marTop w:val="0"/>
          <w:marBottom w:val="0"/>
          <w:divBdr>
            <w:top w:val="none" w:sz="0" w:space="0" w:color="auto"/>
            <w:left w:val="none" w:sz="0" w:space="0" w:color="auto"/>
            <w:bottom w:val="none" w:sz="0" w:space="0" w:color="auto"/>
            <w:right w:val="none" w:sz="0" w:space="0" w:color="auto"/>
          </w:divBdr>
          <w:divsChild>
            <w:div w:id="1834300800">
              <w:marLeft w:val="0"/>
              <w:marRight w:val="0"/>
              <w:marTop w:val="0"/>
              <w:marBottom w:val="0"/>
              <w:divBdr>
                <w:top w:val="none" w:sz="0" w:space="0" w:color="auto"/>
                <w:left w:val="none" w:sz="0" w:space="0" w:color="auto"/>
                <w:bottom w:val="none" w:sz="0" w:space="0" w:color="auto"/>
                <w:right w:val="none" w:sz="0" w:space="0" w:color="auto"/>
              </w:divBdr>
              <w:divsChild>
                <w:div w:id="8738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0335">
      <w:bodyDiv w:val="1"/>
      <w:marLeft w:val="0"/>
      <w:marRight w:val="0"/>
      <w:marTop w:val="0"/>
      <w:marBottom w:val="0"/>
      <w:divBdr>
        <w:top w:val="none" w:sz="0" w:space="0" w:color="auto"/>
        <w:left w:val="none" w:sz="0" w:space="0" w:color="auto"/>
        <w:bottom w:val="none" w:sz="0" w:space="0" w:color="auto"/>
        <w:right w:val="none" w:sz="0" w:space="0" w:color="auto"/>
      </w:divBdr>
      <w:divsChild>
        <w:div w:id="1385328861">
          <w:marLeft w:val="0"/>
          <w:marRight w:val="0"/>
          <w:marTop w:val="0"/>
          <w:marBottom w:val="0"/>
          <w:divBdr>
            <w:top w:val="none" w:sz="0" w:space="0" w:color="auto"/>
            <w:left w:val="none" w:sz="0" w:space="0" w:color="auto"/>
            <w:bottom w:val="none" w:sz="0" w:space="0" w:color="auto"/>
            <w:right w:val="none" w:sz="0" w:space="0" w:color="auto"/>
          </w:divBdr>
          <w:divsChild>
            <w:div w:id="801458103">
              <w:marLeft w:val="0"/>
              <w:marRight w:val="0"/>
              <w:marTop w:val="0"/>
              <w:marBottom w:val="0"/>
              <w:divBdr>
                <w:top w:val="none" w:sz="0" w:space="0" w:color="auto"/>
                <w:left w:val="none" w:sz="0" w:space="0" w:color="auto"/>
                <w:bottom w:val="none" w:sz="0" w:space="0" w:color="auto"/>
                <w:right w:val="none" w:sz="0" w:space="0" w:color="auto"/>
              </w:divBdr>
              <w:divsChild>
                <w:div w:id="1036736930">
                  <w:marLeft w:val="0"/>
                  <w:marRight w:val="0"/>
                  <w:marTop w:val="0"/>
                  <w:marBottom w:val="0"/>
                  <w:divBdr>
                    <w:top w:val="none" w:sz="0" w:space="0" w:color="auto"/>
                    <w:left w:val="none" w:sz="0" w:space="0" w:color="auto"/>
                    <w:bottom w:val="none" w:sz="0" w:space="0" w:color="auto"/>
                    <w:right w:val="none" w:sz="0" w:space="0" w:color="auto"/>
                  </w:divBdr>
                  <w:divsChild>
                    <w:div w:id="131113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11909">
      <w:bodyDiv w:val="1"/>
      <w:marLeft w:val="0"/>
      <w:marRight w:val="0"/>
      <w:marTop w:val="0"/>
      <w:marBottom w:val="0"/>
      <w:divBdr>
        <w:top w:val="none" w:sz="0" w:space="0" w:color="auto"/>
        <w:left w:val="none" w:sz="0" w:space="0" w:color="auto"/>
        <w:bottom w:val="none" w:sz="0" w:space="0" w:color="auto"/>
        <w:right w:val="none" w:sz="0" w:space="0" w:color="auto"/>
      </w:divBdr>
    </w:div>
    <w:div w:id="178548949">
      <w:bodyDiv w:val="1"/>
      <w:marLeft w:val="0"/>
      <w:marRight w:val="0"/>
      <w:marTop w:val="0"/>
      <w:marBottom w:val="0"/>
      <w:divBdr>
        <w:top w:val="none" w:sz="0" w:space="0" w:color="auto"/>
        <w:left w:val="none" w:sz="0" w:space="0" w:color="auto"/>
        <w:bottom w:val="none" w:sz="0" w:space="0" w:color="auto"/>
        <w:right w:val="none" w:sz="0" w:space="0" w:color="auto"/>
      </w:divBdr>
      <w:divsChild>
        <w:div w:id="2125339530">
          <w:marLeft w:val="0"/>
          <w:marRight w:val="0"/>
          <w:marTop w:val="0"/>
          <w:marBottom w:val="0"/>
          <w:divBdr>
            <w:top w:val="none" w:sz="0" w:space="0" w:color="auto"/>
            <w:left w:val="none" w:sz="0" w:space="0" w:color="auto"/>
            <w:bottom w:val="none" w:sz="0" w:space="0" w:color="auto"/>
            <w:right w:val="none" w:sz="0" w:space="0" w:color="auto"/>
          </w:divBdr>
          <w:divsChild>
            <w:div w:id="1857191775">
              <w:marLeft w:val="0"/>
              <w:marRight w:val="0"/>
              <w:marTop w:val="0"/>
              <w:marBottom w:val="0"/>
              <w:divBdr>
                <w:top w:val="none" w:sz="0" w:space="0" w:color="auto"/>
                <w:left w:val="none" w:sz="0" w:space="0" w:color="auto"/>
                <w:bottom w:val="none" w:sz="0" w:space="0" w:color="auto"/>
                <w:right w:val="none" w:sz="0" w:space="0" w:color="auto"/>
              </w:divBdr>
              <w:divsChild>
                <w:div w:id="2114666593">
                  <w:marLeft w:val="0"/>
                  <w:marRight w:val="0"/>
                  <w:marTop w:val="0"/>
                  <w:marBottom w:val="0"/>
                  <w:divBdr>
                    <w:top w:val="none" w:sz="0" w:space="0" w:color="auto"/>
                    <w:left w:val="none" w:sz="0" w:space="0" w:color="auto"/>
                    <w:bottom w:val="none" w:sz="0" w:space="0" w:color="auto"/>
                    <w:right w:val="none" w:sz="0" w:space="0" w:color="auto"/>
                  </w:divBdr>
                  <w:divsChild>
                    <w:div w:id="2557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37942">
      <w:bodyDiv w:val="1"/>
      <w:marLeft w:val="0"/>
      <w:marRight w:val="0"/>
      <w:marTop w:val="0"/>
      <w:marBottom w:val="0"/>
      <w:divBdr>
        <w:top w:val="none" w:sz="0" w:space="0" w:color="auto"/>
        <w:left w:val="none" w:sz="0" w:space="0" w:color="auto"/>
        <w:bottom w:val="none" w:sz="0" w:space="0" w:color="auto"/>
        <w:right w:val="none" w:sz="0" w:space="0" w:color="auto"/>
      </w:divBdr>
    </w:div>
    <w:div w:id="187374501">
      <w:bodyDiv w:val="1"/>
      <w:marLeft w:val="0"/>
      <w:marRight w:val="0"/>
      <w:marTop w:val="0"/>
      <w:marBottom w:val="0"/>
      <w:divBdr>
        <w:top w:val="none" w:sz="0" w:space="0" w:color="auto"/>
        <w:left w:val="none" w:sz="0" w:space="0" w:color="auto"/>
        <w:bottom w:val="none" w:sz="0" w:space="0" w:color="auto"/>
        <w:right w:val="none" w:sz="0" w:space="0" w:color="auto"/>
      </w:divBdr>
    </w:div>
    <w:div w:id="210649989">
      <w:bodyDiv w:val="1"/>
      <w:marLeft w:val="0"/>
      <w:marRight w:val="0"/>
      <w:marTop w:val="0"/>
      <w:marBottom w:val="0"/>
      <w:divBdr>
        <w:top w:val="none" w:sz="0" w:space="0" w:color="auto"/>
        <w:left w:val="none" w:sz="0" w:space="0" w:color="auto"/>
        <w:bottom w:val="none" w:sz="0" w:space="0" w:color="auto"/>
        <w:right w:val="none" w:sz="0" w:space="0" w:color="auto"/>
      </w:divBdr>
      <w:divsChild>
        <w:div w:id="1528330269">
          <w:marLeft w:val="0"/>
          <w:marRight w:val="0"/>
          <w:marTop w:val="0"/>
          <w:marBottom w:val="0"/>
          <w:divBdr>
            <w:top w:val="none" w:sz="0" w:space="0" w:color="auto"/>
            <w:left w:val="none" w:sz="0" w:space="0" w:color="auto"/>
            <w:bottom w:val="none" w:sz="0" w:space="0" w:color="auto"/>
            <w:right w:val="none" w:sz="0" w:space="0" w:color="auto"/>
          </w:divBdr>
          <w:divsChild>
            <w:div w:id="1684822358">
              <w:marLeft w:val="0"/>
              <w:marRight w:val="0"/>
              <w:marTop w:val="0"/>
              <w:marBottom w:val="0"/>
              <w:divBdr>
                <w:top w:val="none" w:sz="0" w:space="0" w:color="auto"/>
                <w:left w:val="none" w:sz="0" w:space="0" w:color="auto"/>
                <w:bottom w:val="none" w:sz="0" w:space="0" w:color="auto"/>
                <w:right w:val="none" w:sz="0" w:space="0" w:color="auto"/>
              </w:divBdr>
              <w:divsChild>
                <w:div w:id="13157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6415">
      <w:bodyDiv w:val="1"/>
      <w:marLeft w:val="0"/>
      <w:marRight w:val="0"/>
      <w:marTop w:val="0"/>
      <w:marBottom w:val="0"/>
      <w:divBdr>
        <w:top w:val="none" w:sz="0" w:space="0" w:color="auto"/>
        <w:left w:val="none" w:sz="0" w:space="0" w:color="auto"/>
        <w:bottom w:val="none" w:sz="0" w:space="0" w:color="auto"/>
        <w:right w:val="none" w:sz="0" w:space="0" w:color="auto"/>
      </w:divBdr>
    </w:div>
    <w:div w:id="221913554">
      <w:bodyDiv w:val="1"/>
      <w:marLeft w:val="0"/>
      <w:marRight w:val="0"/>
      <w:marTop w:val="0"/>
      <w:marBottom w:val="0"/>
      <w:divBdr>
        <w:top w:val="none" w:sz="0" w:space="0" w:color="auto"/>
        <w:left w:val="none" w:sz="0" w:space="0" w:color="auto"/>
        <w:bottom w:val="none" w:sz="0" w:space="0" w:color="auto"/>
        <w:right w:val="none" w:sz="0" w:space="0" w:color="auto"/>
      </w:divBdr>
      <w:divsChild>
        <w:div w:id="411708339">
          <w:marLeft w:val="0"/>
          <w:marRight w:val="0"/>
          <w:marTop w:val="0"/>
          <w:marBottom w:val="0"/>
          <w:divBdr>
            <w:top w:val="none" w:sz="0" w:space="0" w:color="auto"/>
            <w:left w:val="none" w:sz="0" w:space="0" w:color="auto"/>
            <w:bottom w:val="none" w:sz="0" w:space="0" w:color="auto"/>
            <w:right w:val="none" w:sz="0" w:space="0" w:color="auto"/>
          </w:divBdr>
          <w:divsChild>
            <w:div w:id="1773166089">
              <w:marLeft w:val="0"/>
              <w:marRight w:val="0"/>
              <w:marTop w:val="0"/>
              <w:marBottom w:val="0"/>
              <w:divBdr>
                <w:top w:val="none" w:sz="0" w:space="0" w:color="auto"/>
                <w:left w:val="none" w:sz="0" w:space="0" w:color="auto"/>
                <w:bottom w:val="none" w:sz="0" w:space="0" w:color="auto"/>
                <w:right w:val="none" w:sz="0" w:space="0" w:color="auto"/>
              </w:divBdr>
              <w:divsChild>
                <w:div w:id="1362822123">
                  <w:marLeft w:val="0"/>
                  <w:marRight w:val="0"/>
                  <w:marTop w:val="0"/>
                  <w:marBottom w:val="0"/>
                  <w:divBdr>
                    <w:top w:val="none" w:sz="0" w:space="0" w:color="auto"/>
                    <w:left w:val="none" w:sz="0" w:space="0" w:color="auto"/>
                    <w:bottom w:val="none" w:sz="0" w:space="0" w:color="auto"/>
                    <w:right w:val="none" w:sz="0" w:space="0" w:color="auto"/>
                  </w:divBdr>
                  <w:divsChild>
                    <w:div w:id="8680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2779">
      <w:bodyDiv w:val="1"/>
      <w:marLeft w:val="0"/>
      <w:marRight w:val="0"/>
      <w:marTop w:val="0"/>
      <w:marBottom w:val="0"/>
      <w:divBdr>
        <w:top w:val="none" w:sz="0" w:space="0" w:color="auto"/>
        <w:left w:val="none" w:sz="0" w:space="0" w:color="auto"/>
        <w:bottom w:val="none" w:sz="0" w:space="0" w:color="auto"/>
        <w:right w:val="none" w:sz="0" w:space="0" w:color="auto"/>
      </w:divBdr>
    </w:div>
    <w:div w:id="228536349">
      <w:bodyDiv w:val="1"/>
      <w:marLeft w:val="0"/>
      <w:marRight w:val="0"/>
      <w:marTop w:val="0"/>
      <w:marBottom w:val="0"/>
      <w:divBdr>
        <w:top w:val="none" w:sz="0" w:space="0" w:color="auto"/>
        <w:left w:val="none" w:sz="0" w:space="0" w:color="auto"/>
        <w:bottom w:val="none" w:sz="0" w:space="0" w:color="auto"/>
        <w:right w:val="none" w:sz="0" w:space="0" w:color="auto"/>
      </w:divBdr>
      <w:divsChild>
        <w:div w:id="1404259664">
          <w:marLeft w:val="0"/>
          <w:marRight w:val="0"/>
          <w:marTop w:val="0"/>
          <w:marBottom w:val="0"/>
          <w:divBdr>
            <w:top w:val="none" w:sz="0" w:space="0" w:color="auto"/>
            <w:left w:val="none" w:sz="0" w:space="0" w:color="auto"/>
            <w:bottom w:val="none" w:sz="0" w:space="0" w:color="auto"/>
            <w:right w:val="none" w:sz="0" w:space="0" w:color="auto"/>
          </w:divBdr>
          <w:divsChild>
            <w:div w:id="797337596">
              <w:marLeft w:val="0"/>
              <w:marRight w:val="0"/>
              <w:marTop w:val="0"/>
              <w:marBottom w:val="0"/>
              <w:divBdr>
                <w:top w:val="none" w:sz="0" w:space="0" w:color="auto"/>
                <w:left w:val="none" w:sz="0" w:space="0" w:color="auto"/>
                <w:bottom w:val="none" w:sz="0" w:space="0" w:color="auto"/>
                <w:right w:val="none" w:sz="0" w:space="0" w:color="auto"/>
              </w:divBdr>
              <w:divsChild>
                <w:div w:id="3330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12684">
      <w:bodyDiv w:val="1"/>
      <w:marLeft w:val="0"/>
      <w:marRight w:val="0"/>
      <w:marTop w:val="0"/>
      <w:marBottom w:val="0"/>
      <w:divBdr>
        <w:top w:val="none" w:sz="0" w:space="0" w:color="auto"/>
        <w:left w:val="none" w:sz="0" w:space="0" w:color="auto"/>
        <w:bottom w:val="none" w:sz="0" w:space="0" w:color="auto"/>
        <w:right w:val="none" w:sz="0" w:space="0" w:color="auto"/>
      </w:divBdr>
    </w:div>
    <w:div w:id="234557357">
      <w:bodyDiv w:val="1"/>
      <w:marLeft w:val="0"/>
      <w:marRight w:val="0"/>
      <w:marTop w:val="0"/>
      <w:marBottom w:val="0"/>
      <w:divBdr>
        <w:top w:val="none" w:sz="0" w:space="0" w:color="auto"/>
        <w:left w:val="none" w:sz="0" w:space="0" w:color="auto"/>
        <w:bottom w:val="none" w:sz="0" w:space="0" w:color="auto"/>
        <w:right w:val="none" w:sz="0" w:space="0" w:color="auto"/>
      </w:divBdr>
    </w:div>
    <w:div w:id="244337424">
      <w:bodyDiv w:val="1"/>
      <w:marLeft w:val="0"/>
      <w:marRight w:val="0"/>
      <w:marTop w:val="0"/>
      <w:marBottom w:val="0"/>
      <w:divBdr>
        <w:top w:val="none" w:sz="0" w:space="0" w:color="auto"/>
        <w:left w:val="none" w:sz="0" w:space="0" w:color="auto"/>
        <w:bottom w:val="none" w:sz="0" w:space="0" w:color="auto"/>
        <w:right w:val="none" w:sz="0" w:space="0" w:color="auto"/>
      </w:divBdr>
    </w:div>
    <w:div w:id="247544722">
      <w:bodyDiv w:val="1"/>
      <w:marLeft w:val="0"/>
      <w:marRight w:val="0"/>
      <w:marTop w:val="0"/>
      <w:marBottom w:val="0"/>
      <w:divBdr>
        <w:top w:val="none" w:sz="0" w:space="0" w:color="auto"/>
        <w:left w:val="none" w:sz="0" w:space="0" w:color="auto"/>
        <w:bottom w:val="none" w:sz="0" w:space="0" w:color="auto"/>
        <w:right w:val="none" w:sz="0" w:space="0" w:color="auto"/>
      </w:divBdr>
      <w:divsChild>
        <w:div w:id="1066608226">
          <w:marLeft w:val="0"/>
          <w:marRight w:val="0"/>
          <w:marTop w:val="0"/>
          <w:marBottom w:val="0"/>
          <w:divBdr>
            <w:top w:val="none" w:sz="0" w:space="0" w:color="auto"/>
            <w:left w:val="none" w:sz="0" w:space="0" w:color="auto"/>
            <w:bottom w:val="none" w:sz="0" w:space="0" w:color="auto"/>
            <w:right w:val="none" w:sz="0" w:space="0" w:color="auto"/>
          </w:divBdr>
          <w:divsChild>
            <w:div w:id="1803763778">
              <w:marLeft w:val="0"/>
              <w:marRight w:val="0"/>
              <w:marTop w:val="0"/>
              <w:marBottom w:val="0"/>
              <w:divBdr>
                <w:top w:val="none" w:sz="0" w:space="0" w:color="auto"/>
                <w:left w:val="none" w:sz="0" w:space="0" w:color="auto"/>
                <w:bottom w:val="none" w:sz="0" w:space="0" w:color="auto"/>
                <w:right w:val="none" w:sz="0" w:space="0" w:color="auto"/>
              </w:divBdr>
              <w:divsChild>
                <w:div w:id="795366619">
                  <w:marLeft w:val="0"/>
                  <w:marRight w:val="0"/>
                  <w:marTop w:val="0"/>
                  <w:marBottom w:val="0"/>
                  <w:divBdr>
                    <w:top w:val="none" w:sz="0" w:space="0" w:color="auto"/>
                    <w:left w:val="none" w:sz="0" w:space="0" w:color="auto"/>
                    <w:bottom w:val="none" w:sz="0" w:space="0" w:color="auto"/>
                    <w:right w:val="none" w:sz="0" w:space="0" w:color="auto"/>
                  </w:divBdr>
                  <w:divsChild>
                    <w:div w:id="7649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663904">
      <w:bodyDiv w:val="1"/>
      <w:marLeft w:val="0"/>
      <w:marRight w:val="0"/>
      <w:marTop w:val="0"/>
      <w:marBottom w:val="0"/>
      <w:divBdr>
        <w:top w:val="none" w:sz="0" w:space="0" w:color="auto"/>
        <w:left w:val="none" w:sz="0" w:space="0" w:color="auto"/>
        <w:bottom w:val="none" w:sz="0" w:space="0" w:color="auto"/>
        <w:right w:val="none" w:sz="0" w:space="0" w:color="auto"/>
      </w:divBdr>
    </w:div>
    <w:div w:id="248586445">
      <w:bodyDiv w:val="1"/>
      <w:marLeft w:val="0"/>
      <w:marRight w:val="0"/>
      <w:marTop w:val="0"/>
      <w:marBottom w:val="0"/>
      <w:divBdr>
        <w:top w:val="none" w:sz="0" w:space="0" w:color="auto"/>
        <w:left w:val="none" w:sz="0" w:space="0" w:color="auto"/>
        <w:bottom w:val="none" w:sz="0" w:space="0" w:color="auto"/>
        <w:right w:val="none" w:sz="0" w:space="0" w:color="auto"/>
      </w:divBdr>
    </w:div>
    <w:div w:id="253174986">
      <w:bodyDiv w:val="1"/>
      <w:marLeft w:val="0"/>
      <w:marRight w:val="0"/>
      <w:marTop w:val="0"/>
      <w:marBottom w:val="0"/>
      <w:divBdr>
        <w:top w:val="none" w:sz="0" w:space="0" w:color="auto"/>
        <w:left w:val="none" w:sz="0" w:space="0" w:color="auto"/>
        <w:bottom w:val="none" w:sz="0" w:space="0" w:color="auto"/>
        <w:right w:val="none" w:sz="0" w:space="0" w:color="auto"/>
      </w:divBdr>
    </w:div>
    <w:div w:id="260989937">
      <w:bodyDiv w:val="1"/>
      <w:marLeft w:val="0"/>
      <w:marRight w:val="0"/>
      <w:marTop w:val="0"/>
      <w:marBottom w:val="0"/>
      <w:divBdr>
        <w:top w:val="none" w:sz="0" w:space="0" w:color="auto"/>
        <w:left w:val="none" w:sz="0" w:space="0" w:color="auto"/>
        <w:bottom w:val="none" w:sz="0" w:space="0" w:color="auto"/>
        <w:right w:val="none" w:sz="0" w:space="0" w:color="auto"/>
      </w:divBdr>
    </w:div>
    <w:div w:id="267008056">
      <w:bodyDiv w:val="1"/>
      <w:marLeft w:val="0"/>
      <w:marRight w:val="0"/>
      <w:marTop w:val="0"/>
      <w:marBottom w:val="0"/>
      <w:divBdr>
        <w:top w:val="none" w:sz="0" w:space="0" w:color="auto"/>
        <w:left w:val="none" w:sz="0" w:space="0" w:color="auto"/>
        <w:bottom w:val="none" w:sz="0" w:space="0" w:color="auto"/>
        <w:right w:val="none" w:sz="0" w:space="0" w:color="auto"/>
      </w:divBdr>
    </w:div>
    <w:div w:id="281809640">
      <w:bodyDiv w:val="1"/>
      <w:marLeft w:val="0"/>
      <w:marRight w:val="0"/>
      <w:marTop w:val="0"/>
      <w:marBottom w:val="0"/>
      <w:divBdr>
        <w:top w:val="none" w:sz="0" w:space="0" w:color="auto"/>
        <w:left w:val="none" w:sz="0" w:space="0" w:color="auto"/>
        <w:bottom w:val="none" w:sz="0" w:space="0" w:color="auto"/>
        <w:right w:val="none" w:sz="0" w:space="0" w:color="auto"/>
      </w:divBdr>
    </w:div>
    <w:div w:id="285545782">
      <w:bodyDiv w:val="1"/>
      <w:marLeft w:val="0"/>
      <w:marRight w:val="0"/>
      <w:marTop w:val="0"/>
      <w:marBottom w:val="0"/>
      <w:divBdr>
        <w:top w:val="none" w:sz="0" w:space="0" w:color="auto"/>
        <w:left w:val="none" w:sz="0" w:space="0" w:color="auto"/>
        <w:bottom w:val="none" w:sz="0" w:space="0" w:color="auto"/>
        <w:right w:val="none" w:sz="0" w:space="0" w:color="auto"/>
      </w:divBdr>
      <w:divsChild>
        <w:div w:id="208802514">
          <w:marLeft w:val="0"/>
          <w:marRight w:val="0"/>
          <w:marTop w:val="0"/>
          <w:marBottom w:val="0"/>
          <w:divBdr>
            <w:top w:val="none" w:sz="0" w:space="0" w:color="auto"/>
            <w:left w:val="none" w:sz="0" w:space="0" w:color="auto"/>
            <w:bottom w:val="none" w:sz="0" w:space="0" w:color="auto"/>
            <w:right w:val="none" w:sz="0" w:space="0" w:color="auto"/>
          </w:divBdr>
          <w:divsChild>
            <w:div w:id="1585727093">
              <w:marLeft w:val="0"/>
              <w:marRight w:val="0"/>
              <w:marTop w:val="0"/>
              <w:marBottom w:val="0"/>
              <w:divBdr>
                <w:top w:val="none" w:sz="0" w:space="0" w:color="auto"/>
                <w:left w:val="none" w:sz="0" w:space="0" w:color="auto"/>
                <w:bottom w:val="none" w:sz="0" w:space="0" w:color="auto"/>
                <w:right w:val="none" w:sz="0" w:space="0" w:color="auto"/>
              </w:divBdr>
              <w:divsChild>
                <w:div w:id="115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3640">
      <w:bodyDiv w:val="1"/>
      <w:marLeft w:val="0"/>
      <w:marRight w:val="0"/>
      <w:marTop w:val="0"/>
      <w:marBottom w:val="0"/>
      <w:divBdr>
        <w:top w:val="none" w:sz="0" w:space="0" w:color="auto"/>
        <w:left w:val="none" w:sz="0" w:space="0" w:color="auto"/>
        <w:bottom w:val="none" w:sz="0" w:space="0" w:color="auto"/>
        <w:right w:val="none" w:sz="0" w:space="0" w:color="auto"/>
      </w:divBdr>
      <w:divsChild>
        <w:div w:id="293874131">
          <w:marLeft w:val="0"/>
          <w:marRight w:val="0"/>
          <w:marTop w:val="0"/>
          <w:marBottom w:val="0"/>
          <w:divBdr>
            <w:top w:val="none" w:sz="0" w:space="0" w:color="auto"/>
            <w:left w:val="none" w:sz="0" w:space="0" w:color="auto"/>
            <w:bottom w:val="none" w:sz="0" w:space="0" w:color="auto"/>
            <w:right w:val="none" w:sz="0" w:space="0" w:color="auto"/>
          </w:divBdr>
          <w:divsChild>
            <w:div w:id="1746878919">
              <w:marLeft w:val="0"/>
              <w:marRight w:val="0"/>
              <w:marTop w:val="0"/>
              <w:marBottom w:val="0"/>
              <w:divBdr>
                <w:top w:val="none" w:sz="0" w:space="0" w:color="auto"/>
                <w:left w:val="none" w:sz="0" w:space="0" w:color="auto"/>
                <w:bottom w:val="none" w:sz="0" w:space="0" w:color="auto"/>
                <w:right w:val="none" w:sz="0" w:space="0" w:color="auto"/>
              </w:divBdr>
              <w:divsChild>
                <w:div w:id="2104916536">
                  <w:marLeft w:val="0"/>
                  <w:marRight w:val="0"/>
                  <w:marTop w:val="0"/>
                  <w:marBottom w:val="0"/>
                  <w:divBdr>
                    <w:top w:val="none" w:sz="0" w:space="0" w:color="auto"/>
                    <w:left w:val="none" w:sz="0" w:space="0" w:color="auto"/>
                    <w:bottom w:val="none" w:sz="0" w:space="0" w:color="auto"/>
                    <w:right w:val="none" w:sz="0" w:space="0" w:color="auto"/>
                  </w:divBdr>
                  <w:divsChild>
                    <w:div w:id="138772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365121">
      <w:bodyDiv w:val="1"/>
      <w:marLeft w:val="0"/>
      <w:marRight w:val="0"/>
      <w:marTop w:val="0"/>
      <w:marBottom w:val="0"/>
      <w:divBdr>
        <w:top w:val="none" w:sz="0" w:space="0" w:color="auto"/>
        <w:left w:val="none" w:sz="0" w:space="0" w:color="auto"/>
        <w:bottom w:val="none" w:sz="0" w:space="0" w:color="auto"/>
        <w:right w:val="none" w:sz="0" w:space="0" w:color="auto"/>
      </w:divBdr>
    </w:div>
    <w:div w:id="293684020">
      <w:bodyDiv w:val="1"/>
      <w:marLeft w:val="0"/>
      <w:marRight w:val="0"/>
      <w:marTop w:val="0"/>
      <w:marBottom w:val="0"/>
      <w:divBdr>
        <w:top w:val="none" w:sz="0" w:space="0" w:color="auto"/>
        <w:left w:val="none" w:sz="0" w:space="0" w:color="auto"/>
        <w:bottom w:val="none" w:sz="0" w:space="0" w:color="auto"/>
        <w:right w:val="none" w:sz="0" w:space="0" w:color="auto"/>
      </w:divBdr>
    </w:div>
    <w:div w:id="303581859">
      <w:bodyDiv w:val="1"/>
      <w:marLeft w:val="0"/>
      <w:marRight w:val="0"/>
      <w:marTop w:val="0"/>
      <w:marBottom w:val="0"/>
      <w:divBdr>
        <w:top w:val="none" w:sz="0" w:space="0" w:color="auto"/>
        <w:left w:val="none" w:sz="0" w:space="0" w:color="auto"/>
        <w:bottom w:val="none" w:sz="0" w:space="0" w:color="auto"/>
        <w:right w:val="none" w:sz="0" w:space="0" w:color="auto"/>
      </w:divBdr>
    </w:div>
    <w:div w:id="307713354">
      <w:bodyDiv w:val="1"/>
      <w:marLeft w:val="0"/>
      <w:marRight w:val="0"/>
      <w:marTop w:val="0"/>
      <w:marBottom w:val="0"/>
      <w:divBdr>
        <w:top w:val="none" w:sz="0" w:space="0" w:color="auto"/>
        <w:left w:val="none" w:sz="0" w:space="0" w:color="auto"/>
        <w:bottom w:val="none" w:sz="0" w:space="0" w:color="auto"/>
        <w:right w:val="none" w:sz="0" w:space="0" w:color="auto"/>
      </w:divBdr>
      <w:divsChild>
        <w:div w:id="1959137832">
          <w:marLeft w:val="0"/>
          <w:marRight w:val="0"/>
          <w:marTop w:val="0"/>
          <w:marBottom w:val="0"/>
          <w:divBdr>
            <w:top w:val="none" w:sz="0" w:space="0" w:color="auto"/>
            <w:left w:val="none" w:sz="0" w:space="0" w:color="auto"/>
            <w:bottom w:val="none" w:sz="0" w:space="0" w:color="auto"/>
            <w:right w:val="none" w:sz="0" w:space="0" w:color="auto"/>
          </w:divBdr>
          <w:divsChild>
            <w:div w:id="1980912902">
              <w:marLeft w:val="0"/>
              <w:marRight w:val="0"/>
              <w:marTop w:val="0"/>
              <w:marBottom w:val="0"/>
              <w:divBdr>
                <w:top w:val="none" w:sz="0" w:space="0" w:color="auto"/>
                <w:left w:val="none" w:sz="0" w:space="0" w:color="auto"/>
                <w:bottom w:val="none" w:sz="0" w:space="0" w:color="auto"/>
                <w:right w:val="none" w:sz="0" w:space="0" w:color="auto"/>
              </w:divBdr>
              <w:divsChild>
                <w:div w:id="4574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22658">
      <w:bodyDiv w:val="1"/>
      <w:marLeft w:val="0"/>
      <w:marRight w:val="0"/>
      <w:marTop w:val="0"/>
      <w:marBottom w:val="0"/>
      <w:divBdr>
        <w:top w:val="none" w:sz="0" w:space="0" w:color="auto"/>
        <w:left w:val="none" w:sz="0" w:space="0" w:color="auto"/>
        <w:bottom w:val="none" w:sz="0" w:space="0" w:color="auto"/>
        <w:right w:val="none" w:sz="0" w:space="0" w:color="auto"/>
      </w:divBdr>
      <w:divsChild>
        <w:div w:id="757596871">
          <w:marLeft w:val="0"/>
          <w:marRight w:val="0"/>
          <w:marTop w:val="0"/>
          <w:marBottom w:val="0"/>
          <w:divBdr>
            <w:top w:val="none" w:sz="0" w:space="0" w:color="auto"/>
            <w:left w:val="none" w:sz="0" w:space="0" w:color="auto"/>
            <w:bottom w:val="none" w:sz="0" w:space="0" w:color="auto"/>
            <w:right w:val="none" w:sz="0" w:space="0" w:color="auto"/>
          </w:divBdr>
          <w:divsChild>
            <w:div w:id="18505379">
              <w:marLeft w:val="0"/>
              <w:marRight w:val="0"/>
              <w:marTop w:val="0"/>
              <w:marBottom w:val="0"/>
              <w:divBdr>
                <w:top w:val="none" w:sz="0" w:space="0" w:color="auto"/>
                <w:left w:val="none" w:sz="0" w:space="0" w:color="auto"/>
                <w:bottom w:val="none" w:sz="0" w:space="0" w:color="auto"/>
                <w:right w:val="none" w:sz="0" w:space="0" w:color="auto"/>
              </w:divBdr>
              <w:divsChild>
                <w:div w:id="30112870">
                  <w:marLeft w:val="0"/>
                  <w:marRight w:val="0"/>
                  <w:marTop w:val="0"/>
                  <w:marBottom w:val="0"/>
                  <w:divBdr>
                    <w:top w:val="none" w:sz="0" w:space="0" w:color="auto"/>
                    <w:left w:val="none" w:sz="0" w:space="0" w:color="auto"/>
                    <w:bottom w:val="none" w:sz="0" w:space="0" w:color="auto"/>
                    <w:right w:val="none" w:sz="0" w:space="0" w:color="auto"/>
                  </w:divBdr>
                  <w:divsChild>
                    <w:div w:id="3638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50674">
      <w:bodyDiv w:val="1"/>
      <w:marLeft w:val="0"/>
      <w:marRight w:val="0"/>
      <w:marTop w:val="0"/>
      <w:marBottom w:val="0"/>
      <w:divBdr>
        <w:top w:val="none" w:sz="0" w:space="0" w:color="auto"/>
        <w:left w:val="none" w:sz="0" w:space="0" w:color="auto"/>
        <w:bottom w:val="none" w:sz="0" w:space="0" w:color="auto"/>
        <w:right w:val="none" w:sz="0" w:space="0" w:color="auto"/>
      </w:divBdr>
      <w:divsChild>
        <w:div w:id="427967697">
          <w:marLeft w:val="0"/>
          <w:marRight w:val="0"/>
          <w:marTop w:val="0"/>
          <w:marBottom w:val="0"/>
          <w:divBdr>
            <w:top w:val="none" w:sz="0" w:space="0" w:color="auto"/>
            <w:left w:val="none" w:sz="0" w:space="0" w:color="auto"/>
            <w:bottom w:val="none" w:sz="0" w:space="0" w:color="auto"/>
            <w:right w:val="none" w:sz="0" w:space="0" w:color="auto"/>
          </w:divBdr>
          <w:divsChild>
            <w:div w:id="883179645">
              <w:marLeft w:val="0"/>
              <w:marRight w:val="0"/>
              <w:marTop w:val="0"/>
              <w:marBottom w:val="0"/>
              <w:divBdr>
                <w:top w:val="none" w:sz="0" w:space="0" w:color="auto"/>
                <w:left w:val="none" w:sz="0" w:space="0" w:color="auto"/>
                <w:bottom w:val="none" w:sz="0" w:space="0" w:color="auto"/>
                <w:right w:val="none" w:sz="0" w:space="0" w:color="auto"/>
              </w:divBdr>
              <w:divsChild>
                <w:div w:id="280384936">
                  <w:marLeft w:val="0"/>
                  <w:marRight w:val="0"/>
                  <w:marTop w:val="0"/>
                  <w:marBottom w:val="0"/>
                  <w:divBdr>
                    <w:top w:val="none" w:sz="0" w:space="0" w:color="auto"/>
                    <w:left w:val="none" w:sz="0" w:space="0" w:color="auto"/>
                    <w:bottom w:val="none" w:sz="0" w:space="0" w:color="auto"/>
                    <w:right w:val="none" w:sz="0" w:space="0" w:color="auto"/>
                  </w:divBdr>
                  <w:divsChild>
                    <w:div w:id="2585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317597">
      <w:bodyDiv w:val="1"/>
      <w:marLeft w:val="0"/>
      <w:marRight w:val="0"/>
      <w:marTop w:val="0"/>
      <w:marBottom w:val="0"/>
      <w:divBdr>
        <w:top w:val="none" w:sz="0" w:space="0" w:color="auto"/>
        <w:left w:val="none" w:sz="0" w:space="0" w:color="auto"/>
        <w:bottom w:val="none" w:sz="0" w:space="0" w:color="auto"/>
        <w:right w:val="none" w:sz="0" w:space="0" w:color="auto"/>
      </w:divBdr>
      <w:divsChild>
        <w:div w:id="452479595">
          <w:marLeft w:val="0"/>
          <w:marRight w:val="0"/>
          <w:marTop w:val="0"/>
          <w:marBottom w:val="0"/>
          <w:divBdr>
            <w:top w:val="none" w:sz="0" w:space="0" w:color="auto"/>
            <w:left w:val="none" w:sz="0" w:space="0" w:color="auto"/>
            <w:bottom w:val="none" w:sz="0" w:space="0" w:color="auto"/>
            <w:right w:val="none" w:sz="0" w:space="0" w:color="auto"/>
          </w:divBdr>
          <w:divsChild>
            <w:div w:id="1364019666">
              <w:marLeft w:val="0"/>
              <w:marRight w:val="0"/>
              <w:marTop w:val="0"/>
              <w:marBottom w:val="0"/>
              <w:divBdr>
                <w:top w:val="none" w:sz="0" w:space="0" w:color="auto"/>
                <w:left w:val="none" w:sz="0" w:space="0" w:color="auto"/>
                <w:bottom w:val="none" w:sz="0" w:space="0" w:color="auto"/>
                <w:right w:val="none" w:sz="0" w:space="0" w:color="auto"/>
              </w:divBdr>
              <w:divsChild>
                <w:div w:id="1641766307">
                  <w:marLeft w:val="0"/>
                  <w:marRight w:val="0"/>
                  <w:marTop w:val="0"/>
                  <w:marBottom w:val="0"/>
                  <w:divBdr>
                    <w:top w:val="none" w:sz="0" w:space="0" w:color="auto"/>
                    <w:left w:val="none" w:sz="0" w:space="0" w:color="auto"/>
                    <w:bottom w:val="none" w:sz="0" w:space="0" w:color="auto"/>
                    <w:right w:val="none" w:sz="0" w:space="0" w:color="auto"/>
                  </w:divBdr>
                  <w:divsChild>
                    <w:div w:id="9955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395676">
      <w:bodyDiv w:val="1"/>
      <w:marLeft w:val="0"/>
      <w:marRight w:val="0"/>
      <w:marTop w:val="0"/>
      <w:marBottom w:val="0"/>
      <w:divBdr>
        <w:top w:val="none" w:sz="0" w:space="0" w:color="auto"/>
        <w:left w:val="none" w:sz="0" w:space="0" w:color="auto"/>
        <w:bottom w:val="none" w:sz="0" w:space="0" w:color="auto"/>
        <w:right w:val="none" w:sz="0" w:space="0" w:color="auto"/>
      </w:divBdr>
      <w:divsChild>
        <w:div w:id="1179195391">
          <w:marLeft w:val="0"/>
          <w:marRight w:val="0"/>
          <w:marTop w:val="0"/>
          <w:marBottom w:val="0"/>
          <w:divBdr>
            <w:top w:val="none" w:sz="0" w:space="0" w:color="auto"/>
            <w:left w:val="none" w:sz="0" w:space="0" w:color="auto"/>
            <w:bottom w:val="none" w:sz="0" w:space="0" w:color="auto"/>
            <w:right w:val="none" w:sz="0" w:space="0" w:color="auto"/>
          </w:divBdr>
          <w:divsChild>
            <w:div w:id="1987319695">
              <w:marLeft w:val="0"/>
              <w:marRight w:val="0"/>
              <w:marTop w:val="0"/>
              <w:marBottom w:val="0"/>
              <w:divBdr>
                <w:top w:val="none" w:sz="0" w:space="0" w:color="auto"/>
                <w:left w:val="none" w:sz="0" w:space="0" w:color="auto"/>
                <w:bottom w:val="none" w:sz="0" w:space="0" w:color="auto"/>
                <w:right w:val="none" w:sz="0" w:space="0" w:color="auto"/>
              </w:divBdr>
              <w:divsChild>
                <w:div w:id="2093499693">
                  <w:marLeft w:val="0"/>
                  <w:marRight w:val="0"/>
                  <w:marTop w:val="0"/>
                  <w:marBottom w:val="0"/>
                  <w:divBdr>
                    <w:top w:val="none" w:sz="0" w:space="0" w:color="auto"/>
                    <w:left w:val="none" w:sz="0" w:space="0" w:color="auto"/>
                    <w:bottom w:val="none" w:sz="0" w:space="0" w:color="auto"/>
                    <w:right w:val="none" w:sz="0" w:space="0" w:color="auto"/>
                  </w:divBdr>
                  <w:divsChild>
                    <w:div w:id="132219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436418">
      <w:bodyDiv w:val="1"/>
      <w:marLeft w:val="0"/>
      <w:marRight w:val="0"/>
      <w:marTop w:val="0"/>
      <w:marBottom w:val="0"/>
      <w:divBdr>
        <w:top w:val="none" w:sz="0" w:space="0" w:color="auto"/>
        <w:left w:val="none" w:sz="0" w:space="0" w:color="auto"/>
        <w:bottom w:val="none" w:sz="0" w:space="0" w:color="auto"/>
        <w:right w:val="none" w:sz="0" w:space="0" w:color="auto"/>
      </w:divBdr>
    </w:div>
    <w:div w:id="365834526">
      <w:bodyDiv w:val="1"/>
      <w:marLeft w:val="0"/>
      <w:marRight w:val="0"/>
      <w:marTop w:val="0"/>
      <w:marBottom w:val="0"/>
      <w:divBdr>
        <w:top w:val="none" w:sz="0" w:space="0" w:color="auto"/>
        <w:left w:val="none" w:sz="0" w:space="0" w:color="auto"/>
        <w:bottom w:val="none" w:sz="0" w:space="0" w:color="auto"/>
        <w:right w:val="none" w:sz="0" w:space="0" w:color="auto"/>
      </w:divBdr>
      <w:divsChild>
        <w:div w:id="1619557525">
          <w:marLeft w:val="0"/>
          <w:marRight w:val="0"/>
          <w:marTop w:val="0"/>
          <w:marBottom w:val="0"/>
          <w:divBdr>
            <w:top w:val="none" w:sz="0" w:space="0" w:color="auto"/>
            <w:left w:val="none" w:sz="0" w:space="0" w:color="auto"/>
            <w:bottom w:val="none" w:sz="0" w:space="0" w:color="auto"/>
            <w:right w:val="none" w:sz="0" w:space="0" w:color="auto"/>
          </w:divBdr>
          <w:divsChild>
            <w:div w:id="602033924">
              <w:marLeft w:val="0"/>
              <w:marRight w:val="0"/>
              <w:marTop w:val="0"/>
              <w:marBottom w:val="0"/>
              <w:divBdr>
                <w:top w:val="none" w:sz="0" w:space="0" w:color="auto"/>
                <w:left w:val="none" w:sz="0" w:space="0" w:color="auto"/>
                <w:bottom w:val="none" w:sz="0" w:space="0" w:color="auto"/>
                <w:right w:val="none" w:sz="0" w:space="0" w:color="auto"/>
              </w:divBdr>
              <w:divsChild>
                <w:div w:id="397745799">
                  <w:marLeft w:val="0"/>
                  <w:marRight w:val="0"/>
                  <w:marTop w:val="0"/>
                  <w:marBottom w:val="0"/>
                  <w:divBdr>
                    <w:top w:val="none" w:sz="0" w:space="0" w:color="auto"/>
                    <w:left w:val="none" w:sz="0" w:space="0" w:color="auto"/>
                    <w:bottom w:val="none" w:sz="0" w:space="0" w:color="auto"/>
                    <w:right w:val="none" w:sz="0" w:space="0" w:color="auto"/>
                  </w:divBdr>
                  <w:divsChild>
                    <w:div w:id="8671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190534">
      <w:bodyDiv w:val="1"/>
      <w:marLeft w:val="0"/>
      <w:marRight w:val="0"/>
      <w:marTop w:val="0"/>
      <w:marBottom w:val="0"/>
      <w:divBdr>
        <w:top w:val="none" w:sz="0" w:space="0" w:color="auto"/>
        <w:left w:val="none" w:sz="0" w:space="0" w:color="auto"/>
        <w:bottom w:val="none" w:sz="0" w:space="0" w:color="auto"/>
        <w:right w:val="none" w:sz="0" w:space="0" w:color="auto"/>
      </w:divBdr>
    </w:div>
    <w:div w:id="368720756">
      <w:bodyDiv w:val="1"/>
      <w:marLeft w:val="0"/>
      <w:marRight w:val="0"/>
      <w:marTop w:val="0"/>
      <w:marBottom w:val="0"/>
      <w:divBdr>
        <w:top w:val="none" w:sz="0" w:space="0" w:color="auto"/>
        <w:left w:val="none" w:sz="0" w:space="0" w:color="auto"/>
        <w:bottom w:val="none" w:sz="0" w:space="0" w:color="auto"/>
        <w:right w:val="none" w:sz="0" w:space="0" w:color="auto"/>
      </w:divBdr>
      <w:divsChild>
        <w:div w:id="1834763399">
          <w:marLeft w:val="0"/>
          <w:marRight w:val="0"/>
          <w:marTop w:val="0"/>
          <w:marBottom w:val="0"/>
          <w:divBdr>
            <w:top w:val="none" w:sz="0" w:space="0" w:color="auto"/>
            <w:left w:val="none" w:sz="0" w:space="0" w:color="auto"/>
            <w:bottom w:val="none" w:sz="0" w:space="0" w:color="auto"/>
            <w:right w:val="none" w:sz="0" w:space="0" w:color="auto"/>
          </w:divBdr>
          <w:divsChild>
            <w:div w:id="1444574055">
              <w:marLeft w:val="0"/>
              <w:marRight w:val="0"/>
              <w:marTop w:val="0"/>
              <w:marBottom w:val="0"/>
              <w:divBdr>
                <w:top w:val="none" w:sz="0" w:space="0" w:color="auto"/>
                <w:left w:val="none" w:sz="0" w:space="0" w:color="auto"/>
                <w:bottom w:val="none" w:sz="0" w:space="0" w:color="auto"/>
                <w:right w:val="none" w:sz="0" w:space="0" w:color="auto"/>
              </w:divBdr>
              <w:divsChild>
                <w:div w:id="11660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377914">
      <w:bodyDiv w:val="1"/>
      <w:marLeft w:val="0"/>
      <w:marRight w:val="0"/>
      <w:marTop w:val="0"/>
      <w:marBottom w:val="0"/>
      <w:divBdr>
        <w:top w:val="none" w:sz="0" w:space="0" w:color="auto"/>
        <w:left w:val="none" w:sz="0" w:space="0" w:color="auto"/>
        <w:bottom w:val="none" w:sz="0" w:space="0" w:color="auto"/>
        <w:right w:val="none" w:sz="0" w:space="0" w:color="auto"/>
      </w:divBdr>
    </w:div>
    <w:div w:id="393820987">
      <w:bodyDiv w:val="1"/>
      <w:marLeft w:val="0"/>
      <w:marRight w:val="0"/>
      <w:marTop w:val="0"/>
      <w:marBottom w:val="0"/>
      <w:divBdr>
        <w:top w:val="none" w:sz="0" w:space="0" w:color="auto"/>
        <w:left w:val="none" w:sz="0" w:space="0" w:color="auto"/>
        <w:bottom w:val="none" w:sz="0" w:space="0" w:color="auto"/>
        <w:right w:val="none" w:sz="0" w:space="0" w:color="auto"/>
      </w:divBdr>
    </w:div>
    <w:div w:id="394353331">
      <w:bodyDiv w:val="1"/>
      <w:marLeft w:val="0"/>
      <w:marRight w:val="0"/>
      <w:marTop w:val="0"/>
      <w:marBottom w:val="0"/>
      <w:divBdr>
        <w:top w:val="none" w:sz="0" w:space="0" w:color="auto"/>
        <w:left w:val="none" w:sz="0" w:space="0" w:color="auto"/>
        <w:bottom w:val="none" w:sz="0" w:space="0" w:color="auto"/>
        <w:right w:val="none" w:sz="0" w:space="0" w:color="auto"/>
      </w:divBdr>
    </w:div>
    <w:div w:id="395468622">
      <w:bodyDiv w:val="1"/>
      <w:marLeft w:val="0"/>
      <w:marRight w:val="0"/>
      <w:marTop w:val="0"/>
      <w:marBottom w:val="0"/>
      <w:divBdr>
        <w:top w:val="none" w:sz="0" w:space="0" w:color="auto"/>
        <w:left w:val="none" w:sz="0" w:space="0" w:color="auto"/>
        <w:bottom w:val="none" w:sz="0" w:space="0" w:color="auto"/>
        <w:right w:val="none" w:sz="0" w:space="0" w:color="auto"/>
      </w:divBdr>
    </w:div>
    <w:div w:id="395516344">
      <w:bodyDiv w:val="1"/>
      <w:marLeft w:val="0"/>
      <w:marRight w:val="0"/>
      <w:marTop w:val="0"/>
      <w:marBottom w:val="0"/>
      <w:divBdr>
        <w:top w:val="none" w:sz="0" w:space="0" w:color="auto"/>
        <w:left w:val="none" w:sz="0" w:space="0" w:color="auto"/>
        <w:bottom w:val="none" w:sz="0" w:space="0" w:color="auto"/>
        <w:right w:val="none" w:sz="0" w:space="0" w:color="auto"/>
      </w:divBdr>
    </w:div>
    <w:div w:id="409549724">
      <w:bodyDiv w:val="1"/>
      <w:marLeft w:val="0"/>
      <w:marRight w:val="0"/>
      <w:marTop w:val="0"/>
      <w:marBottom w:val="0"/>
      <w:divBdr>
        <w:top w:val="none" w:sz="0" w:space="0" w:color="auto"/>
        <w:left w:val="none" w:sz="0" w:space="0" w:color="auto"/>
        <w:bottom w:val="none" w:sz="0" w:space="0" w:color="auto"/>
        <w:right w:val="none" w:sz="0" w:space="0" w:color="auto"/>
      </w:divBdr>
    </w:div>
    <w:div w:id="418528867">
      <w:bodyDiv w:val="1"/>
      <w:marLeft w:val="0"/>
      <w:marRight w:val="0"/>
      <w:marTop w:val="0"/>
      <w:marBottom w:val="0"/>
      <w:divBdr>
        <w:top w:val="none" w:sz="0" w:space="0" w:color="auto"/>
        <w:left w:val="none" w:sz="0" w:space="0" w:color="auto"/>
        <w:bottom w:val="none" w:sz="0" w:space="0" w:color="auto"/>
        <w:right w:val="none" w:sz="0" w:space="0" w:color="auto"/>
      </w:divBdr>
    </w:div>
    <w:div w:id="425423075">
      <w:bodyDiv w:val="1"/>
      <w:marLeft w:val="0"/>
      <w:marRight w:val="0"/>
      <w:marTop w:val="0"/>
      <w:marBottom w:val="0"/>
      <w:divBdr>
        <w:top w:val="none" w:sz="0" w:space="0" w:color="auto"/>
        <w:left w:val="none" w:sz="0" w:space="0" w:color="auto"/>
        <w:bottom w:val="none" w:sz="0" w:space="0" w:color="auto"/>
        <w:right w:val="none" w:sz="0" w:space="0" w:color="auto"/>
      </w:divBdr>
    </w:div>
    <w:div w:id="425464961">
      <w:bodyDiv w:val="1"/>
      <w:marLeft w:val="0"/>
      <w:marRight w:val="0"/>
      <w:marTop w:val="0"/>
      <w:marBottom w:val="0"/>
      <w:divBdr>
        <w:top w:val="none" w:sz="0" w:space="0" w:color="auto"/>
        <w:left w:val="none" w:sz="0" w:space="0" w:color="auto"/>
        <w:bottom w:val="none" w:sz="0" w:space="0" w:color="auto"/>
        <w:right w:val="none" w:sz="0" w:space="0" w:color="auto"/>
      </w:divBdr>
    </w:div>
    <w:div w:id="437335183">
      <w:bodyDiv w:val="1"/>
      <w:marLeft w:val="0"/>
      <w:marRight w:val="0"/>
      <w:marTop w:val="0"/>
      <w:marBottom w:val="0"/>
      <w:divBdr>
        <w:top w:val="none" w:sz="0" w:space="0" w:color="auto"/>
        <w:left w:val="none" w:sz="0" w:space="0" w:color="auto"/>
        <w:bottom w:val="none" w:sz="0" w:space="0" w:color="auto"/>
        <w:right w:val="none" w:sz="0" w:space="0" w:color="auto"/>
      </w:divBdr>
    </w:div>
    <w:div w:id="455805015">
      <w:bodyDiv w:val="1"/>
      <w:marLeft w:val="0"/>
      <w:marRight w:val="0"/>
      <w:marTop w:val="0"/>
      <w:marBottom w:val="0"/>
      <w:divBdr>
        <w:top w:val="none" w:sz="0" w:space="0" w:color="auto"/>
        <w:left w:val="none" w:sz="0" w:space="0" w:color="auto"/>
        <w:bottom w:val="none" w:sz="0" w:space="0" w:color="auto"/>
        <w:right w:val="none" w:sz="0" w:space="0" w:color="auto"/>
      </w:divBdr>
    </w:div>
    <w:div w:id="460418115">
      <w:bodyDiv w:val="1"/>
      <w:marLeft w:val="0"/>
      <w:marRight w:val="0"/>
      <w:marTop w:val="0"/>
      <w:marBottom w:val="0"/>
      <w:divBdr>
        <w:top w:val="none" w:sz="0" w:space="0" w:color="auto"/>
        <w:left w:val="none" w:sz="0" w:space="0" w:color="auto"/>
        <w:bottom w:val="none" w:sz="0" w:space="0" w:color="auto"/>
        <w:right w:val="none" w:sz="0" w:space="0" w:color="auto"/>
      </w:divBdr>
      <w:divsChild>
        <w:div w:id="1100105507">
          <w:marLeft w:val="0"/>
          <w:marRight w:val="0"/>
          <w:marTop w:val="0"/>
          <w:marBottom w:val="0"/>
          <w:divBdr>
            <w:top w:val="none" w:sz="0" w:space="0" w:color="auto"/>
            <w:left w:val="none" w:sz="0" w:space="0" w:color="auto"/>
            <w:bottom w:val="none" w:sz="0" w:space="0" w:color="auto"/>
            <w:right w:val="none" w:sz="0" w:space="0" w:color="auto"/>
          </w:divBdr>
          <w:divsChild>
            <w:div w:id="1050112413">
              <w:marLeft w:val="0"/>
              <w:marRight w:val="0"/>
              <w:marTop w:val="0"/>
              <w:marBottom w:val="0"/>
              <w:divBdr>
                <w:top w:val="none" w:sz="0" w:space="0" w:color="auto"/>
                <w:left w:val="none" w:sz="0" w:space="0" w:color="auto"/>
                <w:bottom w:val="none" w:sz="0" w:space="0" w:color="auto"/>
                <w:right w:val="none" w:sz="0" w:space="0" w:color="auto"/>
              </w:divBdr>
              <w:divsChild>
                <w:div w:id="871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864404">
      <w:bodyDiv w:val="1"/>
      <w:marLeft w:val="0"/>
      <w:marRight w:val="0"/>
      <w:marTop w:val="0"/>
      <w:marBottom w:val="0"/>
      <w:divBdr>
        <w:top w:val="none" w:sz="0" w:space="0" w:color="auto"/>
        <w:left w:val="none" w:sz="0" w:space="0" w:color="auto"/>
        <w:bottom w:val="none" w:sz="0" w:space="0" w:color="auto"/>
        <w:right w:val="none" w:sz="0" w:space="0" w:color="auto"/>
      </w:divBdr>
    </w:div>
    <w:div w:id="476456417">
      <w:bodyDiv w:val="1"/>
      <w:marLeft w:val="0"/>
      <w:marRight w:val="0"/>
      <w:marTop w:val="0"/>
      <w:marBottom w:val="0"/>
      <w:divBdr>
        <w:top w:val="none" w:sz="0" w:space="0" w:color="auto"/>
        <w:left w:val="none" w:sz="0" w:space="0" w:color="auto"/>
        <w:bottom w:val="none" w:sz="0" w:space="0" w:color="auto"/>
        <w:right w:val="none" w:sz="0" w:space="0" w:color="auto"/>
      </w:divBdr>
    </w:div>
    <w:div w:id="493838817">
      <w:bodyDiv w:val="1"/>
      <w:marLeft w:val="0"/>
      <w:marRight w:val="0"/>
      <w:marTop w:val="0"/>
      <w:marBottom w:val="0"/>
      <w:divBdr>
        <w:top w:val="none" w:sz="0" w:space="0" w:color="auto"/>
        <w:left w:val="none" w:sz="0" w:space="0" w:color="auto"/>
        <w:bottom w:val="none" w:sz="0" w:space="0" w:color="auto"/>
        <w:right w:val="none" w:sz="0" w:space="0" w:color="auto"/>
      </w:divBdr>
    </w:div>
    <w:div w:id="510067997">
      <w:bodyDiv w:val="1"/>
      <w:marLeft w:val="0"/>
      <w:marRight w:val="0"/>
      <w:marTop w:val="0"/>
      <w:marBottom w:val="0"/>
      <w:divBdr>
        <w:top w:val="none" w:sz="0" w:space="0" w:color="auto"/>
        <w:left w:val="none" w:sz="0" w:space="0" w:color="auto"/>
        <w:bottom w:val="none" w:sz="0" w:space="0" w:color="auto"/>
        <w:right w:val="none" w:sz="0" w:space="0" w:color="auto"/>
      </w:divBdr>
      <w:divsChild>
        <w:div w:id="1580824105">
          <w:marLeft w:val="0"/>
          <w:marRight w:val="0"/>
          <w:marTop w:val="0"/>
          <w:marBottom w:val="0"/>
          <w:divBdr>
            <w:top w:val="none" w:sz="0" w:space="0" w:color="auto"/>
            <w:left w:val="none" w:sz="0" w:space="0" w:color="auto"/>
            <w:bottom w:val="none" w:sz="0" w:space="0" w:color="auto"/>
            <w:right w:val="none" w:sz="0" w:space="0" w:color="auto"/>
          </w:divBdr>
          <w:divsChild>
            <w:div w:id="1703818046">
              <w:marLeft w:val="0"/>
              <w:marRight w:val="0"/>
              <w:marTop w:val="0"/>
              <w:marBottom w:val="0"/>
              <w:divBdr>
                <w:top w:val="none" w:sz="0" w:space="0" w:color="auto"/>
                <w:left w:val="none" w:sz="0" w:space="0" w:color="auto"/>
                <w:bottom w:val="none" w:sz="0" w:space="0" w:color="auto"/>
                <w:right w:val="none" w:sz="0" w:space="0" w:color="auto"/>
              </w:divBdr>
              <w:divsChild>
                <w:div w:id="1673604118">
                  <w:marLeft w:val="0"/>
                  <w:marRight w:val="0"/>
                  <w:marTop w:val="0"/>
                  <w:marBottom w:val="0"/>
                  <w:divBdr>
                    <w:top w:val="none" w:sz="0" w:space="0" w:color="auto"/>
                    <w:left w:val="none" w:sz="0" w:space="0" w:color="auto"/>
                    <w:bottom w:val="none" w:sz="0" w:space="0" w:color="auto"/>
                    <w:right w:val="none" w:sz="0" w:space="0" w:color="auto"/>
                  </w:divBdr>
                  <w:divsChild>
                    <w:div w:id="20320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076474">
      <w:bodyDiv w:val="1"/>
      <w:marLeft w:val="0"/>
      <w:marRight w:val="0"/>
      <w:marTop w:val="0"/>
      <w:marBottom w:val="0"/>
      <w:divBdr>
        <w:top w:val="none" w:sz="0" w:space="0" w:color="auto"/>
        <w:left w:val="none" w:sz="0" w:space="0" w:color="auto"/>
        <w:bottom w:val="none" w:sz="0" w:space="0" w:color="auto"/>
        <w:right w:val="none" w:sz="0" w:space="0" w:color="auto"/>
      </w:divBdr>
    </w:div>
    <w:div w:id="517348889">
      <w:bodyDiv w:val="1"/>
      <w:marLeft w:val="0"/>
      <w:marRight w:val="0"/>
      <w:marTop w:val="0"/>
      <w:marBottom w:val="0"/>
      <w:divBdr>
        <w:top w:val="none" w:sz="0" w:space="0" w:color="auto"/>
        <w:left w:val="none" w:sz="0" w:space="0" w:color="auto"/>
        <w:bottom w:val="none" w:sz="0" w:space="0" w:color="auto"/>
        <w:right w:val="none" w:sz="0" w:space="0" w:color="auto"/>
      </w:divBdr>
      <w:divsChild>
        <w:div w:id="1667004759">
          <w:marLeft w:val="0"/>
          <w:marRight w:val="0"/>
          <w:marTop w:val="0"/>
          <w:marBottom w:val="0"/>
          <w:divBdr>
            <w:top w:val="none" w:sz="0" w:space="0" w:color="auto"/>
            <w:left w:val="none" w:sz="0" w:space="0" w:color="auto"/>
            <w:bottom w:val="none" w:sz="0" w:space="0" w:color="auto"/>
            <w:right w:val="none" w:sz="0" w:space="0" w:color="auto"/>
          </w:divBdr>
          <w:divsChild>
            <w:div w:id="443112494">
              <w:marLeft w:val="0"/>
              <w:marRight w:val="0"/>
              <w:marTop w:val="0"/>
              <w:marBottom w:val="0"/>
              <w:divBdr>
                <w:top w:val="none" w:sz="0" w:space="0" w:color="auto"/>
                <w:left w:val="none" w:sz="0" w:space="0" w:color="auto"/>
                <w:bottom w:val="none" w:sz="0" w:space="0" w:color="auto"/>
                <w:right w:val="none" w:sz="0" w:space="0" w:color="auto"/>
              </w:divBdr>
              <w:divsChild>
                <w:div w:id="112415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35358">
      <w:bodyDiv w:val="1"/>
      <w:marLeft w:val="0"/>
      <w:marRight w:val="0"/>
      <w:marTop w:val="0"/>
      <w:marBottom w:val="0"/>
      <w:divBdr>
        <w:top w:val="none" w:sz="0" w:space="0" w:color="auto"/>
        <w:left w:val="none" w:sz="0" w:space="0" w:color="auto"/>
        <w:bottom w:val="none" w:sz="0" w:space="0" w:color="auto"/>
        <w:right w:val="none" w:sz="0" w:space="0" w:color="auto"/>
      </w:divBdr>
    </w:div>
    <w:div w:id="526215006">
      <w:bodyDiv w:val="1"/>
      <w:marLeft w:val="0"/>
      <w:marRight w:val="0"/>
      <w:marTop w:val="0"/>
      <w:marBottom w:val="0"/>
      <w:divBdr>
        <w:top w:val="none" w:sz="0" w:space="0" w:color="auto"/>
        <w:left w:val="none" w:sz="0" w:space="0" w:color="auto"/>
        <w:bottom w:val="none" w:sz="0" w:space="0" w:color="auto"/>
        <w:right w:val="none" w:sz="0" w:space="0" w:color="auto"/>
      </w:divBdr>
      <w:divsChild>
        <w:div w:id="1151172541">
          <w:marLeft w:val="0"/>
          <w:marRight w:val="0"/>
          <w:marTop w:val="0"/>
          <w:marBottom w:val="0"/>
          <w:divBdr>
            <w:top w:val="none" w:sz="0" w:space="0" w:color="auto"/>
            <w:left w:val="none" w:sz="0" w:space="0" w:color="auto"/>
            <w:bottom w:val="none" w:sz="0" w:space="0" w:color="auto"/>
            <w:right w:val="none" w:sz="0" w:space="0" w:color="auto"/>
          </w:divBdr>
          <w:divsChild>
            <w:div w:id="602610425">
              <w:marLeft w:val="0"/>
              <w:marRight w:val="0"/>
              <w:marTop w:val="0"/>
              <w:marBottom w:val="0"/>
              <w:divBdr>
                <w:top w:val="none" w:sz="0" w:space="0" w:color="auto"/>
                <w:left w:val="none" w:sz="0" w:space="0" w:color="auto"/>
                <w:bottom w:val="none" w:sz="0" w:space="0" w:color="auto"/>
                <w:right w:val="none" w:sz="0" w:space="0" w:color="auto"/>
              </w:divBdr>
              <w:divsChild>
                <w:div w:id="2025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299177">
      <w:bodyDiv w:val="1"/>
      <w:marLeft w:val="0"/>
      <w:marRight w:val="0"/>
      <w:marTop w:val="0"/>
      <w:marBottom w:val="0"/>
      <w:divBdr>
        <w:top w:val="none" w:sz="0" w:space="0" w:color="auto"/>
        <w:left w:val="none" w:sz="0" w:space="0" w:color="auto"/>
        <w:bottom w:val="none" w:sz="0" w:space="0" w:color="auto"/>
        <w:right w:val="none" w:sz="0" w:space="0" w:color="auto"/>
      </w:divBdr>
      <w:divsChild>
        <w:div w:id="1540312494">
          <w:marLeft w:val="0"/>
          <w:marRight w:val="0"/>
          <w:marTop w:val="0"/>
          <w:marBottom w:val="0"/>
          <w:divBdr>
            <w:top w:val="none" w:sz="0" w:space="0" w:color="auto"/>
            <w:left w:val="none" w:sz="0" w:space="0" w:color="auto"/>
            <w:bottom w:val="none" w:sz="0" w:space="0" w:color="auto"/>
            <w:right w:val="none" w:sz="0" w:space="0" w:color="auto"/>
          </w:divBdr>
          <w:divsChild>
            <w:div w:id="499010330">
              <w:marLeft w:val="0"/>
              <w:marRight w:val="0"/>
              <w:marTop w:val="0"/>
              <w:marBottom w:val="0"/>
              <w:divBdr>
                <w:top w:val="none" w:sz="0" w:space="0" w:color="auto"/>
                <w:left w:val="none" w:sz="0" w:space="0" w:color="auto"/>
                <w:bottom w:val="none" w:sz="0" w:space="0" w:color="auto"/>
                <w:right w:val="none" w:sz="0" w:space="0" w:color="auto"/>
              </w:divBdr>
              <w:divsChild>
                <w:div w:id="898520791">
                  <w:marLeft w:val="0"/>
                  <w:marRight w:val="0"/>
                  <w:marTop w:val="0"/>
                  <w:marBottom w:val="0"/>
                  <w:divBdr>
                    <w:top w:val="none" w:sz="0" w:space="0" w:color="auto"/>
                    <w:left w:val="none" w:sz="0" w:space="0" w:color="auto"/>
                    <w:bottom w:val="none" w:sz="0" w:space="0" w:color="auto"/>
                    <w:right w:val="none" w:sz="0" w:space="0" w:color="auto"/>
                  </w:divBdr>
                </w:div>
              </w:divsChild>
            </w:div>
            <w:div w:id="697971902">
              <w:marLeft w:val="0"/>
              <w:marRight w:val="0"/>
              <w:marTop w:val="0"/>
              <w:marBottom w:val="0"/>
              <w:divBdr>
                <w:top w:val="none" w:sz="0" w:space="0" w:color="auto"/>
                <w:left w:val="none" w:sz="0" w:space="0" w:color="auto"/>
                <w:bottom w:val="none" w:sz="0" w:space="0" w:color="auto"/>
                <w:right w:val="none" w:sz="0" w:space="0" w:color="auto"/>
              </w:divBdr>
              <w:divsChild>
                <w:div w:id="881792690">
                  <w:marLeft w:val="0"/>
                  <w:marRight w:val="0"/>
                  <w:marTop w:val="0"/>
                  <w:marBottom w:val="0"/>
                  <w:divBdr>
                    <w:top w:val="none" w:sz="0" w:space="0" w:color="auto"/>
                    <w:left w:val="none" w:sz="0" w:space="0" w:color="auto"/>
                    <w:bottom w:val="none" w:sz="0" w:space="0" w:color="auto"/>
                    <w:right w:val="none" w:sz="0" w:space="0" w:color="auto"/>
                  </w:divBdr>
                </w:div>
              </w:divsChild>
            </w:div>
            <w:div w:id="781725491">
              <w:marLeft w:val="0"/>
              <w:marRight w:val="0"/>
              <w:marTop w:val="0"/>
              <w:marBottom w:val="0"/>
              <w:divBdr>
                <w:top w:val="none" w:sz="0" w:space="0" w:color="auto"/>
                <w:left w:val="none" w:sz="0" w:space="0" w:color="auto"/>
                <w:bottom w:val="none" w:sz="0" w:space="0" w:color="auto"/>
                <w:right w:val="none" w:sz="0" w:space="0" w:color="auto"/>
              </w:divBdr>
              <w:divsChild>
                <w:div w:id="538738131">
                  <w:marLeft w:val="0"/>
                  <w:marRight w:val="0"/>
                  <w:marTop w:val="0"/>
                  <w:marBottom w:val="0"/>
                  <w:divBdr>
                    <w:top w:val="none" w:sz="0" w:space="0" w:color="auto"/>
                    <w:left w:val="none" w:sz="0" w:space="0" w:color="auto"/>
                    <w:bottom w:val="none" w:sz="0" w:space="0" w:color="auto"/>
                    <w:right w:val="none" w:sz="0" w:space="0" w:color="auto"/>
                  </w:divBdr>
                </w:div>
              </w:divsChild>
            </w:div>
            <w:div w:id="1079980692">
              <w:marLeft w:val="0"/>
              <w:marRight w:val="0"/>
              <w:marTop w:val="0"/>
              <w:marBottom w:val="0"/>
              <w:divBdr>
                <w:top w:val="none" w:sz="0" w:space="0" w:color="auto"/>
                <w:left w:val="none" w:sz="0" w:space="0" w:color="auto"/>
                <w:bottom w:val="none" w:sz="0" w:space="0" w:color="auto"/>
                <w:right w:val="none" w:sz="0" w:space="0" w:color="auto"/>
              </w:divBdr>
              <w:divsChild>
                <w:div w:id="631062854">
                  <w:marLeft w:val="0"/>
                  <w:marRight w:val="0"/>
                  <w:marTop w:val="0"/>
                  <w:marBottom w:val="0"/>
                  <w:divBdr>
                    <w:top w:val="none" w:sz="0" w:space="0" w:color="auto"/>
                    <w:left w:val="none" w:sz="0" w:space="0" w:color="auto"/>
                    <w:bottom w:val="none" w:sz="0" w:space="0" w:color="auto"/>
                    <w:right w:val="none" w:sz="0" w:space="0" w:color="auto"/>
                  </w:divBdr>
                </w:div>
              </w:divsChild>
            </w:div>
            <w:div w:id="1128091355">
              <w:marLeft w:val="0"/>
              <w:marRight w:val="0"/>
              <w:marTop w:val="0"/>
              <w:marBottom w:val="0"/>
              <w:divBdr>
                <w:top w:val="none" w:sz="0" w:space="0" w:color="auto"/>
                <w:left w:val="none" w:sz="0" w:space="0" w:color="auto"/>
                <w:bottom w:val="none" w:sz="0" w:space="0" w:color="auto"/>
                <w:right w:val="none" w:sz="0" w:space="0" w:color="auto"/>
              </w:divBdr>
              <w:divsChild>
                <w:div w:id="758523355">
                  <w:marLeft w:val="0"/>
                  <w:marRight w:val="0"/>
                  <w:marTop w:val="0"/>
                  <w:marBottom w:val="0"/>
                  <w:divBdr>
                    <w:top w:val="none" w:sz="0" w:space="0" w:color="auto"/>
                    <w:left w:val="none" w:sz="0" w:space="0" w:color="auto"/>
                    <w:bottom w:val="none" w:sz="0" w:space="0" w:color="auto"/>
                    <w:right w:val="none" w:sz="0" w:space="0" w:color="auto"/>
                  </w:divBdr>
                </w:div>
              </w:divsChild>
            </w:div>
            <w:div w:id="1420254599">
              <w:marLeft w:val="0"/>
              <w:marRight w:val="0"/>
              <w:marTop w:val="0"/>
              <w:marBottom w:val="0"/>
              <w:divBdr>
                <w:top w:val="none" w:sz="0" w:space="0" w:color="auto"/>
                <w:left w:val="none" w:sz="0" w:space="0" w:color="auto"/>
                <w:bottom w:val="none" w:sz="0" w:space="0" w:color="auto"/>
                <w:right w:val="none" w:sz="0" w:space="0" w:color="auto"/>
              </w:divBdr>
              <w:divsChild>
                <w:div w:id="173154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43637">
      <w:bodyDiv w:val="1"/>
      <w:marLeft w:val="0"/>
      <w:marRight w:val="0"/>
      <w:marTop w:val="0"/>
      <w:marBottom w:val="0"/>
      <w:divBdr>
        <w:top w:val="none" w:sz="0" w:space="0" w:color="auto"/>
        <w:left w:val="none" w:sz="0" w:space="0" w:color="auto"/>
        <w:bottom w:val="none" w:sz="0" w:space="0" w:color="auto"/>
        <w:right w:val="none" w:sz="0" w:space="0" w:color="auto"/>
      </w:divBdr>
      <w:divsChild>
        <w:div w:id="2042824452">
          <w:marLeft w:val="0"/>
          <w:marRight w:val="0"/>
          <w:marTop w:val="0"/>
          <w:marBottom w:val="0"/>
          <w:divBdr>
            <w:top w:val="none" w:sz="0" w:space="0" w:color="auto"/>
            <w:left w:val="none" w:sz="0" w:space="0" w:color="auto"/>
            <w:bottom w:val="none" w:sz="0" w:space="0" w:color="auto"/>
            <w:right w:val="none" w:sz="0" w:space="0" w:color="auto"/>
          </w:divBdr>
          <w:divsChild>
            <w:div w:id="968512975">
              <w:marLeft w:val="0"/>
              <w:marRight w:val="0"/>
              <w:marTop w:val="0"/>
              <w:marBottom w:val="0"/>
              <w:divBdr>
                <w:top w:val="none" w:sz="0" w:space="0" w:color="auto"/>
                <w:left w:val="none" w:sz="0" w:space="0" w:color="auto"/>
                <w:bottom w:val="none" w:sz="0" w:space="0" w:color="auto"/>
                <w:right w:val="none" w:sz="0" w:space="0" w:color="auto"/>
              </w:divBdr>
              <w:divsChild>
                <w:div w:id="90278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46635">
      <w:bodyDiv w:val="1"/>
      <w:marLeft w:val="0"/>
      <w:marRight w:val="0"/>
      <w:marTop w:val="0"/>
      <w:marBottom w:val="0"/>
      <w:divBdr>
        <w:top w:val="none" w:sz="0" w:space="0" w:color="auto"/>
        <w:left w:val="none" w:sz="0" w:space="0" w:color="auto"/>
        <w:bottom w:val="none" w:sz="0" w:space="0" w:color="auto"/>
        <w:right w:val="none" w:sz="0" w:space="0" w:color="auto"/>
      </w:divBdr>
    </w:div>
    <w:div w:id="541869373">
      <w:bodyDiv w:val="1"/>
      <w:marLeft w:val="0"/>
      <w:marRight w:val="0"/>
      <w:marTop w:val="0"/>
      <w:marBottom w:val="0"/>
      <w:divBdr>
        <w:top w:val="none" w:sz="0" w:space="0" w:color="auto"/>
        <w:left w:val="none" w:sz="0" w:space="0" w:color="auto"/>
        <w:bottom w:val="none" w:sz="0" w:space="0" w:color="auto"/>
        <w:right w:val="none" w:sz="0" w:space="0" w:color="auto"/>
      </w:divBdr>
      <w:divsChild>
        <w:div w:id="883492495">
          <w:marLeft w:val="0"/>
          <w:marRight w:val="0"/>
          <w:marTop w:val="0"/>
          <w:marBottom w:val="0"/>
          <w:divBdr>
            <w:top w:val="none" w:sz="0" w:space="0" w:color="auto"/>
            <w:left w:val="none" w:sz="0" w:space="0" w:color="auto"/>
            <w:bottom w:val="none" w:sz="0" w:space="0" w:color="auto"/>
            <w:right w:val="none" w:sz="0" w:space="0" w:color="auto"/>
          </w:divBdr>
          <w:divsChild>
            <w:div w:id="30348557">
              <w:marLeft w:val="0"/>
              <w:marRight w:val="0"/>
              <w:marTop w:val="0"/>
              <w:marBottom w:val="0"/>
              <w:divBdr>
                <w:top w:val="none" w:sz="0" w:space="0" w:color="auto"/>
                <w:left w:val="none" w:sz="0" w:space="0" w:color="auto"/>
                <w:bottom w:val="none" w:sz="0" w:space="0" w:color="auto"/>
                <w:right w:val="none" w:sz="0" w:space="0" w:color="auto"/>
              </w:divBdr>
              <w:divsChild>
                <w:div w:id="1411927562">
                  <w:marLeft w:val="0"/>
                  <w:marRight w:val="0"/>
                  <w:marTop w:val="0"/>
                  <w:marBottom w:val="0"/>
                  <w:divBdr>
                    <w:top w:val="none" w:sz="0" w:space="0" w:color="auto"/>
                    <w:left w:val="none" w:sz="0" w:space="0" w:color="auto"/>
                    <w:bottom w:val="none" w:sz="0" w:space="0" w:color="auto"/>
                    <w:right w:val="none" w:sz="0" w:space="0" w:color="auto"/>
                  </w:divBdr>
                  <w:divsChild>
                    <w:div w:id="5052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9064">
      <w:bodyDiv w:val="1"/>
      <w:marLeft w:val="0"/>
      <w:marRight w:val="0"/>
      <w:marTop w:val="0"/>
      <w:marBottom w:val="0"/>
      <w:divBdr>
        <w:top w:val="none" w:sz="0" w:space="0" w:color="auto"/>
        <w:left w:val="none" w:sz="0" w:space="0" w:color="auto"/>
        <w:bottom w:val="none" w:sz="0" w:space="0" w:color="auto"/>
        <w:right w:val="none" w:sz="0" w:space="0" w:color="auto"/>
      </w:divBdr>
      <w:divsChild>
        <w:div w:id="1577011943">
          <w:marLeft w:val="0"/>
          <w:marRight w:val="0"/>
          <w:marTop w:val="0"/>
          <w:marBottom w:val="0"/>
          <w:divBdr>
            <w:top w:val="none" w:sz="0" w:space="0" w:color="auto"/>
            <w:left w:val="none" w:sz="0" w:space="0" w:color="auto"/>
            <w:bottom w:val="none" w:sz="0" w:space="0" w:color="auto"/>
            <w:right w:val="none" w:sz="0" w:space="0" w:color="auto"/>
          </w:divBdr>
          <w:divsChild>
            <w:div w:id="1345596745">
              <w:marLeft w:val="0"/>
              <w:marRight w:val="0"/>
              <w:marTop w:val="0"/>
              <w:marBottom w:val="0"/>
              <w:divBdr>
                <w:top w:val="none" w:sz="0" w:space="0" w:color="auto"/>
                <w:left w:val="none" w:sz="0" w:space="0" w:color="auto"/>
                <w:bottom w:val="none" w:sz="0" w:space="0" w:color="auto"/>
                <w:right w:val="none" w:sz="0" w:space="0" w:color="auto"/>
              </w:divBdr>
              <w:divsChild>
                <w:div w:id="811558761">
                  <w:marLeft w:val="0"/>
                  <w:marRight w:val="0"/>
                  <w:marTop w:val="0"/>
                  <w:marBottom w:val="0"/>
                  <w:divBdr>
                    <w:top w:val="none" w:sz="0" w:space="0" w:color="auto"/>
                    <w:left w:val="none" w:sz="0" w:space="0" w:color="auto"/>
                    <w:bottom w:val="none" w:sz="0" w:space="0" w:color="auto"/>
                    <w:right w:val="none" w:sz="0" w:space="0" w:color="auto"/>
                  </w:divBdr>
                  <w:divsChild>
                    <w:div w:id="5629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962829">
      <w:bodyDiv w:val="1"/>
      <w:marLeft w:val="0"/>
      <w:marRight w:val="0"/>
      <w:marTop w:val="0"/>
      <w:marBottom w:val="0"/>
      <w:divBdr>
        <w:top w:val="none" w:sz="0" w:space="0" w:color="auto"/>
        <w:left w:val="none" w:sz="0" w:space="0" w:color="auto"/>
        <w:bottom w:val="none" w:sz="0" w:space="0" w:color="auto"/>
        <w:right w:val="none" w:sz="0" w:space="0" w:color="auto"/>
      </w:divBdr>
      <w:divsChild>
        <w:div w:id="194388588">
          <w:marLeft w:val="0"/>
          <w:marRight w:val="0"/>
          <w:marTop w:val="0"/>
          <w:marBottom w:val="0"/>
          <w:divBdr>
            <w:top w:val="none" w:sz="0" w:space="0" w:color="auto"/>
            <w:left w:val="none" w:sz="0" w:space="0" w:color="auto"/>
            <w:bottom w:val="none" w:sz="0" w:space="0" w:color="auto"/>
            <w:right w:val="none" w:sz="0" w:space="0" w:color="auto"/>
          </w:divBdr>
          <w:divsChild>
            <w:div w:id="2074306858">
              <w:marLeft w:val="0"/>
              <w:marRight w:val="0"/>
              <w:marTop w:val="0"/>
              <w:marBottom w:val="0"/>
              <w:divBdr>
                <w:top w:val="none" w:sz="0" w:space="0" w:color="auto"/>
                <w:left w:val="none" w:sz="0" w:space="0" w:color="auto"/>
                <w:bottom w:val="none" w:sz="0" w:space="0" w:color="auto"/>
                <w:right w:val="none" w:sz="0" w:space="0" w:color="auto"/>
              </w:divBdr>
              <w:divsChild>
                <w:div w:id="1463882323">
                  <w:marLeft w:val="0"/>
                  <w:marRight w:val="0"/>
                  <w:marTop w:val="0"/>
                  <w:marBottom w:val="0"/>
                  <w:divBdr>
                    <w:top w:val="none" w:sz="0" w:space="0" w:color="auto"/>
                    <w:left w:val="none" w:sz="0" w:space="0" w:color="auto"/>
                    <w:bottom w:val="none" w:sz="0" w:space="0" w:color="auto"/>
                    <w:right w:val="none" w:sz="0" w:space="0" w:color="auto"/>
                  </w:divBdr>
                  <w:divsChild>
                    <w:div w:id="17200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943743">
      <w:bodyDiv w:val="1"/>
      <w:marLeft w:val="0"/>
      <w:marRight w:val="0"/>
      <w:marTop w:val="0"/>
      <w:marBottom w:val="0"/>
      <w:divBdr>
        <w:top w:val="none" w:sz="0" w:space="0" w:color="auto"/>
        <w:left w:val="none" w:sz="0" w:space="0" w:color="auto"/>
        <w:bottom w:val="none" w:sz="0" w:space="0" w:color="auto"/>
        <w:right w:val="none" w:sz="0" w:space="0" w:color="auto"/>
      </w:divBdr>
      <w:divsChild>
        <w:div w:id="1106540693">
          <w:marLeft w:val="0"/>
          <w:marRight w:val="0"/>
          <w:marTop w:val="0"/>
          <w:marBottom w:val="0"/>
          <w:divBdr>
            <w:top w:val="none" w:sz="0" w:space="0" w:color="auto"/>
            <w:left w:val="none" w:sz="0" w:space="0" w:color="auto"/>
            <w:bottom w:val="none" w:sz="0" w:space="0" w:color="auto"/>
            <w:right w:val="none" w:sz="0" w:space="0" w:color="auto"/>
          </w:divBdr>
          <w:divsChild>
            <w:div w:id="744686714">
              <w:marLeft w:val="0"/>
              <w:marRight w:val="0"/>
              <w:marTop w:val="0"/>
              <w:marBottom w:val="0"/>
              <w:divBdr>
                <w:top w:val="none" w:sz="0" w:space="0" w:color="auto"/>
                <w:left w:val="none" w:sz="0" w:space="0" w:color="auto"/>
                <w:bottom w:val="none" w:sz="0" w:space="0" w:color="auto"/>
                <w:right w:val="none" w:sz="0" w:space="0" w:color="auto"/>
              </w:divBdr>
              <w:divsChild>
                <w:div w:id="183252220">
                  <w:marLeft w:val="0"/>
                  <w:marRight w:val="0"/>
                  <w:marTop w:val="0"/>
                  <w:marBottom w:val="0"/>
                  <w:divBdr>
                    <w:top w:val="none" w:sz="0" w:space="0" w:color="auto"/>
                    <w:left w:val="none" w:sz="0" w:space="0" w:color="auto"/>
                    <w:bottom w:val="none" w:sz="0" w:space="0" w:color="auto"/>
                    <w:right w:val="none" w:sz="0" w:space="0" w:color="auto"/>
                  </w:divBdr>
                  <w:divsChild>
                    <w:div w:id="6971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209993">
      <w:bodyDiv w:val="1"/>
      <w:marLeft w:val="0"/>
      <w:marRight w:val="0"/>
      <w:marTop w:val="0"/>
      <w:marBottom w:val="0"/>
      <w:divBdr>
        <w:top w:val="none" w:sz="0" w:space="0" w:color="auto"/>
        <w:left w:val="none" w:sz="0" w:space="0" w:color="auto"/>
        <w:bottom w:val="none" w:sz="0" w:space="0" w:color="auto"/>
        <w:right w:val="none" w:sz="0" w:space="0" w:color="auto"/>
      </w:divBdr>
    </w:div>
    <w:div w:id="599028894">
      <w:bodyDiv w:val="1"/>
      <w:marLeft w:val="0"/>
      <w:marRight w:val="0"/>
      <w:marTop w:val="0"/>
      <w:marBottom w:val="0"/>
      <w:divBdr>
        <w:top w:val="none" w:sz="0" w:space="0" w:color="auto"/>
        <w:left w:val="none" w:sz="0" w:space="0" w:color="auto"/>
        <w:bottom w:val="none" w:sz="0" w:space="0" w:color="auto"/>
        <w:right w:val="none" w:sz="0" w:space="0" w:color="auto"/>
      </w:divBdr>
      <w:divsChild>
        <w:div w:id="1871793358">
          <w:marLeft w:val="0"/>
          <w:marRight w:val="0"/>
          <w:marTop w:val="0"/>
          <w:marBottom w:val="0"/>
          <w:divBdr>
            <w:top w:val="none" w:sz="0" w:space="0" w:color="auto"/>
            <w:left w:val="none" w:sz="0" w:space="0" w:color="auto"/>
            <w:bottom w:val="none" w:sz="0" w:space="0" w:color="auto"/>
            <w:right w:val="none" w:sz="0" w:space="0" w:color="auto"/>
          </w:divBdr>
          <w:divsChild>
            <w:div w:id="2052997454">
              <w:marLeft w:val="0"/>
              <w:marRight w:val="0"/>
              <w:marTop w:val="0"/>
              <w:marBottom w:val="0"/>
              <w:divBdr>
                <w:top w:val="none" w:sz="0" w:space="0" w:color="auto"/>
                <w:left w:val="none" w:sz="0" w:space="0" w:color="auto"/>
                <w:bottom w:val="none" w:sz="0" w:space="0" w:color="auto"/>
                <w:right w:val="none" w:sz="0" w:space="0" w:color="auto"/>
              </w:divBdr>
              <w:divsChild>
                <w:div w:id="32501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1495">
      <w:bodyDiv w:val="1"/>
      <w:marLeft w:val="0"/>
      <w:marRight w:val="0"/>
      <w:marTop w:val="0"/>
      <w:marBottom w:val="0"/>
      <w:divBdr>
        <w:top w:val="none" w:sz="0" w:space="0" w:color="auto"/>
        <w:left w:val="none" w:sz="0" w:space="0" w:color="auto"/>
        <w:bottom w:val="none" w:sz="0" w:space="0" w:color="auto"/>
        <w:right w:val="none" w:sz="0" w:space="0" w:color="auto"/>
      </w:divBdr>
      <w:divsChild>
        <w:div w:id="1097364159">
          <w:marLeft w:val="0"/>
          <w:marRight w:val="0"/>
          <w:marTop w:val="0"/>
          <w:marBottom w:val="0"/>
          <w:divBdr>
            <w:top w:val="none" w:sz="0" w:space="0" w:color="auto"/>
            <w:left w:val="none" w:sz="0" w:space="0" w:color="auto"/>
            <w:bottom w:val="none" w:sz="0" w:space="0" w:color="auto"/>
            <w:right w:val="none" w:sz="0" w:space="0" w:color="auto"/>
          </w:divBdr>
          <w:divsChild>
            <w:div w:id="944532956">
              <w:marLeft w:val="0"/>
              <w:marRight w:val="0"/>
              <w:marTop w:val="0"/>
              <w:marBottom w:val="0"/>
              <w:divBdr>
                <w:top w:val="none" w:sz="0" w:space="0" w:color="auto"/>
                <w:left w:val="none" w:sz="0" w:space="0" w:color="auto"/>
                <w:bottom w:val="none" w:sz="0" w:space="0" w:color="auto"/>
                <w:right w:val="none" w:sz="0" w:space="0" w:color="auto"/>
              </w:divBdr>
              <w:divsChild>
                <w:div w:id="123026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01613">
      <w:bodyDiv w:val="1"/>
      <w:marLeft w:val="0"/>
      <w:marRight w:val="0"/>
      <w:marTop w:val="0"/>
      <w:marBottom w:val="0"/>
      <w:divBdr>
        <w:top w:val="none" w:sz="0" w:space="0" w:color="auto"/>
        <w:left w:val="none" w:sz="0" w:space="0" w:color="auto"/>
        <w:bottom w:val="none" w:sz="0" w:space="0" w:color="auto"/>
        <w:right w:val="none" w:sz="0" w:space="0" w:color="auto"/>
      </w:divBdr>
    </w:div>
    <w:div w:id="652955939">
      <w:bodyDiv w:val="1"/>
      <w:marLeft w:val="0"/>
      <w:marRight w:val="0"/>
      <w:marTop w:val="0"/>
      <w:marBottom w:val="0"/>
      <w:divBdr>
        <w:top w:val="none" w:sz="0" w:space="0" w:color="auto"/>
        <w:left w:val="none" w:sz="0" w:space="0" w:color="auto"/>
        <w:bottom w:val="none" w:sz="0" w:space="0" w:color="auto"/>
        <w:right w:val="none" w:sz="0" w:space="0" w:color="auto"/>
      </w:divBdr>
    </w:div>
    <w:div w:id="657998136">
      <w:bodyDiv w:val="1"/>
      <w:marLeft w:val="0"/>
      <w:marRight w:val="0"/>
      <w:marTop w:val="0"/>
      <w:marBottom w:val="0"/>
      <w:divBdr>
        <w:top w:val="none" w:sz="0" w:space="0" w:color="auto"/>
        <w:left w:val="none" w:sz="0" w:space="0" w:color="auto"/>
        <w:bottom w:val="none" w:sz="0" w:space="0" w:color="auto"/>
        <w:right w:val="none" w:sz="0" w:space="0" w:color="auto"/>
      </w:divBdr>
    </w:div>
    <w:div w:id="658002670">
      <w:bodyDiv w:val="1"/>
      <w:marLeft w:val="0"/>
      <w:marRight w:val="0"/>
      <w:marTop w:val="0"/>
      <w:marBottom w:val="0"/>
      <w:divBdr>
        <w:top w:val="none" w:sz="0" w:space="0" w:color="auto"/>
        <w:left w:val="none" w:sz="0" w:space="0" w:color="auto"/>
        <w:bottom w:val="none" w:sz="0" w:space="0" w:color="auto"/>
        <w:right w:val="none" w:sz="0" w:space="0" w:color="auto"/>
      </w:divBdr>
    </w:div>
    <w:div w:id="667246145">
      <w:bodyDiv w:val="1"/>
      <w:marLeft w:val="0"/>
      <w:marRight w:val="0"/>
      <w:marTop w:val="0"/>
      <w:marBottom w:val="0"/>
      <w:divBdr>
        <w:top w:val="none" w:sz="0" w:space="0" w:color="auto"/>
        <w:left w:val="none" w:sz="0" w:space="0" w:color="auto"/>
        <w:bottom w:val="none" w:sz="0" w:space="0" w:color="auto"/>
        <w:right w:val="none" w:sz="0" w:space="0" w:color="auto"/>
      </w:divBdr>
    </w:div>
    <w:div w:id="672493785">
      <w:bodyDiv w:val="1"/>
      <w:marLeft w:val="0"/>
      <w:marRight w:val="0"/>
      <w:marTop w:val="0"/>
      <w:marBottom w:val="0"/>
      <w:divBdr>
        <w:top w:val="none" w:sz="0" w:space="0" w:color="auto"/>
        <w:left w:val="none" w:sz="0" w:space="0" w:color="auto"/>
        <w:bottom w:val="none" w:sz="0" w:space="0" w:color="auto"/>
        <w:right w:val="none" w:sz="0" w:space="0" w:color="auto"/>
      </w:divBdr>
    </w:div>
    <w:div w:id="674109007">
      <w:bodyDiv w:val="1"/>
      <w:marLeft w:val="0"/>
      <w:marRight w:val="0"/>
      <w:marTop w:val="0"/>
      <w:marBottom w:val="0"/>
      <w:divBdr>
        <w:top w:val="none" w:sz="0" w:space="0" w:color="auto"/>
        <w:left w:val="none" w:sz="0" w:space="0" w:color="auto"/>
        <w:bottom w:val="none" w:sz="0" w:space="0" w:color="auto"/>
        <w:right w:val="none" w:sz="0" w:space="0" w:color="auto"/>
      </w:divBdr>
    </w:div>
    <w:div w:id="674722172">
      <w:bodyDiv w:val="1"/>
      <w:marLeft w:val="0"/>
      <w:marRight w:val="0"/>
      <w:marTop w:val="0"/>
      <w:marBottom w:val="0"/>
      <w:divBdr>
        <w:top w:val="none" w:sz="0" w:space="0" w:color="auto"/>
        <w:left w:val="none" w:sz="0" w:space="0" w:color="auto"/>
        <w:bottom w:val="none" w:sz="0" w:space="0" w:color="auto"/>
        <w:right w:val="none" w:sz="0" w:space="0" w:color="auto"/>
      </w:divBdr>
    </w:div>
    <w:div w:id="675154762">
      <w:bodyDiv w:val="1"/>
      <w:marLeft w:val="0"/>
      <w:marRight w:val="0"/>
      <w:marTop w:val="0"/>
      <w:marBottom w:val="0"/>
      <w:divBdr>
        <w:top w:val="none" w:sz="0" w:space="0" w:color="auto"/>
        <w:left w:val="none" w:sz="0" w:space="0" w:color="auto"/>
        <w:bottom w:val="none" w:sz="0" w:space="0" w:color="auto"/>
        <w:right w:val="none" w:sz="0" w:space="0" w:color="auto"/>
      </w:divBdr>
    </w:div>
    <w:div w:id="680818923">
      <w:bodyDiv w:val="1"/>
      <w:marLeft w:val="0"/>
      <w:marRight w:val="0"/>
      <w:marTop w:val="0"/>
      <w:marBottom w:val="0"/>
      <w:divBdr>
        <w:top w:val="none" w:sz="0" w:space="0" w:color="auto"/>
        <w:left w:val="none" w:sz="0" w:space="0" w:color="auto"/>
        <w:bottom w:val="none" w:sz="0" w:space="0" w:color="auto"/>
        <w:right w:val="none" w:sz="0" w:space="0" w:color="auto"/>
      </w:divBdr>
    </w:div>
    <w:div w:id="688682826">
      <w:bodyDiv w:val="1"/>
      <w:marLeft w:val="0"/>
      <w:marRight w:val="0"/>
      <w:marTop w:val="0"/>
      <w:marBottom w:val="0"/>
      <w:divBdr>
        <w:top w:val="none" w:sz="0" w:space="0" w:color="auto"/>
        <w:left w:val="none" w:sz="0" w:space="0" w:color="auto"/>
        <w:bottom w:val="none" w:sz="0" w:space="0" w:color="auto"/>
        <w:right w:val="none" w:sz="0" w:space="0" w:color="auto"/>
      </w:divBdr>
      <w:divsChild>
        <w:div w:id="1561945423">
          <w:marLeft w:val="0"/>
          <w:marRight w:val="0"/>
          <w:marTop w:val="0"/>
          <w:marBottom w:val="0"/>
          <w:divBdr>
            <w:top w:val="none" w:sz="0" w:space="0" w:color="auto"/>
            <w:left w:val="none" w:sz="0" w:space="0" w:color="auto"/>
            <w:bottom w:val="none" w:sz="0" w:space="0" w:color="auto"/>
            <w:right w:val="none" w:sz="0" w:space="0" w:color="auto"/>
          </w:divBdr>
          <w:divsChild>
            <w:div w:id="1145659541">
              <w:marLeft w:val="0"/>
              <w:marRight w:val="0"/>
              <w:marTop w:val="0"/>
              <w:marBottom w:val="0"/>
              <w:divBdr>
                <w:top w:val="none" w:sz="0" w:space="0" w:color="auto"/>
                <w:left w:val="none" w:sz="0" w:space="0" w:color="auto"/>
                <w:bottom w:val="none" w:sz="0" w:space="0" w:color="auto"/>
                <w:right w:val="none" w:sz="0" w:space="0" w:color="auto"/>
              </w:divBdr>
              <w:divsChild>
                <w:div w:id="1944457409">
                  <w:marLeft w:val="0"/>
                  <w:marRight w:val="0"/>
                  <w:marTop w:val="0"/>
                  <w:marBottom w:val="0"/>
                  <w:divBdr>
                    <w:top w:val="none" w:sz="0" w:space="0" w:color="auto"/>
                    <w:left w:val="none" w:sz="0" w:space="0" w:color="auto"/>
                    <w:bottom w:val="none" w:sz="0" w:space="0" w:color="auto"/>
                    <w:right w:val="none" w:sz="0" w:space="0" w:color="auto"/>
                  </w:divBdr>
                  <w:divsChild>
                    <w:div w:id="10168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437053">
      <w:bodyDiv w:val="1"/>
      <w:marLeft w:val="0"/>
      <w:marRight w:val="0"/>
      <w:marTop w:val="0"/>
      <w:marBottom w:val="0"/>
      <w:divBdr>
        <w:top w:val="none" w:sz="0" w:space="0" w:color="auto"/>
        <w:left w:val="none" w:sz="0" w:space="0" w:color="auto"/>
        <w:bottom w:val="none" w:sz="0" w:space="0" w:color="auto"/>
        <w:right w:val="none" w:sz="0" w:space="0" w:color="auto"/>
      </w:divBdr>
      <w:divsChild>
        <w:div w:id="189152488">
          <w:marLeft w:val="0"/>
          <w:marRight w:val="0"/>
          <w:marTop w:val="0"/>
          <w:marBottom w:val="0"/>
          <w:divBdr>
            <w:top w:val="none" w:sz="0" w:space="0" w:color="auto"/>
            <w:left w:val="none" w:sz="0" w:space="0" w:color="auto"/>
            <w:bottom w:val="none" w:sz="0" w:space="0" w:color="auto"/>
            <w:right w:val="none" w:sz="0" w:space="0" w:color="auto"/>
          </w:divBdr>
          <w:divsChild>
            <w:div w:id="483401991">
              <w:marLeft w:val="0"/>
              <w:marRight w:val="0"/>
              <w:marTop w:val="0"/>
              <w:marBottom w:val="0"/>
              <w:divBdr>
                <w:top w:val="none" w:sz="0" w:space="0" w:color="auto"/>
                <w:left w:val="none" w:sz="0" w:space="0" w:color="auto"/>
                <w:bottom w:val="none" w:sz="0" w:space="0" w:color="auto"/>
                <w:right w:val="none" w:sz="0" w:space="0" w:color="auto"/>
              </w:divBdr>
              <w:divsChild>
                <w:div w:id="70032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2738">
      <w:bodyDiv w:val="1"/>
      <w:marLeft w:val="0"/>
      <w:marRight w:val="0"/>
      <w:marTop w:val="0"/>
      <w:marBottom w:val="0"/>
      <w:divBdr>
        <w:top w:val="none" w:sz="0" w:space="0" w:color="auto"/>
        <w:left w:val="none" w:sz="0" w:space="0" w:color="auto"/>
        <w:bottom w:val="none" w:sz="0" w:space="0" w:color="auto"/>
        <w:right w:val="none" w:sz="0" w:space="0" w:color="auto"/>
      </w:divBdr>
    </w:div>
    <w:div w:id="702948481">
      <w:bodyDiv w:val="1"/>
      <w:marLeft w:val="0"/>
      <w:marRight w:val="0"/>
      <w:marTop w:val="0"/>
      <w:marBottom w:val="0"/>
      <w:divBdr>
        <w:top w:val="none" w:sz="0" w:space="0" w:color="auto"/>
        <w:left w:val="none" w:sz="0" w:space="0" w:color="auto"/>
        <w:bottom w:val="none" w:sz="0" w:space="0" w:color="auto"/>
        <w:right w:val="none" w:sz="0" w:space="0" w:color="auto"/>
      </w:divBdr>
      <w:divsChild>
        <w:div w:id="998188839">
          <w:marLeft w:val="0"/>
          <w:marRight w:val="0"/>
          <w:marTop w:val="0"/>
          <w:marBottom w:val="0"/>
          <w:divBdr>
            <w:top w:val="none" w:sz="0" w:space="0" w:color="auto"/>
            <w:left w:val="none" w:sz="0" w:space="0" w:color="auto"/>
            <w:bottom w:val="none" w:sz="0" w:space="0" w:color="auto"/>
            <w:right w:val="none" w:sz="0" w:space="0" w:color="auto"/>
          </w:divBdr>
          <w:divsChild>
            <w:div w:id="831528220">
              <w:marLeft w:val="0"/>
              <w:marRight w:val="0"/>
              <w:marTop w:val="0"/>
              <w:marBottom w:val="0"/>
              <w:divBdr>
                <w:top w:val="none" w:sz="0" w:space="0" w:color="auto"/>
                <w:left w:val="none" w:sz="0" w:space="0" w:color="auto"/>
                <w:bottom w:val="none" w:sz="0" w:space="0" w:color="auto"/>
                <w:right w:val="none" w:sz="0" w:space="0" w:color="auto"/>
              </w:divBdr>
              <w:divsChild>
                <w:div w:id="2419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87276">
      <w:bodyDiv w:val="1"/>
      <w:marLeft w:val="0"/>
      <w:marRight w:val="0"/>
      <w:marTop w:val="0"/>
      <w:marBottom w:val="0"/>
      <w:divBdr>
        <w:top w:val="none" w:sz="0" w:space="0" w:color="auto"/>
        <w:left w:val="none" w:sz="0" w:space="0" w:color="auto"/>
        <w:bottom w:val="none" w:sz="0" w:space="0" w:color="auto"/>
        <w:right w:val="none" w:sz="0" w:space="0" w:color="auto"/>
      </w:divBdr>
    </w:div>
    <w:div w:id="703679202">
      <w:bodyDiv w:val="1"/>
      <w:marLeft w:val="0"/>
      <w:marRight w:val="0"/>
      <w:marTop w:val="0"/>
      <w:marBottom w:val="0"/>
      <w:divBdr>
        <w:top w:val="none" w:sz="0" w:space="0" w:color="auto"/>
        <w:left w:val="none" w:sz="0" w:space="0" w:color="auto"/>
        <w:bottom w:val="none" w:sz="0" w:space="0" w:color="auto"/>
        <w:right w:val="none" w:sz="0" w:space="0" w:color="auto"/>
      </w:divBdr>
      <w:divsChild>
        <w:div w:id="643002797">
          <w:marLeft w:val="0"/>
          <w:marRight w:val="0"/>
          <w:marTop w:val="0"/>
          <w:marBottom w:val="0"/>
          <w:divBdr>
            <w:top w:val="none" w:sz="0" w:space="0" w:color="auto"/>
            <w:left w:val="none" w:sz="0" w:space="0" w:color="auto"/>
            <w:bottom w:val="none" w:sz="0" w:space="0" w:color="auto"/>
            <w:right w:val="none" w:sz="0" w:space="0" w:color="auto"/>
          </w:divBdr>
          <w:divsChild>
            <w:div w:id="959917464">
              <w:marLeft w:val="0"/>
              <w:marRight w:val="0"/>
              <w:marTop w:val="0"/>
              <w:marBottom w:val="0"/>
              <w:divBdr>
                <w:top w:val="none" w:sz="0" w:space="0" w:color="auto"/>
                <w:left w:val="none" w:sz="0" w:space="0" w:color="auto"/>
                <w:bottom w:val="none" w:sz="0" w:space="0" w:color="auto"/>
                <w:right w:val="none" w:sz="0" w:space="0" w:color="auto"/>
              </w:divBdr>
              <w:divsChild>
                <w:div w:id="132855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70357">
      <w:bodyDiv w:val="1"/>
      <w:marLeft w:val="0"/>
      <w:marRight w:val="0"/>
      <w:marTop w:val="0"/>
      <w:marBottom w:val="0"/>
      <w:divBdr>
        <w:top w:val="none" w:sz="0" w:space="0" w:color="auto"/>
        <w:left w:val="none" w:sz="0" w:space="0" w:color="auto"/>
        <w:bottom w:val="none" w:sz="0" w:space="0" w:color="auto"/>
        <w:right w:val="none" w:sz="0" w:space="0" w:color="auto"/>
      </w:divBdr>
    </w:div>
    <w:div w:id="729352613">
      <w:bodyDiv w:val="1"/>
      <w:marLeft w:val="0"/>
      <w:marRight w:val="0"/>
      <w:marTop w:val="0"/>
      <w:marBottom w:val="0"/>
      <w:divBdr>
        <w:top w:val="none" w:sz="0" w:space="0" w:color="auto"/>
        <w:left w:val="none" w:sz="0" w:space="0" w:color="auto"/>
        <w:bottom w:val="none" w:sz="0" w:space="0" w:color="auto"/>
        <w:right w:val="none" w:sz="0" w:space="0" w:color="auto"/>
      </w:divBdr>
      <w:divsChild>
        <w:div w:id="1320841091">
          <w:marLeft w:val="0"/>
          <w:marRight w:val="0"/>
          <w:marTop w:val="0"/>
          <w:marBottom w:val="0"/>
          <w:divBdr>
            <w:top w:val="none" w:sz="0" w:space="0" w:color="auto"/>
            <w:left w:val="none" w:sz="0" w:space="0" w:color="auto"/>
            <w:bottom w:val="none" w:sz="0" w:space="0" w:color="auto"/>
            <w:right w:val="none" w:sz="0" w:space="0" w:color="auto"/>
          </w:divBdr>
          <w:divsChild>
            <w:div w:id="39013900">
              <w:marLeft w:val="0"/>
              <w:marRight w:val="0"/>
              <w:marTop w:val="0"/>
              <w:marBottom w:val="0"/>
              <w:divBdr>
                <w:top w:val="none" w:sz="0" w:space="0" w:color="auto"/>
                <w:left w:val="none" w:sz="0" w:space="0" w:color="auto"/>
                <w:bottom w:val="none" w:sz="0" w:space="0" w:color="auto"/>
                <w:right w:val="none" w:sz="0" w:space="0" w:color="auto"/>
              </w:divBdr>
              <w:divsChild>
                <w:div w:id="2053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1270">
      <w:bodyDiv w:val="1"/>
      <w:marLeft w:val="0"/>
      <w:marRight w:val="0"/>
      <w:marTop w:val="0"/>
      <w:marBottom w:val="0"/>
      <w:divBdr>
        <w:top w:val="none" w:sz="0" w:space="0" w:color="auto"/>
        <w:left w:val="none" w:sz="0" w:space="0" w:color="auto"/>
        <w:bottom w:val="none" w:sz="0" w:space="0" w:color="auto"/>
        <w:right w:val="none" w:sz="0" w:space="0" w:color="auto"/>
      </w:divBdr>
    </w:div>
    <w:div w:id="755245086">
      <w:bodyDiv w:val="1"/>
      <w:marLeft w:val="0"/>
      <w:marRight w:val="0"/>
      <w:marTop w:val="0"/>
      <w:marBottom w:val="0"/>
      <w:divBdr>
        <w:top w:val="none" w:sz="0" w:space="0" w:color="auto"/>
        <w:left w:val="none" w:sz="0" w:space="0" w:color="auto"/>
        <w:bottom w:val="none" w:sz="0" w:space="0" w:color="auto"/>
        <w:right w:val="none" w:sz="0" w:space="0" w:color="auto"/>
      </w:divBdr>
      <w:divsChild>
        <w:div w:id="991179724">
          <w:marLeft w:val="0"/>
          <w:marRight w:val="0"/>
          <w:marTop w:val="0"/>
          <w:marBottom w:val="0"/>
          <w:divBdr>
            <w:top w:val="none" w:sz="0" w:space="0" w:color="auto"/>
            <w:left w:val="none" w:sz="0" w:space="0" w:color="auto"/>
            <w:bottom w:val="none" w:sz="0" w:space="0" w:color="auto"/>
            <w:right w:val="none" w:sz="0" w:space="0" w:color="auto"/>
          </w:divBdr>
          <w:divsChild>
            <w:div w:id="445587693">
              <w:marLeft w:val="0"/>
              <w:marRight w:val="0"/>
              <w:marTop w:val="0"/>
              <w:marBottom w:val="0"/>
              <w:divBdr>
                <w:top w:val="none" w:sz="0" w:space="0" w:color="auto"/>
                <w:left w:val="none" w:sz="0" w:space="0" w:color="auto"/>
                <w:bottom w:val="none" w:sz="0" w:space="0" w:color="auto"/>
                <w:right w:val="none" w:sz="0" w:space="0" w:color="auto"/>
              </w:divBdr>
              <w:divsChild>
                <w:div w:id="1631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20852">
      <w:bodyDiv w:val="1"/>
      <w:marLeft w:val="0"/>
      <w:marRight w:val="0"/>
      <w:marTop w:val="0"/>
      <w:marBottom w:val="0"/>
      <w:divBdr>
        <w:top w:val="none" w:sz="0" w:space="0" w:color="auto"/>
        <w:left w:val="none" w:sz="0" w:space="0" w:color="auto"/>
        <w:bottom w:val="none" w:sz="0" w:space="0" w:color="auto"/>
        <w:right w:val="none" w:sz="0" w:space="0" w:color="auto"/>
      </w:divBdr>
    </w:div>
    <w:div w:id="762532367">
      <w:bodyDiv w:val="1"/>
      <w:marLeft w:val="0"/>
      <w:marRight w:val="0"/>
      <w:marTop w:val="0"/>
      <w:marBottom w:val="0"/>
      <w:divBdr>
        <w:top w:val="none" w:sz="0" w:space="0" w:color="auto"/>
        <w:left w:val="none" w:sz="0" w:space="0" w:color="auto"/>
        <w:bottom w:val="none" w:sz="0" w:space="0" w:color="auto"/>
        <w:right w:val="none" w:sz="0" w:space="0" w:color="auto"/>
      </w:divBdr>
    </w:div>
    <w:div w:id="766191516">
      <w:bodyDiv w:val="1"/>
      <w:marLeft w:val="0"/>
      <w:marRight w:val="0"/>
      <w:marTop w:val="0"/>
      <w:marBottom w:val="0"/>
      <w:divBdr>
        <w:top w:val="none" w:sz="0" w:space="0" w:color="auto"/>
        <w:left w:val="none" w:sz="0" w:space="0" w:color="auto"/>
        <w:bottom w:val="none" w:sz="0" w:space="0" w:color="auto"/>
        <w:right w:val="none" w:sz="0" w:space="0" w:color="auto"/>
      </w:divBdr>
    </w:div>
    <w:div w:id="770050259">
      <w:bodyDiv w:val="1"/>
      <w:marLeft w:val="0"/>
      <w:marRight w:val="0"/>
      <w:marTop w:val="0"/>
      <w:marBottom w:val="0"/>
      <w:divBdr>
        <w:top w:val="none" w:sz="0" w:space="0" w:color="auto"/>
        <w:left w:val="none" w:sz="0" w:space="0" w:color="auto"/>
        <w:bottom w:val="none" w:sz="0" w:space="0" w:color="auto"/>
        <w:right w:val="none" w:sz="0" w:space="0" w:color="auto"/>
      </w:divBdr>
      <w:divsChild>
        <w:div w:id="327294719">
          <w:marLeft w:val="0"/>
          <w:marRight w:val="0"/>
          <w:marTop w:val="0"/>
          <w:marBottom w:val="0"/>
          <w:divBdr>
            <w:top w:val="none" w:sz="0" w:space="0" w:color="auto"/>
            <w:left w:val="none" w:sz="0" w:space="0" w:color="auto"/>
            <w:bottom w:val="none" w:sz="0" w:space="0" w:color="auto"/>
            <w:right w:val="none" w:sz="0" w:space="0" w:color="auto"/>
          </w:divBdr>
        </w:div>
        <w:div w:id="615406717">
          <w:marLeft w:val="0"/>
          <w:marRight w:val="0"/>
          <w:marTop w:val="0"/>
          <w:marBottom w:val="0"/>
          <w:divBdr>
            <w:top w:val="none" w:sz="0" w:space="0" w:color="auto"/>
            <w:left w:val="none" w:sz="0" w:space="0" w:color="auto"/>
            <w:bottom w:val="none" w:sz="0" w:space="0" w:color="auto"/>
            <w:right w:val="none" w:sz="0" w:space="0" w:color="auto"/>
          </w:divBdr>
        </w:div>
        <w:div w:id="1336882401">
          <w:marLeft w:val="0"/>
          <w:marRight w:val="0"/>
          <w:marTop w:val="0"/>
          <w:marBottom w:val="0"/>
          <w:divBdr>
            <w:top w:val="none" w:sz="0" w:space="0" w:color="auto"/>
            <w:left w:val="none" w:sz="0" w:space="0" w:color="auto"/>
            <w:bottom w:val="none" w:sz="0" w:space="0" w:color="auto"/>
            <w:right w:val="none" w:sz="0" w:space="0" w:color="auto"/>
          </w:divBdr>
        </w:div>
        <w:div w:id="1401707039">
          <w:marLeft w:val="0"/>
          <w:marRight w:val="0"/>
          <w:marTop w:val="0"/>
          <w:marBottom w:val="0"/>
          <w:divBdr>
            <w:top w:val="none" w:sz="0" w:space="0" w:color="auto"/>
            <w:left w:val="none" w:sz="0" w:space="0" w:color="auto"/>
            <w:bottom w:val="none" w:sz="0" w:space="0" w:color="auto"/>
            <w:right w:val="none" w:sz="0" w:space="0" w:color="auto"/>
          </w:divBdr>
        </w:div>
      </w:divsChild>
    </w:div>
    <w:div w:id="774523620">
      <w:bodyDiv w:val="1"/>
      <w:marLeft w:val="0"/>
      <w:marRight w:val="0"/>
      <w:marTop w:val="0"/>
      <w:marBottom w:val="0"/>
      <w:divBdr>
        <w:top w:val="none" w:sz="0" w:space="0" w:color="auto"/>
        <w:left w:val="none" w:sz="0" w:space="0" w:color="auto"/>
        <w:bottom w:val="none" w:sz="0" w:space="0" w:color="auto"/>
        <w:right w:val="none" w:sz="0" w:space="0" w:color="auto"/>
      </w:divBdr>
    </w:div>
    <w:div w:id="784616764">
      <w:bodyDiv w:val="1"/>
      <w:marLeft w:val="0"/>
      <w:marRight w:val="0"/>
      <w:marTop w:val="0"/>
      <w:marBottom w:val="0"/>
      <w:divBdr>
        <w:top w:val="none" w:sz="0" w:space="0" w:color="auto"/>
        <w:left w:val="none" w:sz="0" w:space="0" w:color="auto"/>
        <w:bottom w:val="none" w:sz="0" w:space="0" w:color="auto"/>
        <w:right w:val="none" w:sz="0" w:space="0" w:color="auto"/>
      </w:divBdr>
      <w:divsChild>
        <w:div w:id="260995769">
          <w:marLeft w:val="0"/>
          <w:marRight w:val="0"/>
          <w:marTop w:val="0"/>
          <w:marBottom w:val="0"/>
          <w:divBdr>
            <w:top w:val="none" w:sz="0" w:space="0" w:color="auto"/>
            <w:left w:val="none" w:sz="0" w:space="0" w:color="auto"/>
            <w:bottom w:val="none" w:sz="0" w:space="0" w:color="auto"/>
            <w:right w:val="none" w:sz="0" w:space="0" w:color="auto"/>
          </w:divBdr>
          <w:divsChild>
            <w:div w:id="1961111449">
              <w:marLeft w:val="0"/>
              <w:marRight w:val="0"/>
              <w:marTop w:val="0"/>
              <w:marBottom w:val="0"/>
              <w:divBdr>
                <w:top w:val="none" w:sz="0" w:space="0" w:color="auto"/>
                <w:left w:val="none" w:sz="0" w:space="0" w:color="auto"/>
                <w:bottom w:val="none" w:sz="0" w:space="0" w:color="auto"/>
                <w:right w:val="none" w:sz="0" w:space="0" w:color="auto"/>
              </w:divBdr>
              <w:divsChild>
                <w:div w:id="1572737659">
                  <w:marLeft w:val="0"/>
                  <w:marRight w:val="0"/>
                  <w:marTop w:val="0"/>
                  <w:marBottom w:val="0"/>
                  <w:divBdr>
                    <w:top w:val="none" w:sz="0" w:space="0" w:color="auto"/>
                    <w:left w:val="none" w:sz="0" w:space="0" w:color="auto"/>
                    <w:bottom w:val="none" w:sz="0" w:space="0" w:color="auto"/>
                    <w:right w:val="none" w:sz="0" w:space="0" w:color="auto"/>
                  </w:divBdr>
                  <w:divsChild>
                    <w:div w:id="109998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432793">
      <w:bodyDiv w:val="1"/>
      <w:marLeft w:val="0"/>
      <w:marRight w:val="0"/>
      <w:marTop w:val="0"/>
      <w:marBottom w:val="0"/>
      <w:divBdr>
        <w:top w:val="none" w:sz="0" w:space="0" w:color="auto"/>
        <w:left w:val="none" w:sz="0" w:space="0" w:color="auto"/>
        <w:bottom w:val="none" w:sz="0" w:space="0" w:color="auto"/>
        <w:right w:val="none" w:sz="0" w:space="0" w:color="auto"/>
      </w:divBdr>
      <w:divsChild>
        <w:div w:id="543566385">
          <w:marLeft w:val="0"/>
          <w:marRight w:val="0"/>
          <w:marTop w:val="0"/>
          <w:marBottom w:val="0"/>
          <w:divBdr>
            <w:top w:val="none" w:sz="0" w:space="0" w:color="auto"/>
            <w:left w:val="none" w:sz="0" w:space="0" w:color="auto"/>
            <w:bottom w:val="none" w:sz="0" w:space="0" w:color="auto"/>
            <w:right w:val="none" w:sz="0" w:space="0" w:color="auto"/>
          </w:divBdr>
          <w:divsChild>
            <w:div w:id="443117520">
              <w:marLeft w:val="0"/>
              <w:marRight w:val="0"/>
              <w:marTop w:val="0"/>
              <w:marBottom w:val="0"/>
              <w:divBdr>
                <w:top w:val="none" w:sz="0" w:space="0" w:color="auto"/>
                <w:left w:val="none" w:sz="0" w:space="0" w:color="auto"/>
                <w:bottom w:val="none" w:sz="0" w:space="0" w:color="auto"/>
                <w:right w:val="none" w:sz="0" w:space="0" w:color="auto"/>
              </w:divBdr>
              <w:divsChild>
                <w:div w:id="176122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146780">
      <w:bodyDiv w:val="1"/>
      <w:marLeft w:val="0"/>
      <w:marRight w:val="0"/>
      <w:marTop w:val="0"/>
      <w:marBottom w:val="0"/>
      <w:divBdr>
        <w:top w:val="none" w:sz="0" w:space="0" w:color="auto"/>
        <w:left w:val="none" w:sz="0" w:space="0" w:color="auto"/>
        <w:bottom w:val="none" w:sz="0" w:space="0" w:color="auto"/>
        <w:right w:val="none" w:sz="0" w:space="0" w:color="auto"/>
      </w:divBdr>
      <w:divsChild>
        <w:div w:id="1883247715">
          <w:marLeft w:val="0"/>
          <w:marRight w:val="0"/>
          <w:marTop w:val="0"/>
          <w:marBottom w:val="0"/>
          <w:divBdr>
            <w:top w:val="none" w:sz="0" w:space="0" w:color="auto"/>
            <w:left w:val="none" w:sz="0" w:space="0" w:color="auto"/>
            <w:bottom w:val="none" w:sz="0" w:space="0" w:color="auto"/>
            <w:right w:val="none" w:sz="0" w:space="0" w:color="auto"/>
          </w:divBdr>
          <w:divsChild>
            <w:div w:id="1294822684">
              <w:marLeft w:val="0"/>
              <w:marRight w:val="0"/>
              <w:marTop w:val="0"/>
              <w:marBottom w:val="0"/>
              <w:divBdr>
                <w:top w:val="none" w:sz="0" w:space="0" w:color="auto"/>
                <w:left w:val="none" w:sz="0" w:space="0" w:color="auto"/>
                <w:bottom w:val="none" w:sz="0" w:space="0" w:color="auto"/>
                <w:right w:val="none" w:sz="0" w:space="0" w:color="auto"/>
              </w:divBdr>
              <w:divsChild>
                <w:div w:id="1578859621">
                  <w:marLeft w:val="0"/>
                  <w:marRight w:val="0"/>
                  <w:marTop w:val="0"/>
                  <w:marBottom w:val="0"/>
                  <w:divBdr>
                    <w:top w:val="none" w:sz="0" w:space="0" w:color="auto"/>
                    <w:left w:val="none" w:sz="0" w:space="0" w:color="auto"/>
                    <w:bottom w:val="none" w:sz="0" w:space="0" w:color="auto"/>
                    <w:right w:val="none" w:sz="0" w:space="0" w:color="auto"/>
                  </w:divBdr>
                  <w:divsChild>
                    <w:div w:id="221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6178">
      <w:bodyDiv w:val="1"/>
      <w:marLeft w:val="0"/>
      <w:marRight w:val="0"/>
      <w:marTop w:val="0"/>
      <w:marBottom w:val="0"/>
      <w:divBdr>
        <w:top w:val="none" w:sz="0" w:space="0" w:color="auto"/>
        <w:left w:val="none" w:sz="0" w:space="0" w:color="auto"/>
        <w:bottom w:val="none" w:sz="0" w:space="0" w:color="auto"/>
        <w:right w:val="none" w:sz="0" w:space="0" w:color="auto"/>
      </w:divBdr>
    </w:div>
    <w:div w:id="808549248">
      <w:bodyDiv w:val="1"/>
      <w:marLeft w:val="0"/>
      <w:marRight w:val="0"/>
      <w:marTop w:val="0"/>
      <w:marBottom w:val="0"/>
      <w:divBdr>
        <w:top w:val="none" w:sz="0" w:space="0" w:color="auto"/>
        <w:left w:val="none" w:sz="0" w:space="0" w:color="auto"/>
        <w:bottom w:val="none" w:sz="0" w:space="0" w:color="auto"/>
        <w:right w:val="none" w:sz="0" w:space="0" w:color="auto"/>
      </w:divBdr>
    </w:div>
    <w:div w:id="812914180">
      <w:bodyDiv w:val="1"/>
      <w:marLeft w:val="0"/>
      <w:marRight w:val="0"/>
      <w:marTop w:val="0"/>
      <w:marBottom w:val="0"/>
      <w:divBdr>
        <w:top w:val="none" w:sz="0" w:space="0" w:color="auto"/>
        <w:left w:val="none" w:sz="0" w:space="0" w:color="auto"/>
        <w:bottom w:val="none" w:sz="0" w:space="0" w:color="auto"/>
        <w:right w:val="none" w:sz="0" w:space="0" w:color="auto"/>
      </w:divBdr>
    </w:div>
    <w:div w:id="824466899">
      <w:bodyDiv w:val="1"/>
      <w:marLeft w:val="0"/>
      <w:marRight w:val="0"/>
      <w:marTop w:val="0"/>
      <w:marBottom w:val="0"/>
      <w:divBdr>
        <w:top w:val="none" w:sz="0" w:space="0" w:color="auto"/>
        <w:left w:val="none" w:sz="0" w:space="0" w:color="auto"/>
        <w:bottom w:val="none" w:sz="0" w:space="0" w:color="auto"/>
        <w:right w:val="none" w:sz="0" w:space="0" w:color="auto"/>
      </w:divBdr>
    </w:div>
    <w:div w:id="824905347">
      <w:bodyDiv w:val="1"/>
      <w:marLeft w:val="0"/>
      <w:marRight w:val="0"/>
      <w:marTop w:val="0"/>
      <w:marBottom w:val="0"/>
      <w:divBdr>
        <w:top w:val="none" w:sz="0" w:space="0" w:color="auto"/>
        <w:left w:val="none" w:sz="0" w:space="0" w:color="auto"/>
        <w:bottom w:val="none" w:sz="0" w:space="0" w:color="auto"/>
        <w:right w:val="none" w:sz="0" w:space="0" w:color="auto"/>
      </w:divBdr>
      <w:divsChild>
        <w:div w:id="2120105839">
          <w:marLeft w:val="0"/>
          <w:marRight w:val="0"/>
          <w:marTop w:val="0"/>
          <w:marBottom w:val="0"/>
          <w:divBdr>
            <w:top w:val="none" w:sz="0" w:space="0" w:color="auto"/>
            <w:left w:val="none" w:sz="0" w:space="0" w:color="auto"/>
            <w:bottom w:val="none" w:sz="0" w:space="0" w:color="auto"/>
            <w:right w:val="none" w:sz="0" w:space="0" w:color="auto"/>
          </w:divBdr>
          <w:divsChild>
            <w:div w:id="1667712218">
              <w:marLeft w:val="0"/>
              <w:marRight w:val="0"/>
              <w:marTop w:val="0"/>
              <w:marBottom w:val="0"/>
              <w:divBdr>
                <w:top w:val="none" w:sz="0" w:space="0" w:color="auto"/>
                <w:left w:val="none" w:sz="0" w:space="0" w:color="auto"/>
                <w:bottom w:val="none" w:sz="0" w:space="0" w:color="auto"/>
                <w:right w:val="none" w:sz="0" w:space="0" w:color="auto"/>
              </w:divBdr>
              <w:divsChild>
                <w:div w:id="287396465">
                  <w:marLeft w:val="0"/>
                  <w:marRight w:val="0"/>
                  <w:marTop w:val="0"/>
                  <w:marBottom w:val="0"/>
                  <w:divBdr>
                    <w:top w:val="none" w:sz="0" w:space="0" w:color="auto"/>
                    <w:left w:val="none" w:sz="0" w:space="0" w:color="auto"/>
                    <w:bottom w:val="none" w:sz="0" w:space="0" w:color="auto"/>
                    <w:right w:val="none" w:sz="0" w:space="0" w:color="auto"/>
                  </w:divBdr>
                  <w:divsChild>
                    <w:div w:id="205187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726824">
      <w:bodyDiv w:val="1"/>
      <w:marLeft w:val="0"/>
      <w:marRight w:val="0"/>
      <w:marTop w:val="0"/>
      <w:marBottom w:val="0"/>
      <w:divBdr>
        <w:top w:val="none" w:sz="0" w:space="0" w:color="auto"/>
        <w:left w:val="none" w:sz="0" w:space="0" w:color="auto"/>
        <w:bottom w:val="none" w:sz="0" w:space="0" w:color="auto"/>
        <w:right w:val="none" w:sz="0" w:space="0" w:color="auto"/>
      </w:divBdr>
    </w:div>
    <w:div w:id="838469282">
      <w:bodyDiv w:val="1"/>
      <w:marLeft w:val="0"/>
      <w:marRight w:val="0"/>
      <w:marTop w:val="0"/>
      <w:marBottom w:val="0"/>
      <w:divBdr>
        <w:top w:val="none" w:sz="0" w:space="0" w:color="auto"/>
        <w:left w:val="none" w:sz="0" w:space="0" w:color="auto"/>
        <w:bottom w:val="none" w:sz="0" w:space="0" w:color="auto"/>
        <w:right w:val="none" w:sz="0" w:space="0" w:color="auto"/>
      </w:divBdr>
      <w:divsChild>
        <w:div w:id="101461677">
          <w:marLeft w:val="0"/>
          <w:marRight w:val="0"/>
          <w:marTop w:val="0"/>
          <w:marBottom w:val="0"/>
          <w:divBdr>
            <w:top w:val="none" w:sz="0" w:space="0" w:color="auto"/>
            <w:left w:val="none" w:sz="0" w:space="0" w:color="auto"/>
            <w:bottom w:val="none" w:sz="0" w:space="0" w:color="auto"/>
            <w:right w:val="none" w:sz="0" w:space="0" w:color="auto"/>
          </w:divBdr>
          <w:divsChild>
            <w:div w:id="260577539">
              <w:marLeft w:val="0"/>
              <w:marRight w:val="0"/>
              <w:marTop w:val="0"/>
              <w:marBottom w:val="0"/>
              <w:divBdr>
                <w:top w:val="none" w:sz="0" w:space="0" w:color="auto"/>
                <w:left w:val="none" w:sz="0" w:space="0" w:color="auto"/>
                <w:bottom w:val="none" w:sz="0" w:space="0" w:color="auto"/>
                <w:right w:val="none" w:sz="0" w:space="0" w:color="auto"/>
              </w:divBdr>
              <w:divsChild>
                <w:div w:id="2060322770">
                  <w:marLeft w:val="0"/>
                  <w:marRight w:val="0"/>
                  <w:marTop w:val="0"/>
                  <w:marBottom w:val="0"/>
                  <w:divBdr>
                    <w:top w:val="none" w:sz="0" w:space="0" w:color="auto"/>
                    <w:left w:val="none" w:sz="0" w:space="0" w:color="auto"/>
                    <w:bottom w:val="none" w:sz="0" w:space="0" w:color="auto"/>
                    <w:right w:val="none" w:sz="0" w:space="0" w:color="auto"/>
                  </w:divBdr>
                  <w:divsChild>
                    <w:div w:id="2000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28324">
      <w:bodyDiv w:val="1"/>
      <w:marLeft w:val="0"/>
      <w:marRight w:val="0"/>
      <w:marTop w:val="0"/>
      <w:marBottom w:val="0"/>
      <w:divBdr>
        <w:top w:val="none" w:sz="0" w:space="0" w:color="auto"/>
        <w:left w:val="none" w:sz="0" w:space="0" w:color="auto"/>
        <w:bottom w:val="none" w:sz="0" w:space="0" w:color="auto"/>
        <w:right w:val="none" w:sz="0" w:space="0" w:color="auto"/>
      </w:divBdr>
      <w:divsChild>
        <w:div w:id="224296149">
          <w:marLeft w:val="0"/>
          <w:marRight w:val="0"/>
          <w:marTop w:val="0"/>
          <w:marBottom w:val="0"/>
          <w:divBdr>
            <w:top w:val="none" w:sz="0" w:space="0" w:color="auto"/>
            <w:left w:val="none" w:sz="0" w:space="0" w:color="auto"/>
            <w:bottom w:val="none" w:sz="0" w:space="0" w:color="auto"/>
            <w:right w:val="none" w:sz="0" w:space="0" w:color="auto"/>
          </w:divBdr>
          <w:divsChild>
            <w:div w:id="1439988902">
              <w:marLeft w:val="0"/>
              <w:marRight w:val="0"/>
              <w:marTop w:val="0"/>
              <w:marBottom w:val="0"/>
              <w:divBdr>
                <w:top w:val="none" w:sz="0" w:space="0" w:color="auto"/>
                <w:left w:val="none" w:sz="0" w:space="0" w:color="auto"/>
                <w:bottom w:val="none" w:sz="0" w:space="0" w:color="auto"/>
                <w:right w:val="none" w:sz="0" w:space="0" w:color="auto"/>
              </w:divBdr>
              <w:divsChild>
                <w:div w:id="290401909">
                  <w:marLeft w:val="0"/>
                  <w:marRight w:val="0"/>
                  <w:marTop w:val="0"/>
                  <w:marBottom w:val="0"/>
                  <w:divBdr>
                    <w:top w:val="none" w:sz="0" w:space="0" w:color="auto"/>
                    <w:left w:val="none" w:sz="0" w:space="0" w:color="auto"/>
                    <w:bottom w:val="none" w:sz="0" w:space="0" w:color="auto"/>
                    <w:right w:val="none" w:sz="0" w:space="0" w:color="auto"/>
                  </w:divBdr>
                  <w:divsChild>
                    <w:div w:id="52798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625097">
      <w:bodyDiv w:val="1"/>
      <w:marLeft w:val="0"/>
      <w:marRight w:val="0"/>
      <w:marTop w:val="0"/>
      <w:marBottom w:val="0"/>
      <w:divBdr>
        <w:top w:val="none" w:sz="0" w:space="0" w:color="auto"/>
        <w:left w:val="none" w:sz="0" w:space="0" w:color="auto"/>
        <w:bottom w:val="none" w:sz="0" w:space="0" w:color="auto"/>
        <w:right w:val="none" w:sz="0" w:space="0" w:color="auto"/>
      </w:divBdr>
      <w:divsChild>
        <w:div w:id="290549979">
          <w:marLeft w:val="0"/>
          <w:marRight w:val="0"/>
          <w:marTop w:val="0"/>
          <w:marBottom w:val="0"/>
          <w:divBdr>
            <w:top w:val="none" w:sz="0" w:space="0" w:color="auto"/>
            <w:left w:val="none" w:sz="0" w:space="0" w:color="auto"/>
            <w:bottom w:val="none" w:sz="0" w:space="0" w:color="auto"/>
            <w:right w:val="none" w:sz="0" w:space="0" w:color="auto"/>
          </w:divBdr>
          <w:divsChild>
            <w:div w:id="371463543">
              <w:marLeft w:val="0"/>
              <w:marRight w:val="0"/>
              <w:marTop w:val="0"/>
              <w:marBottom w:val="0"/>
              <w:divBdr>
                <w:top w:val="none" w:sz="0" w:space="0" w:color="auto"/>
                <w:left w:val="none" w:sz="0" w:space="0" w:color="auto"/>
                <w:bottom w:val="none" w:sz="0" w:space="0" w:color="auto"/>
                <w:right w:val="none" w:sz="0" w:space="0" w:color="auto"/>
              </w:divBdr>
              <w:divsChild>
                <w:div w:id="227496352">
                  <w:marLeft w:val="0"/>
                  <w:marRight w:val="0"/>
                  <w:marTop w:val="0"/>
                  <w:marBottom w:val="0"/>
                  <w:divBdr>
                    <w:top w:val="none" w:sz="0" w:space="0" w:color="auto"/>
                    <w:left w:val="none" w:sz="0" w:space="0" w:color="auto"/>
                    <w:bottom w:val="none" w:sz="0" w:space="0" w:color="auto"/>
                    <w:right w:val="none" w:sz="0" w:space="0" w:color="auto"/>
                  </w:divBdr>
                  <w:divsChild>
                    <w:div w:id="4273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708223">
      <w:bodyDiv w:val="1"/>
      <w:marLeft w:val="0"/>
      <w:marRight w:val="0"/>
      <w:marTop w:val="0"/>
      <w:marBottom w:val="0"/>
      <w:divBdr>
        <w:top w:val="none" w:sz="0" w:space="0" w:color="auto"/>
        <w:left w:val="none" w:sz="0" w:space="0" w:color="auto"/>
        <w:bottom w:val="none" w:sz="0" w:space="0" w:color="auto"/>
        <w:right w:val="none" w:sz="0" w:space="0" w:color="auto"/>
      </w:divBdr>
      <w:divsChild>
        <w:div w:id="755520619">
          <w:marLeft w:val="0"/>
          <w:marRight w:val="0"/>
          <w:marTop w:val="0"/>
          <w:marBottom w:val="0"/>
          <w:divBdr>
            <w:top w:val="none" w:sz="0" w:space="0" w:color="auto"/>
            <w:left w:val="none" w:sz="0" w:space="0" w:color="auto"/>
            <w:bottom w:val="none" w:sz="0" w:space="0" w:color="auto"/>
            <w:right w:val="none" w:sz="0" w:space="0" w:color="auto"/>
          </w:divBdr>
          <w:divsChild>
            <w:div w:id="1068311002">
              <w:marLeft w:val="0"/>
              <w:marRight w:val="0"/>
              <w:marTop w:val="0"/>
              <w:marBottom w:val="0"/>
              <w:divBdr>
                <w:top w:val="none" w:sz="0" w:space="0" w:color="auto"/>
                <w:left w:val="none" w:sz="0" w:space="0" w:color="auto"/>
                <w:bottom w:val="none" w:sz="0" w:space="0" w:color="auto"/>
                <w:right w:val="none" w:sz="0" w:space="0" w:color="auto"/>
              </w:divBdr>
              <w:divsChild>
                <w:div w:id="19440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07257">
      <w:bodyDiv w:val="1"/>
      <w:marLeft w:val="0"/>
      <w:marRight w:val="0"/>
      <w:marTop w:val="0"/>
      <w:marBottom w:val="0"/>
      <w:divBdr>
        <w:top w:val="none" w:sz="0" w:space="0" w:color="auto"/>
        <w:left w:val="none" w:sz="0" w:space="0" w:color="auto"/>
        <w:bottom w:val="none" w:sz="0" w:space="0" w:color="auto"/>
        <w:right w:val="none" w:sz="0" w:space="0" w:color="auto"/>
      </w:divBdr>
      <w:divsChild>
        <w:div w:id="393241625">
          <w:marLeft w:val="0"/>
          <w:marRight w:val="0"/>
          <w:marTop w:val="0"/>
          <w:marBottom w:val="0"/>
          <w:divBdr>
            <w:top w:val="none" w:sz="0" w:space="0" w:color="auto"/>
            <w:left w:val="none" w:sz="0" w:space="0" w:color="auto"/>
            <w:bottom w:val="none" w:sz="0" w:space="0" w:color="auto"/>
            <w:right w:val="none" w:sz="0" w:space="0" w:color="auto"/>
          </w:divBdr>
          <w:divsChild>
            <w:div w:id="789471526">
              <w:marLeft w:val="0"/>
              <w:marRight w:val="0"/>
              <w:marTop w:val="0"/>
              <w:marBottom w:val="0"/>
              <w:divBdr>
                <w:top w:val="none" w:sz="0" w:space="0" w:color="auto"/>
                <w:left w:val="none" w:sz="0" w:space="0" w:color="auto"/>
                <w:bottom w:val="none" w:sz="0" w:space="0" w:color="auto"/>
                <w:right w:val="none" w:sz="0" w:space="0" w:color="auto"/>
              </w:divBdr>
              <w:divsChild>
                <w:div w:id="349258448">
                  <w:marLeft w:val="0"/>
                  <w:marRight w:val="0"/>
                  <w:marTop w:val="0"/>
                  <w:marBottom w:val="0"/>
                  <w:divBdr>
                    <w:top w:val="none" w:sz="0" w:space="0" w:color="auto"/>
                    <w:left w:val="none" w:sz="0" w:space="0" w:color="auto"/>
                    <w:bottom w:val="none" w:sz="0" w:space="0" w:color="auto"/>
                    <w:right w:val="none" w:sz="0" w:space="0" w:color="auto"/>
                  </w:divBdr>
                  <w:divsChild>
                    <w:div w:id="17008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578">
      <w:bodyDiv w:val="1"/>
      <w:marLeft w:val="0"/>
      <w:marRight w:val="0"/>
      <w:marTop w:val="0"/>
      <w:marBottom w:val="0"/>
      <w:divBdr>
        <w:top w:val="none" w:sz="0" w:space="0" w:color="auto"/>
        <w:left w:val="none" w:sz="0" w:space="0" w:color="auto"/>
        <w:bottom w:val="none" w:sz="0" w:space="0" w:color="auto"/>
        <w:right w:val="none" w:sz="0" w:space="0" w:color="auto"/>
      </w:divBdr>
    </w:div>
    <w:div w:id="876544825">
      <w:bodyDiv w:val="1"/>
      <w:marLeft w:val="0"/>
      <w:marRight w:val="0"/>
      <w:marTop w:val="0"/>
      <w:marBottom w:val="0"/>
      <w:divBdr>
        <w:top w:val="none" w:sz="0" w:space="0" w:color="auto"/>
        <w:left w:val="none" w:sz="0" w:space="0" w:color="auto"/>
        <w:bottom w:val="none" w:sz="0" w:space="0" w:color="auto"/>
        <w:right w:val="none" w:sz="0" w:space="0" w:color="auto"/>
      </w:divBdr>
      <w:divsChild>
        <w:div w:id="826551417">
          <w:marLeft w:val="0"/>
          <w:marRight w:val="0"/>
          <w:marTop w:val="0"/>
          <w:marBottom w:val="0"/>
          <w:divBdr>
            <w:top w:val="none" w:sz="0" w:space="0" w:color="auto"/>
            <w:left w:val="none" w:sz="0" w:space="0" w:color="auto"/>
            <w:bottom w:val="none" w:sz="0" w:space="0" w:color="auto"/>
            <w:right w:val="none" w:sz="0" w:space="0" w:color="auto"/>
          </w:divBdr>
          <w:divsChild>
            <w:div w:id="716664864">
              <w:marLeft w:val="0"/>
              <w:marRight w:val="0"/>
              <w:marTop w:val="0"/>
              <w:marBottom w:val="0"/>
              <w:divBdr>
                <w:top w:val="none" w:sz="0" w:space="0" w:color="auto"/>
                <w:left w:val="none" w:sz="0" w:space="0" w:color="auto"/>
                <w:bottom w:val="none" w:sz="0" w:space="0" w:color="auto"/>
                <w:right w:val="none" w:sz="0" w:space="0" w:color="auto"/>
              </w:divBdr>
              <w:divsChild>
                <w:div w:id="1823277147">
                  <w:marLeft w:val="0"/>
                  <w:marRight w:val="0"/>
                  <w:marTop w:val="0"/>
                  <w:marBottom w:val="0"/>
                  <w:divBdr>
                    <w:top w:val="none" w:sz="0" w:space="0" w:color="auto"/>
                    <w:left w:val="none" w:sz="0" w:space="0" w:color="auto"/>
                    <w:bottom w:val="none" w:sz="0" w:space="0" w:color="auto"/>
                    <w:right w:val="none" w:sz="0" w:space="0" w:color="auto"/>
                  </w:divBdr>
                  <w:divsChild>
                    <w:div w:id="1513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095282">
      <w:bodyDiv w:val="1"/>
      <w:marLeft w:val="0"/>
      <w:marRight w:val="0"/>
      <w:marTop w:val="0"/>
      <w:marBottom w:val="0"/>
      <w:divBdr>
        <w:top w:val="none" w:sz="0" w:space="0" w:color="auto"/>
        <w:left w:val="none" w:sz="0" w:space="0" w:color="auto"/>
        <w:bottom w:val="none" w:sz="0" w:space="0" w:color="auto"/>
        <w:right w:val="none" w:sz="0" w:space="0" w:color="auto"/>
      </w:divBdr>
    </w:div>
    <w:div w:id="881481007">
      <w:bodyDiv w:val="1"/>
      <w:marLeft w:val="0"/>
      <w:marRight w:val="0"/>
      <w:marTop w:val="0"/>
      <w:marBottom w:val="0"/>
      <w:divBdr>
        <w:top w:val="none" w:sz="0" w:space="0" w:color="auto"/>
        <w:left w:val="none" w:sz="0" w:space="0" w:color="auto"/>
        <w:bottom w:val="none" w:sz="0" w:space="0" w:color="auto"/>
        <w:right w:val="none" w:sz="0" w:space="0" w:color="auto"/>
      </w:divBdr>
      <w:divsChild>
        <w:div w:id="1447038718">
          <w:marLeft w:val="0"/>
          <w:marRight w:val="0"/>
          <w:marTop w:val="0"/>
          <w:marBottom w:val="0"/>
          <w:divBdr>
            <w:top w:val="none" w:sz="0" w:space="0" w:color="auto"/>
            <w:left w:val="none" w:sz="0" w:space="0" w:color="auto"/>
            <w:bottom w:val="none" w:sz="0" w:space="0" w:color="auto"/>
            <w:right w:val="none" w:sz="0" w:space="0" w:color="auto"/>
          </w:divBdr>
          <w:divsChild>
            <w:div w:id="1757818538">
              <w:marLeft w:val="0"/>
              <w:marRight w:val="0"/>
              <w:marTop w:val="0"/>
              <w:marBottom w:val="0"/>
              <w:divBdr>
                <w:top w:val="none" w:sz="0" w:space="0" w:color="auto"/>
                <w:left w:val="none" w:sz="0" w:space="0" w:color="auto"/>
                <w:bottom w:val="none" w:sz="0" w:space="0" w:color="auto"/>
                <w:right w:val="none" w:sz="0" w:space="0" w:color="auto"/>
              </w:divBdr>
              <w:divsChild>
                <w:div w:id="1262295812">
                  <w:marLeft w:val="0"/>
                  <w:marRight w:val="0"/>
                  <w:marTop w:val="0"/>
                  <w:marBottom w:val="0"/>
                  <w:divBdr>
                    <w:top w:val="none" w:sz="0" w:space="0" w:color="auto"/>
                    <w:left w:val="none" w:sz="0" w:space="0" w:color="auto"/>
                    <w:bottom w:val="none" w:sz="0" w:space="0" w:color="auto"/>
                    <w:right w:val="none" w:sz="0" w:space="0" w:color="auto"/>
                  </w:divBdr>
                  <w:divsChild>
                    <w:div w:id="17627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336762">
      <w:bodyDiv w:val="1"/>
      <w:marLeft w:val="0"/>
      <w:marRight w:val="0"/>
      <w:marTop w:val="0"/>
      <w:marBottom w:val="0"/>
      <w:divBdr>
        <w:top w:val="none" w:sz="0" w:space="0" w:color="auto"/>
        <w:left w:val="none" w:sz="0" w:space="0" w:color="auto"/>
        <w:bottom w:val="none" w:sz="0" w:space="0" w:color="auto"/>
        <w:right w:val="none" w:sz="0" w:space="0" w:color="auto"/>
      </w:divBdr>
      <w:divsChild>
        <w:div w:id="1231575181">
          <w:marLeft w:val="0"/>
          <w:marRight w:val="0"/>
          <w:marTop w:val="0"/>
          <w:marBottom w:val="0"/>
          <w:divBdr>
            <w:top w:val="none" w:sz="0" w:space="0" w:color="auto"/>
            <w:left w:val="none" w:sz="0" w:space="0" w:color="auto"/>
            <w:bottom w:val="none" w:sz="0" w:space="0" w:color="auto"/>
            <w:right w:val="none" w:sz="0" w:space="0" w:color="auto"/>
          </w:divBdr>
          <w:divsChild>
            <w:div w:id="1804812898">
              <w:marLeft w:val="0"/>
              <w:marRight w:val="0"/>
              <w:marTop w:val="0"/>
              <w:marBottom w:val="0"/>
              <w:divBdr>
                <w:top w:val="none" w:sz="0" w:space="0" w:color="auto"/>
                <w:left w:val="none" w:sz="0" w:space="0" w:color="auto"/>
                <w:bottom w:val="none" w:sz="0" w:space="0" w:color="auto"/>
                <w:right w:val="none" w:sz="0" w:space="0" w:color="auto"/>
              </w:divBdr>
              <w:divsChild>
                <w:div w:id="7193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61040">
      <w:bodyDiv w:val="1"/>
      <w:marLeft w:val="0"/>
      <w:marRight w:val="0"/>
      <w:marTop w:val="0"/>
      <w:marBottom w:val="0"/>
      <w:divBdr>
        <w:top w:val="none" w:sz="0" w:space="0" w:color="auto"/>
        <w:left w:val="none" w:sz="0" w:space="0" w:color="auto"/>
        <w:bottom w:val="none" w:sz="0" w:space="0" w:color="auto"/>
        <w:right w:val="none" w:sz="0" w:space="0" w:color="auto"/>
      </w:divBdr>
    </w:div>
    <w:div w:id="899635701">
      <w:bodyDiv w:val="1"/>
      <w:marLeft w:val="0"/>
      <w:marRight w:val="0"/>
      <w:marTop w:val="0"/>
      <w:marBottom w:val="0"/>
      <w:divBdr>
        <w:top w:val="none" w:sz="0" w:space="0" w:color="auto"/>
        <w:left w:val="none" w:sz="0" w:space="0" w:color="auto"/>
        <w:bottom w:val="none" w:sz="0" w:space="0" w:color="auto"/>
        <w:right w:val="none" w:sz="0" w:space="0" w:color="auto"/>
      </w:divBdr>
      <w:divsChild>
        <w:div w:id="2095123942">
          <w:marLeft w:val="0"/>
          <w:marRight w:val="0"/>
          <w:marTop w:val="0"/>
          <w:marBottom w:val="0"/>
          <w:divBdr>
            <w:top w:val="none" w:sz="0" w:space="0" w:color="auto"/>
            <w:left w:val="none" w:sz="0" w:space="0" w:color="auto"/>
            <w:bottom w:val="none" w:sz="0" w:space="0" w:color="auto"/>
            <w:right w:val="none" w:sz="0" w:space="0" w:color="auto"/>
          </w:divBdr>
          <w:divsChild>
            <w:div w:id="1659921665">
              <w:marLeft w:val="0"/>
              <w:marRight w:val="0"/>
              <w:marTop w:val="0"/>
              <w:marBottom w:val="0"/>
              <w:divBdr>
                <w:top w:val="none" w:sz="0" w:space="0" w:color="auto"/>
                <w:left w:val="none" w:sz="0" w:space="0" w:color="auto"/>
                <w:bottom w:val="none" w:sz="0" w:space="0" w:color="auto"/>
                <w:right w:val="none" w:sz="0" w:space="0" w:color="auto"/>
              </w:divBdr>
              <w:divsChild>
                <w:div w:id="296498979">
                  <w:marLeft w:val="0"/>
                  <w:marRight w:val="0"/>
                  <w:marTop w:val="0"/>
                  <w:marBottom w:val="0"/>
                  <w:divBdr>
                    <w:top w:val="none" w:sz="0" w:space="0" w:color="auto"/>
                    <w:left w:val="none" w:sz="0" w:space="0" w:color="auto"/>
                    <w:bottom w:val="none" w:sz="0" w:space="0" w:color="auto"/>
                    <w:right w:val="none" w:sz="0" w:space="0" w:color="auto"/>
                  </w:divBdr>
                  <w:divsChild>
                    <w:div w:id="147274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03320">
      <w:bodyDiv w:val="1"/>
      <w:marLeft w:val="0"/>
      <w:marRight w:val="0"/>
      <w:marTop w:val="0"/>
      <w:marBottom w:val="0"/>
      <w:divBdr>
        <w:top w:val="none" w:sz="0" w:space="0" w:color="auto"/>
        <w:left w:val="none" w:sz="0" w:space="0" w:color="auto"/>
        <w:bottom w:val="none" w:sz="0" w:space="0" w:color="auto"/>
        <w:right w:val="none" w:sz="0" w:space="0" w:color="auto"/>
      </w:divBdr>
    </w:div>
    <w:div w:id="907610687">
      <w:bodyDiv w:val="1"/>
      <w:marLeft w:val="0"/>
      <w:marRight w:val="0"/>
      <w:marTop w:val="0"/>
      <w:marBottom w:val="0"/>
      <w:divBdr>
        <w:top w:val="none" w:sz="0" w:space="0" w:color="auto"/>
        <w:left w:val="none" w:sz="0" w:space="0" w:color="auto"/>
        <w:bottom w:val="none" w:sz="0" w:space="0" w:color="auto"/>
        <w:right w:val="none" w:sz="0" w:space="0" w:color="auto"/>
      </w:divBdr>
      <w:divsChild>
        <w:div w:id="579487637">
          <w:marLeft w:val="0"/>
          <w:marRight w:val="0"/>
          <w:marTop w:val="0"/>
          <w:marBottom w:val="0"/>
          <w:divBdr>
            <w:top w:val="none" w:sz="0" w:space="0" w:color="auto"/>
            <w:left w:val="none" w:sz="0" w:space="0" w:color="auto"/>
            <w:bottom w:val="none" w:sz="0" w:space="0" w:color="auto"/>
            <w:right w:val="none" w:sz="0" w:space="0" w:color="auto"/>
          </w:divBdr>
          <w:divsChild>
            <w:div w:id="295377399">
              <w:marLeft w:val="0"/>
              <w:marRight w:val="0"/>
              <w:marTop w:val="0"/>
              <w:marBottom w:val="0"/>
              <w:divBdr>
                <w:top w:val="none" w:sz="0" w:space="0" w:color="auto"/>
                <w:left w:val="none" w:sz="0" w:space="0" w:color="auto"/>
                <w:bottom w:val="none" w:sz="0" w:space="0" w:color="auto"/>
                <w:right w:val="none" w:sz="0" w:space="0" w:color="auto"/>
              </w:divBdr>
              <w:divsChild>
                <w:div w:id="524948802">
                  <w:marLeft w:val="0"/>
                  <w:marRight w:val="0"/>
                  <w:marTop w:val="0"/>
                  <w:marBottom w:val="0"/>
                  <w:divBdr>
                    <w:top w:val="none" w:sz="0" w:space="0" w:color="auto"/>
                    <w:left w:val="none" w:sz="0" w:space="0" w:color="auto"/>
                    <w:bottom w:val="none" w:sz="0" w:space="0" w:color="auto"/>
                    <w:right w:val="none" w:sz="0" w:space="0" w:color="auto"/>
                  </w:divBdr>
                  <w:divsChild>
                    <w:div w:id="8144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2367">
      <w:bodyDiv w:val="1"/>
      <w:marLeft w:val="0"/>
      <w:marRight w:val="0"/>
      <w:marTop w:val="0"/>
      <w:marBottom w:val="0"/>
      <w:divBdr>
        <w:top w:val="none" w:sz="0" w:space="0" w:color="auto"/>
        <w:left w:val="none" w:sz="0" w:space="0" w:color="auto"/>
        <w:bottom w:val="none" w:sz="0" w:space="0" w:color="auto"/>
        <w:right w:val="none" w:sz="0" w:space="0" w:color="auto"/>
      </w:divBdr>
      <w:divsChild>
        <w:div w:id="1836139526">
          <w:marLeft w:val="0"/>
          <w:marRight w:val="0"/>
          <w:marTop w:val="0"/>
          <w:marBottom w:val="0"/>
          <w:divBdr>
            <w:top w:val="none" w:sz="0" w:space="0" w:color="auto"/>
            <w:left w:val="none" w:sz="0" w:space="0" w:color="auto"/>
            <w:bottom w:val="none" w:sz="0" w:space="0" w:color="auto"/>
            <w:right w:val="none" w:sz="0" w:space="0" w:color="auto"/>
          </w:divBdr>
          <w:divsChild>
            <w:div w:id="604115528">
              <w:marLeft w:val="0"/>
              <w:marRight w:val="0"/>
              <w:marTop w:val="0"/>
              <w:marBottom w:val="0"/>
              <w:divBdr>
                <w:top w:val="none" w:sz="0" w:space="0" w:color="auto"/>
                <w:left w:val="none" w:sz="0" w:space="0" w:color="auto"/>
                <w:bottom w:val="none" w:sz="0" w:space="0" w:color="auto"/>
                <w:right w:val="none" w:sz="0" w:space="0" w:color="auto"/>
              </w:divBdr>
              <w:divsChild>
                <w:div w:id="1296326653">
                  <w:marLeft w:val="0"/>
                  <w:marRight w:val="0"/>
                  <w:marTop w:val="0"/>
                  <w:marBottom w:val="0"/>
                  <w:divBdr>
                    <w:top w:val="none" w:sz="0" w:space="0" w:color="auto"/>
                    <w:left w:val="none" w:sz="0" w:space="0" w:color="auto"/>
                    <w:bottom w:val="none" w:sz="0" w:space="0" w:color="auto"/>
                    <w:right w:val="none" w:sz="0" w:space="0" w:color="auto"/>
                  </w:divBdr>
                  <w:divsChild>
                    <w:div w:id="18740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53402">
      <w:bodyDiv w:val="1"/>
      <w:marLeft w:val="0"/>
      <w:marRight w:val="0"/>
      <w:marTop w:val="0"/>
      <w:marBottom w:val="0"/>
      <w:divBdr>
        <w:top w:val="none" w:sz="0" w:space="0" w:color="auto"/>
        <w:left w:val="none" w:sz="0" w:space="0" w:color="auto"/>
        <w:bottom w:val="none" w:sz="0" w:space="0" w:color="auto"/>
        <w:right w:val="none" w:sz="0" w:space="0" w:color="auto"/>
      </w:divBdr>
      <w:divsChild>
        <w:div w:id="664362322">
          <w:marLeft w:val="0"/>
          <w:marRight w:val="0"/>
          <w:marTop w:val="0"/>
          <w:marBottom w:val="0"/>
          <w:divBdr>
            <w:top w:val="none" w:sz="0" w:space="0" w:color="auto"/>
            <w:left w:val="none" w:sz="0" w:space="0" w:color="auto"/>
            <w:bottom w:val="none" w:sz="0" w:space="0" w:color="auto"/>
            <w:right w:val="none" w:sz="0" w:space="0" w:color="auto"/>
          </w:divBdr>
          <w:divsChild>
            <w:div w:id="859509746">
              <w:marLeft w:val="0"/>
              <w:marRight w:val="0"/>
              <w:marTop w:val="0"/>
              <w:marBottom w:val="0"/>
              <w:divBdr>
                <w:top w:val="none" w:sz="0" w:space="0" w:color="auto"/>
                <w:left w:val="none" w:sz="0" w:space="0" w:color="auto"/>
                <w:bottom w:val="none" w:sz="0" w:space="0" w:color="auto"/>
                <w:right w:val="none" w:sz="0" w:space="0" w:color="auto"/>
              </w:divBdr>
              <w:divsChild>
                <w:div w:id="457115526">
                  <w:marLeft w:val="0"/>
                  <w:marRight w:val="0"/>
                  <w:marTop w:val="0"/>
                  <w:marBottom w:val="0"/>
                  <w:divBdr>
                    <w:top w:val="none" w:sz="0" w:space="0" w:color="auto"/>
                    <w:left w:val="none" w:sz="0" w:space="0" w:color="auto"/>
                    <w:bottom w:val="none" w:sz="0" w:space="0" w:color="auto"/>
                    <w:right w:val="none" w:sz="0" w:space="0" w:color="auto"/>
                  </w:divBdr>
                  <w:divsChild>
                    <w:div w:id="7823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857554">
      <w:bodyDiv w:val="1"/>
      <w:marLeft w:val="0"/>
      <w:marRight w:val="0"/>
      <w:marTop w:val="0"/>
      <w:marBottom w:val="0"/>
      <w:divBdr>
        <w:top w:val="none" w:sz="0" w:space="0" w:color="auto"/>
        <w:left w:val="none" w:sz="0" w:space="0" w:color="auto"/>
        <w:bottom w:val="none" w:sz="0" w:space="0" w:color="auto"/>
        <w:right w:val="none" w:sz="0" w:space="0" w:color="auto"/>
      </w:divBdr>
    </w:div>
    <w:div w:id="938950955">
      <w:bodyDiv w:val="1"/>
      <w:marLeft w:val="0"/>
      <w:marRight w:val="0"/>
      <w:marTop w:val="0"/>
      <w:marBottom w:val="0"/>
      <w:divBdr>
        <w:top w:val="none" w:sz="0" w:space="0" w:color="auto"/>
        <w:left w:val="none" w:sz="0" w:space="0" w:color="auto"/>
        <w:bottom w:val="none" w:sz="0" w:space="0" w:color="auto"/>
        <w:right w:val="none" w:sz="0" w:space="0" w:color="auto"/>
      </w:divBdr>
    </w:div>
    <w:div w:id="943608221">
      <w:bodyDiv w:val="1"/>
      <w:marLeft w:val="0"/>
      <w:marRight w:val="0"/>
      <w:marTop w:val="0"/>
      <w:marBottom w:val="0"/>
      <w:divBdr>
        <w:top w:val="none" w:sz="0" w:space="0" w:color="auto"/>
        <w:left w:val="none" w:sz="0" w:space="0" w:color="auto"/>
        <w:bottom w:val="none" w:sz="0" w:space="0" w:color="auto"/>
        <w:right w:val="none" w:sz="0" w:space="0" w:color="auto"/>
      </w:divBdr>
    </w:div>
    <w:div w:id="948002866">
      <w:bodyDiv w:val="1"/>
      <w:marLeft w:val="0"/>
      <w:marRight w:val="0"/>
      <w:marTop w:val="0"/>
      <w:marBottom w:val="0"/>
      <w:divBdr>
        <w:top w:val="none" w:sz="0" w:space="0" w:color="auto"/>
        <w:left w:val="none" w:sz="0" w:space="0" w:color="auto"/>
        <w:bottom w:val="none" w:sz="0" w:space="0" w:color="auto"/>
        <w:right w:val="none" w:sz="0" w:space="0" w:color="auto"/>
      </w:divBdr>
    </w:div>
    <w:div w:id="949043848">
      <w:bodyDiv w:val="1"/>
      <w:marLeft w:val="0"/>
      <w:marRight w:val="0"/>
      <w:marTop w:val="0"/>
      <w:marBottom w:val="0"/>
      <w:divBdr>
        <w:top w:val="none" w:sz="0" w:space="0" w:color="auto"/>
        <w:left w:val="none" w:sz="0" w:space="0" w:color="auto"/>
        <w:bottom w:val="none" w:sz="0" w:space="0" w:color="auto"/>
        <w:right w:val="none" w:sz="0" w:space="0" w:color="auto"/>
      </w:divBdr>
    </w:div>
    <w:div w:id="965739448">
      <w:bodyDiv w:val="1"/>
      <w:marLeft w:val="0"/>
      <w:marRight w:val="0"/>
      <w:marTop w:val="0"/>
      <w:marBottom w:val="0"/>
      <w:divBdr>
        <w:top w:val="none" w:sz="0" w:space="0" w:color="auto"/>
        <w:left w:val="none" w:sz="0" w:space="0" w:color="auto"/>
        <w:bottom w:val="none" w:sz="0" w:space="0" w:color="auto"/>
        <w:right w:val="none" w:sz="0" w:space="0" w:color="auto"/>
      </w:divBdr>
      <w:divsChild>
        <w:div w:id="76758185">
          <w:marLeft w:val="0"/>
          <w:marRight w:val="0"/>
          <w:marTop w:val="0"/>
          <w:marBottom w:val="0"/>
          <w:divBdr>
            <w:top w:val="none" w:sz="0" w:space="0" w:color="auto"/>
            <w:left w:val="none" w:sz="0" w:space="0" w:color="auto"/>
            <w:bottom w:val="none" w:sz="0" w:space="0" w:color="auto"/>
            <w:right w:val="none" w:sz="0" w:space="0" w:color="auto"/>
          </w:divBdr>
          <w:divsChild>
            <w:div w:id="574172613">
              <w:marLeft w:val="0"/>
              <w:marRight w:val="0"/>
              <w:marTop w:val="0"/>
              <w:marBottom w:val="0"/>
              <w:divBdr>
                <w:top w:val="none" w:sz="0" w:space="0" w:color="auto"/>
                <w:left w:val="none" w:sz="0" w:space="0" w:color="auto"/>
                <w:bottom w:val="none" w:sz="0" w:space="0" w:color="auto"/>
                <w:right w:val="none" w:sz="0" w:space="0" w:color="auto"/>
              </w:divBdr>
              <w:divsChild>
                <w:div w:id="856117238">
                  <w:marLeft w:val="0"/>
                  <w:marRight w:val="0"/>
                  <w:marTop w:val="0"/>
                  <w:marBottom w:val="0"/>
                  <w:divBdr>
                    <w:top w:val="none" w:sz="0" w:space="0" w:color="auto"/>
                    <w:left w:val="none" w:sz="0" w:space="0" w:color="auto"/>
                    <w:bottom w:val="none" w:sz="0" w:space="0" w:color="auto"/>
                    <w:right w:val="none" w:sz="0" w:space="0" w:color="auto"/>
                  </w:divBdr>
                  <w:divsChild>
                    <w:div w:id="5435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563125">
      <w:bodyDiv w:val="1"/>
      <w:marLeft w:val="0"/>
      <w:marRight w:val="0"/>
      <w:marTop w:val="0"/>
      <w:marBottom w:val="0"/>
      <w:divBdr>
        <w:top w:val="none" w:sz="0" w:space="0" w:color="auto"/>
        <w:left w:val="none" w:sz="0" w:space="0" w:color="auto"/>
        <w:bottom w:val="none" w:sz="0" w:space="0" w:color="auto"/>
        <w:right w:val="none" w:sz="0" w:space="0" w:color="auto"/>
      </w:divBdr>
    </w:div>
    <w:div w:id="973874405">
      <w:bodyDiv w:val="1"/>
      <w:marLeft w:val="0"/>
      <w:marRight w:val="0"/>
      <w:marTop w:val="0"/>
      <w:marBottom w:val="0"/>
      <w:divBdr>
        <w:top w:val="none" w:sz="0" w:space="0" w:color="auto"/>
        <w:left w:val="none" w:sz="0" w:space="0" w:color="auto"/>
        <w:bottom w:val="none" w:sz="0" w:space="0" w:color="auto"/>
        <w:right w:val="none" w:sz="0" w:space="0" w:color="auto"/>
      </w:divBdr>
      <w:divsChild>
        <w:div w:id="1390958029">
          <w:marLeft w:val="0"/>
          <w:marRight w:val="0"/>
          <w:marTop w:val="0"/>
          <w:marBottom w:val="0"/>
          <w:divBdr>
            <w:top w:val="none" w:sz="0" w:space="0" w:color="auto"/>
            <w:left w:val="none" w:sz="0" w:space="0" w:color="auto"/>
            <w:bottom w:val="none" w:sz="0" w:space="0" w:color="auto"/>
            <w:right w:val="none" w:sz="0" w:space="0" w:color="auto"/>
          </w:divBdr>
          <w:divsChild>
            <w:div w:id="1360162699">
              <w:marLeft w:val="0"/>
              <w:marRight w:val="0"/>
              <w:marTop w:val="0"/>
              <w:marBottom w:val="0"/>
              <w:divBdr>
                <w:top w:val="none" w:sz="0" w:space="0" w:color="auto"/>
                <w:left w:val="none" w:sz="0" w:space="0" w:color="auto"/>
                <w:bottom w:val="none" w:sz="0" w:space="0" w:color="auto"/>
                <w:right w:val="none" w:sz="0" w:space="0" w:color="auto"/>
              </w:divBdr>
              <w:divsChild>
                <w:div w:id="4853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6900">
      <w:bodyDiv w:val="1"/>
      <w:marLeft w:val="0"/>
      <w:marRight w:val="0"/>
      <w:marTop w:val="0"/>
      <w:marBottom w:val="0"/>
      <w:divBdr>
        <w:top w:val="none" w:sz="0" w:space="0" w:color="auto"/>
        <w:left w:val="none" w:sz="0" w:space="0" w:color="auto"/>
        <w:bottom w:val="none" w:sz="0" w:space="0" w:color="auto"/>
        <w:right w:val="none" w:sz="0" w:space="0" w:color="auto"/>
      </w:divBdr>
    </w:div>
    <w:div w:id="978265704">
      <w:bodyDiv w:val="1"/>
      <w:marLeft w:val="0"/>
      <w:marRight w:val="0"/>
      <w:marTop w:val="0"/>
      <w:marBottom w:val="0"/>
      <w:divBdr>
        <w:top w:val="none" w:sz="0" w:space="0" w:color="auto"/>
        <w:left w:val="none" w:sz="0" w:space="0" w:color="auto"/>
        <w:bottom w:val="none" w:sz="0" w:space="0" w:color="auto"/>
        <w:right w:val="none" w:sz="0" w:space="0" w:color="auto"/>
      </w:divBdr>
      <w:divsChild>
        <w:div w:id="452360512">
          <w:marLeft w:val="0"/>
          <w:marRight w:val="0"/>
          <w:marTop w:val="0"/>
          <w:marBottom w:val="0"/>
          <w:divBdr>
            <w:top w:val="none" w:sz="0" w:space="0" w:color="auto"/>
            <w:left w:val="none" w:sz="0" w:space="0" w:color="auto"/>
            <w:bottom w:val="none" w:sz="0" w:space="0" w:color="auto"/>
            <w:right w:val="none" w:sz="0" w:space="0" w:color="auto"/>
          </w:divBdr>
          <w:divsChild>
            <w:div w:id="142283154">
              <w:marLeft w:val="0"/>
              <w:marRight w:val="0"/>
              <w:marTop w:val="0"/>
              <w:marBottom w:val="0"/>
              <w:divBdr>
                <w:top w:val="none" w:sz="0" w:space="0" w:color="auto"/>
                <w:left w:val="none" w:sz="0" w:space="0" w:color="auto"/>
                <w:bottom w:val="none" w:sz="0" w:space="0" w:color="auto"/>
                <w:right w:val="none" w:sz="0" w:space="0" w:color="auto"/>
              </w:divBdr>
              <w:divsChild>
                <w:div w:id="1856532538">
                  <w:marLeft w:val="0"/>
                  <w:marRight w:val="0"/>
                  <w:marTop w:val="0"/>
                  <w:marBottom w:val="0"/>
                  <w:divBdr>
                    <w:top w:val="none" w:sz="0" w:space="0" w:color="auto"/>
                    <w:left w:val="none" w:sz="0" w:space="0" w:color="auto"/>
                    <w:bottom w:val="none" w:sz="0" w:space="0" w:color="auto"/>
                    <w:right w:val="none" w:sz="0" w:space="0" w:color="auto"/>
                  </w:divBdr>
                  <w:divsChild>
                    <w:div w:id="201603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1594">
      <w:bodyDiv w:val="1"/>
      <w:marLeft w:val="0"/>
      <w:marRight w:val="0"/>
      <w:marTop w:val="0"/>
      <w:marBottom w:val="0"/>
      <w:divBdr>
        <w:top w:val="none" w:sz="0" w:space="0" w:color="auto"/>
        <w:left w:val="none" w:sz="0" w:space="0" w:color="auto"/>
        <w:bottom w:val="none" w:sz="0" w:space="0" w:color="auto"/>
        <w:right w:val="none" w:sz="0" w:space="0" w:color="auto"/>
      </w:divBdr>
    </w:div>
    <w:div w:id="1001397203">
      <w:bodyDiv w:val="1"/>
      <w:marLeft w:val="0"/>
      <w:marRight w:val="0"/>
      <w:marTop w:val="0"/>
      <w:marBottom w:val="0"/>
      <w:divBdr>
        <w:top w:val="none" w:sz="0" w:space="0" w:color="auto"/>
        <w:left w:val="none" w:sz="0" w:space="0" w:color="auto"/>
        <w:bottom w:val="none" w:sz="0" w:space="0" w:color="auto"/>
        <w:right w:val="none" w:sz="0" w:space="0" w:color="auto"/>
      </w:divBdr>
    </w:div>
    <w:div w:id="1010722991">
      <w:bodyDiv w:val="1"/>
      <w:marLeft w:val="0"/>
      <w:marRight w:val="0"/>
      <w:marTop w:val="0"/>
      <w:marBottom w:val="0"/>
      <w:divBdr>
        <w:top w:val="none" w:sz="0" w:space="0" w:color="auto"/>
        <w:left w:val="none" w:sz="0" w:space="0" w:color="auto"/>
        <w:bottom w:val="none" w:sz="0" w:space="0" w:color="auto"/>
        <w:right w:val="none" w:sz="0" w:space="0" w:color="auto"/>
      </w:divBdr>
    </w:div>
    <w:div w:id="1023705023">
      <w:bodyDiv w:val="1"/>
      <w:marLeft w:val="0"/>
      <w:marRight w:val="0"/>
      <w:marTop w:val="0"/>
      <w:marBottom w:val="0"/>
      <w:divBdr>
        <w:top w:val="none" w:sz="0" w:space="0" w:color="auto"/>
        <w:left w:val="none" w:sz="0" w:space="0" w:color="auto"/>
        <w:bottom w:val="none" w:sz="0" w:space="0" w:color="auto"/>
        <w:right w:val="none" w:sz="0" w:space="0" w:color="auto"/>
      </w:divBdr>
    </w:div>
    <w:div w:id="1027487051">
      <w:bodyDiv w:val="1"/>
      <w:marLeft w:val="0"/>
      <w:marRight w:val="0"/>
      <w:marTop w:val="0"/>
      <w:marBottom w:val="0"/>
      <w:divBdr>
        <w:top w:val="none" w:sz="0" w:space="0" w:color="auto"/>
        <w:left w:val="none" w:sz="0" w:space="0" w:color="auto"/>
        <w:bottom w:val="none" w:sz="0" w:space="0" w:color="auto"/>
        <w:right w:val="none" w:sz="0" w:space="0" w:color="auto"/>
      </w:divBdr>
      <w:divsChild>
        <w:div w:id="1611888086">
          <w:marLeft w:val="0"/>
          <w:marRight w:val="0"/>
          <w:marTop w:val="0"/>
          <w:marBottom w:val="0"/>
          <w:divBdr>
            <w:top w:val="none" w:sz="0" w:space="0" w:color="auto"/>
            <w:left w:val="none" w:sz="0" w:space="0" w:color="auto"/>
            <w:bottom w:val="none" w:sz="0" w:space="0" w:color="auto"/>
            <w:right w:val="none" w:sz="0" w:space="0" w:color="auto"/>
          </w:divBdr>
          <w:divsChild>
            <w:div w:id="1906645950">
              <w:marLeft w:val="0"/>
              <w:marRight w:val="0"/>
              <w:marTop w:val="0"/>
              <w:marBottom w:val="0"/>
              <w:divBdr>
                <w:top w:val="none" w:sz="0" w:space="0" w:color="auto"/>
                <w:left w:val="none" w:sz="0" w:space="0" w:color="auto"/>
                <w:bottom w:val="none" w:sz="0" w:space="0" w:color="auto"/>
                <w:right w:val="none" w:sz="0" w:space="0" w:color="auto"/>
              </w:divBdr>
              <w:divsChild>
                <w:div w:id="445346830">
                  <w:marLeft w:val="0"/>
                  <w:marRight w:val="0"/>
                  <w:marTop w:val="0"/>
                  <w:marBottom w:val="0"/>
                  <w:divBdr>
                    <w:top w:val="none" w:sz="0" w:space="0" w:color="auto"/>
                    <w:left w:val="none" w:sz="0" w:space="0" w:color="auto"/>
                    <w:bottom w:val="none" w:sz="0" w:space="0" w:color="auto"/>
                    <w:right w:val="none" w:sz="0" w:space="0" w:color="auto"/>
                  </w:divBdr>
                  <w:divsChild>
                    <w:div w:id="15385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869851">
      <w:bodyDiv w:val="1"/>
      <w:marLeft w:val="0"/>
      <w:marRight w:val="0"/>
      <w:marTop w:val="0"/>
      <w:marBottom w:val="0"/>
      <w:divBdr>
        <w:top w:val="none" w:sz="0" w:space="0" w:color="auto"/>
        <w:left w:val="none" w:sz="0" w:space="0" w:color="auto"/>
        <w:bottom w:val="none" w:sz="0" w:space="0" w:color="auto"/>
        <w:right w:val="none" w:sz="0" w:space="0" w:color="auto"/>
      </w:divBdr>
    </w:div>
    <w:div w:id="1043942622">
      <w:bodyDiv w:val="1"/>
      <w:marLeft w:val="0"/>
      <w:marRight w:val="0"/>
      <w:marTop w:val="0"/>
      <w:marBottom w:val="0"/>
      <w:divBdr>
        <w:top w:val="none" w:sz="0" w:space="0" w:color="auto"/>
        <w:left w:val="none" w:sz="0" w:space="0" w:color="auto"/>
        <w:bottom w:val="none" w:sz="0" w:space="0" w:color="auto"/>
        <w:right w:val="none" w:sz="0" w:space="0" w:color="auto"/>
      </w:divBdr>
      <w:divsChild>
        <w:div w:id="1752702779">
          <w:marLeft w:val="0"/>
          <w:marRight w:val="0"/>
          <w:marTop w:val="0"/>
          <w:marBottom w:val="0"/>
          <w:divBdr>
            <w:top w:val="none" w:sz="0" w:space="0" w:color="auto"/>
            <w:left w:val="none" w:sz="0" w:space="0" w:color="auto"/>
            <w:bottom w:val="none" w:sz="0" w:space="0" w:color="auto"/>
            <w:right w:val="none" w:sz="0" w:space="0" w:color="auto"/>
          </w:divBdr>
          <w:divsChild>
            <w:div w:id="1417245306">
              <w:marLeft w:val="0"/>
              <w:marRight w:val="0"/>
              <w:marTop w:val="0"/>
              <w:marBottom w:val="0"/>
              <w:divBdr>
                <w:top w:val="none" w:sz="0" w:space="0" w:color="auto"/>
                <w:left w:val="none" w:sz="0" w:space="0" w:color="auto"/>
                <w:bottom w:val="none" w:sz="0" w:space="0" w:color="auto"/>
                <w:right w:val="none" w:sz="0" w:space="0" w:color="auto"/>
              </w:divBdr>
              <w:divsChild>
                <w:div w:id="524026105">
                  <w:marLeft w:val="0"/>
                  <w:marRight w:val="0"/>
                  <w:marTop w:val="0"/>
                  <w:marBottom w:val="0"/>
                  <w:divBdr>
                    <w:top w:val="none" w:sz="0" w:space="0" w:color="auto"/>
                    <w:left w:val="none" w:sz="0" w:space="0" w:color="auto"/>
                    <w:bottom w:val="none" w:sz="0" w:space="0" w:color="auto"/>
                    <w:right w:val="none" w:sz="0" w:space="0" w:color="auto"/>
                  </w:divBdr>
                  <w:divsChild>
                    <w:div w:id="5395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258588">
      <w:bodyDiv w:val="1"/>
      <w:marLeft w:val="0"/>
      <w:marRight w:val="0"/>
      <w:marTop w:val="0"/>
      <w:marBottom w:val="0"/>
      <w:divBdr>
        <w:top w:val="none" w:sz="0" w:space="0" w:color="auto"/>
        <w:left w:val="none" w:sz="0" w:space="0" w:color="auto"/>
        <w:bottom w:val="none" w:sz="0" w:space="0" w:color="auto"/>
        <w:right w:val="none" w:sz="0" w:space="0" w:color="auto"/>
      </w:divBdr>
      <w:divsChild>
        <w:div w:id="1287614060">
          <w:marLeft w:val="0"/>
          <w:marRight w:val="0"/>
          <w:marTop w:val="0"/>
          <w:marBottom w:val="0"/>
          <w:divBdr>
            <w:top w:val="none" w:sz="0" w:space="0" w:color="auto"/>
            <w:left w:val="none" w:sz="0" w:space="0" w:color="auto"/>
            <w:bottom w:val="none" w:sz="0" w:space="0" w:color="auto"/>
            <w:right w:val="none" w:sz="0" w:space="0" w:color="auto"/>
          </w:divBdr>
          <w:divsChild>
            <w:div w:id="183979085">
              <w:marLeft w:val="0"/>
              <w:marRight w:val="0"/>
              <w:marTop w:val="0"/>
              <w:marBottom w:val="0"/>
              <w:divBdr>
                <w:top w:val="none" w:sz="0" w:space="0" w:color="auto"/>
                <w:left w:val="none" w:sz="0" w:space="0" w:color="auto"/>
                <w:bottom w:val="none" w:sz="0" w:space="0" w:color="auto"/>
                <w:right w:val="none" w:sz="0" w:space="0" w:color="auto"/>
              </w:divBdr>
              <w:divsChild>
                <w:div w:id="9957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17498">
      <w:bodyDiv w:val="1"/>
      <w:marLeft w:val="0"/>
      <w:marRight w:val="0"/>
      <w:marTop w:val="0"/>
      <w:marBottom w:val="0"/>
      <w:divBdr>
        <w:top w:val="none" w:sz="0" w:space="0" w:color="auto"/>
        <w:left w:val="none" w:sz="0" w:space="0" w:color="auto"/>
        <w:bottom w:val="none" w:sz="0" w:space="0" w:color="auto"/>
        <w:right w:val="none" w:sz="0" w:space="0" w:color="auto"/>
      </w:divBdr>
    </w:div>
    <w:div w:id="1054698152">
      <w:bodyDiv w:val="1"/>
      <w:marLeft w:val="0"/>
      <w:marRight w:val="0"/>
      <w:marTop w:val="0"/>
      <w:marBottom w:val="0"/>
      <w:divBdr>
        <w:top w:val="none" w:sz="0" w:space="0" w:color="auto"/>
        <w:left w:val="none" w:sz="0" w:space="0" w:color="auto"/>
        <w:bottom w:val="none" w:sz="0" w:space="0" w:color="auto"/>
        <w:right w:val="none" w:sz="0" w:space="0" w:color="auto"/>
      </w:divBdr>
    </w:div>
    <w:div w:id="1055858376">
      <w:bodyDiv w:val="1"/>
      <w:marLeft w:val="0"/>
      <w:marRight w:val="0"/>
      <w:marTop w:val="0"/>
      <w:marBottom w:val="0"/>
      <w:divBdr>
        <w:top w:val="none" w:sz="0" w:space="0" w:color="auto"/>
        <w:left w:val="none" w:sz="0" w:space="0" w:color="auto"/>
        <w:bottom w:val="none" w:sz="0" w:space="0" w:color="auto"/>
        <w:right w:val="none" w:sz="0" w:space="0" w:color="auto"/>
      </w:divBdr>
    </w:div>
    <w:div w:id="1073770839">
      <w:bodyDiv w:val="1"/>
      <w:marLeft w:val="0"/>
      <w:marRight w:val="0"/>
      <w:marTop w:val="0"/>
      <w:marBottom w:val="0"/>
      <w:divBdr>
        <w:top w:val="none" w:sz="0" w:space="0" w:color="auto"/>
        <w:left w:val="none" w:sz="0" w:space="0" w:color="auto"/>
        <w:bottom w:val="none" w:sz="0" w:space="0" w:color="auto"/>
        <w:right w:val="none" w:sz="0" w:space="0" w:color="auto"/>
      </w:divBdr>
    </w:div>
    <w:div w:id="1079401079">
      <w:bodyDiv w:val="1"/>
      <w:marLeft w:val="0"/>
      <w:marRight w:val="0"/>
      <w:marTop w:val="0"/>
      <w:marBottom w:val="0"/>
      <w:divBdr>
        <w:top w:val="none" w:sz="0" w:space="0" w:color="auto"/>
        <w:left w:val="none" w:sz="0" w:space="0" w:color="auto"/>
        <w:bottom w:val="none" w:sz="0" w:space="0" w:color="auto"/>
        <w:right w:val="none" w:sz="0" w:space="0" w:color="auto"/>
      </w:divBdr>
    </w:div>
    <w:div w:id="1097601227">
      <w:bodyDiv w:val="1"/>
      <w:marLeft w:val="0"/>
      <w:marRight w:val="0"/>
      <w:marTop w:val="0"/>
      <w:marBottom w:val="0"/>
      <w:divBdr>
        <w:top w:val="none" w:sz="0" w:space="0" w:color="auto"/>
        <w:left w:val="none" w:sz="0" w:space="0" w:color="auto"/>
        <w:bottom w:val="none" w:sz="0" w:space="0" w:color="auto"/>
        <w:right w:val="none" w:sz="0" w:space="0" w:color="auto"/>
      </w:divBdr>
    </w:div>
    <w:div w:id="1115753800">
      <w:bodyDiv w:val="1"/>
      <w:marLeft w:val="0"/>
      <w:marRight w:val="0"/>
      <w:marTop w:val="0"/>
      <w:marBottom w:val="0"/>
      <w:divBdr>
        <w:top w:val="none" w:sz="0" w:space="0" w:color="auto"/>
        <w:left w:val="none" w:sz="0" w:space="0" w:color="auto"/>
        <w:bottom w:val="none" w:sz="0" w:space="0" w:color="auto"/>
        <w:right w:val="none" w:sz="0" w:space="0" w:color="auto"/>
      </w:divBdr>
    </w:div>
    <w:div w:id="1127165842">
      <w:bodyDiv w:val="1"/>
      <w:marLeft w:val="0"/>
      <w:marRight w:val="0"/>
      <w:marTop w:val="0"/>
      <w:marBottom w:val="0"/>
      <w:divBdr>
        <w:top w:val="none" w:sz="0" w:space="0" w:color="auto"/>
        <w:left w:val="none" w:sz="0" w:space="0" w:color="auto"/>
        <w:bottom w:val="none" w:sz="0" w:space="0" w:color="auto"/>
        <w:right w:val="none" w:sz="0" w:space="0" w:color="auto"/>
      </w:divBdr>
    </w:div>
    <w:div w:id="1129399649">
      <w:bodyDiv w:val="1"/>
      <w:marLeft w:val="0"/>
      <w:marRight w:val="0"/>
      <w:marTop w:val="0"/>
      <w:marBottom w:val="0"/>
      <w:divBdr>
        <w:top w:val="none" w:sz="0" w:space="0" w:color="auto"/>
        <w:left w:val="none" w:sz="0" w:space="0" w:color="auto"/>
        <w:bottom w:val="none" w:sz="0" w:space="0" w:color="auto"/>
        <w:right w:val="none" w:sz="0" w:space="0" w:color="auto"/>
      </w:divBdr>
    </w:div>
    <w:div w:id="1132482371">
      <w:bodyDiv w:val="1"/>
      <w:marLeft w:val="0"/>
      <w:marRight w:val="0"/>
      <w:marTop w:val="0"/>
      <w:marBottom w:val="0"/>
      <w:divBdr>
        <w:top w:val="none" w:sz="0" w:space="0" w:color="auto"/>
        <w:left w:val="none" w:sz="0" w:space="0" w:color="auto"/>
        <w:bottom w:val="none" w:sz="0" w:space="0" w:color="auto"/>
        <w:right w:val="none" w:sz="0" w:space="0" w:color="auto"/>
      </w:divBdr>
    </w:div>
    <w:div w:id="1142041104">
      <w:bodyDiv w:val="1"/>
      <w:marLeft w:val="0"/>
      <w:marRight w:val="0"/>
      <w:marTop w:val="0"/>
      <w:marBottom w:val="0"/>
      <w:divBdr>
        <w:top w:val="none" w:sz="0" w:space="0" w:color="auto"/>
        <w:left w:val="none" w:sz="0" w:space="0" w:color="auto"/>
        <w:bottom w:val="none" w:sz="0" w:space="0" w:color="auto"/>
        <w:right w:val="none" w:sz="0" w:space="0" w:color="auto"/>
      </w:divBdr>
    </w:div>
    <w:div w:id="1152060406">
      <w:bodyDiv w:val="1"/>
      <w:marLeft w:val="0"/>
      <w:marRight w:val="0"/>
      <w:marTop w:val="0"/>
      <w:marBottom w:val="0"/>
      <w:divBdr>
        <w:top w:val="none" w:sz="0" w:space="0" w:color="auto"/>
        <w:left w:val="none" w:sz="0" w:space="0" w:color="auto"/>
        <w:bottom w:val="none" w:sz="0" w:space="0" w:color="auto"/>
        <w:right w:val="none" w:sz="0" w:space="0" w:color="auto"/>
      </w:divBdr>
      <w:divsChild>
        <w:div w:id="1605844735">
          <w:marLeft w:val="0"/>
          <w:marRight w:val="0"/>
          <w:marTop w:val="0"/>
          <w:marBottom w:val="0"/>
          <w:divBdr>
            <w:top w:val="none" w:sz="0" w:space="0" w:color="auto"/>
            <w:left w:val="none" w:sz="0" w:space="0" w:color="auto"/>
            <w:bottom w:val="none" w:sz="0" w:space="0" w:color="auto"/>
            <w:right w:val="none" w:sz="0" w:space="0" w:color="auto"/>
          </w:divBdr>
          <w:divsChild>
            <w:div w:id="1808471047">
              <w:marLeft w:val="0"/>
              <w:marRight w:val="0"/>
              <w:marTop w:val="0"/>
              <w:marBottom w:val="0"/>
              <w:divBdr>
                <w:top w:val="none" w:sz="0" w:space="0" w:color="auto"/>
                <w:left w:val="none" w:sz="0" w:space="0" w:color="auto"/>
                <w:bottom w:val="none" w:sz="0" w:space="0" w:color="auto"/>
                <w:right w:val="none" w:sz="0" w:space="0" w:color="auto"/>
              </w:divBdr>
              <w:divsChild>
                <w:div w:id="206000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79467">
      <w:bodyDiv w:val="1"/>
      <w:marLeft w:val="0"/>
      <w:marRight w:val="0"/>
      <w:marTop w:val="0"/>
      <w:marBottom w:val="0"/>
      <w:divBdr>
        <w:top w:val="none" w:sz="0" w:space="0" w:color="auto"/>
        <w:left w:val="none" w:sz="0" w:space="0" w:color="auto"/>
        <w:bottom w:val="none" w:sz="0" w:space="0" w:color="auto"/>
        <w:right w:val="none" w:sz="0" w:space="0" w:color="auto"/>
      </w:divBdr>
    </w:div>
    <w:div w:id="1160806021">
      <w:bodyDiv w:val="1"/>
      <w:marLeft w:val="0"/>
      <w:marRight w:val="0"/>
      <w:marTop w:val="0"/>
      <w:marBottom w:val="0"/>
      <w:divBdr>
        <w:top w:val="none" w:sz="0" w:space="0" w:color="auto"/>
        <w:left w:val="none" w:sz="0" w:space="0" w:color="auto"/>
        <w:bottom w:val="none" w:sz="0" w:space="0" w:color="auto"/>
        <w:right w:val="none" w:sz="0" w:space="0" w:color="auto"/>
      </w:divBdr>
    </w:div>
    <w:div w:id="1164471199">
      <w:bodyDiv w:val="1"/>
      <w:marLeft w:val="0"/>
      <w:marRight w:val="0"/>
      <w:marTop w:val="0"/>
      <w:marBottom w:val="0"/>
      <w:divBdr>
        <w:top w:val="none" w:sz="0" w:space="0" w:color="auto"/>
        <w:left w:val="none" w:sz="0" w:space="0" w:color="auto"/>
        <w:bottom w:val="none" w:sz="0" w:space="0" w:color="auto"/>
        <w:right w:val="none" w:sz="0" w:space="0" w:color="auto"/>
      </w:divBdr>
    </w:div>
    <w:div w:id="1171530505">
      <w:bodyDiv w:val="1"/>
      <w:marLeft w:val="0"/>
      <w:marRight w:val="0"/>
      <w:marTop w:val="0"/>
      <w:marBottom w:val="0"/>
      <w:divBdr>
        <w:top w:val="none" w:sz="0" w:space="0" w:color="auto"/>
        <w:left w:val="none" w:sz="0" w:space="0" w:color="auto"/>
        <w:bottom w:val="none" w:sz="0" w:space="0" w:color="auto"/>
        <w:right w:val="none" w:sz="0" w:space="0" w:color="auto"/>
      </w:divBdr>
    </w:div>
    <w:div w:id="1199389854">
      <w:bodyDiv w:val="1"/>
      <w:marLeft w:val="0"/>
      <w:marRight w:val="0"/>
      <w:marTop w:val="0"/>
      <w:marBottom w:val="0"/>
      <w:divBdr>
        <w:top w:val="none" w:sz="0" w:space="0" w:color="auto"/>
        <w:left w:val="none" w:sz="0" w:space="0" w:color="auto"/>
        <w:bottom w:val="none" w:sz="0" w:space="0" w:color="auto"/>
        <w:right w:val="none" w:sz="0" w:space="0" w:color="auto"/>
      </w:divBdr>
    </w:div>
    <w:div w:id="1228998880">
      <w:bodyDiv w:val="1"/>
      <w:marLeft w:val="0"/>
      <w:marRight w:val="0"/>
      <w:marTop w:val="0"/>
      <w:marBottom w:val="0"/>
      <w:divBdr>
        <w:top w:val="none" w:sz="0" w:space="0" w:color="auto"/>
        <w:left w:val="none" w:sz="0" w:space="0" w:color="auto"/>
        <w:bottom w:val="none" w:sz="0" w:space="0" w:color="auto"/>
        <w:right w:val="none" w:sz="0" w:space="0" w:color="auto"/>
      </w:divBdr>
    </w:div>
    <w:div w:id="1231886617">
      <w:bodyDiv w:val="1"/>
      <w:marLeft w:val="0"/>
      <w:marRight w:val="0"/>
      <w:marTop w:val="0"/>
      <w:marBottom w:val="0"/>
      <w:divBdr>
        <w:top w:val="none" w:sz="0" w:space="0" w:color="auto"/>
        <w:left w:val="none" w:sz="0" w:space="0" w:color="auto"/>
        <w:bottom w:val="none" w:sz="0" w:space="0" w:color="auto"/>
        <w:right w:val="none" w:sz="0" w:space="0" w:color="auto"/>
      </w:divBdr>
      <w:divsChild>
        <w:div w:id="1709842162">
          <w:marLeft w:val="0"/>
          <w:marRight w:val="0"/>
          <w:marTop w:val="0"/>
          <w:marBottom w:val="0"/>
          <w:divBdr>
            <w:top w:val="none" w:sz="0" w:space="0" w:color="auto"/>
            <w:left w:val="none" w:sz="0" w:space="0" w:color="auto"/>
            <w:bottom w:val="none" w:sz="0" w:space="0" w:color="auto"/>
            <w:right w:val="none" w:sz="0" w:space="0" w:color="auto"/>
          </w:divBdr>
          <w:divsChild>
            <w:div w:id="1278874948">
              <w:marLeft w:val="0"/>
              <w:marRight w:val="0"/>
              <w:marTop w:val="0"/>
              <w:marBottom w:val="0"/>
              <w:divBdr>
                <w:top w:val="none" w:sz="0" w:space="0" w:color="auto"/>
                <w:left w:val="none" w:sz="0" w:space="0" w:color="auto"/>
                <w:bottom w:val="none" w:sz="0" w:space="0" w:color="auto"/>
                <w:right w:val="none" w:sz="0" w:space="0" w:color="auto"/>
              </w:divBdr>
              <w:divsChild>
                <w:div w:id="14015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34926">
      <w:bodyDiv w:val="1"/>
      <w:marLeft w:val="0"/>
      <w:marRight w:val="0"/>
      <w:marTop w:val="0"/>
      <w:marBottom w:val="0"/>
      <w:divBdr>
        <w:top w:val="none" w:sz="0" w:space="0" w:color="auto"/>
        <w:left w:val="none" w:sz="0" w:space="0" w:color="auto"/>
        <w:bottom w:val="none" w:sz="0" w:space="0" w:color="auto"/>
        <w:right w:val="none" w:sz="0" w:space="0" w:color="auto"/>
      </w:divBdr>
      <w:divsChild>
        <w:div w:id="1162740665">
          <w:marLeft w:val="0"/>
          <w:marRight w:val="0"/>
          <w:marTop w:val="0"/>
          <w:marBottom w:val="0"/>
          <w:divBdr>
            <w:top w:val="none" w:sz="0" w:space="0" w:color="auto"/>
            <w:left w:val="none" w:sz="0" w:space="0" w:color="auto"/>
            <w:bottom w:val="none" w:sz="0" w:space="0" w:color="auto"/>
            <w:right w:val="none" w:sz="0" w:space="0" w:color="auto"/>
          </w:divBdr>
          <w:divsChild>
            <w:div w:id="716204595">
              <w:marLeft w:val="0"/>
              <w:marRight w:val="0"/>
              <w:marTop w:val="0"/>
              <w:marBottom w:val="0"/>
              <w:divBdr>
                <w:top w:val="none" w:sz="0" w:space="0" w:color="auto"/>
                <w:left w:val="none" w:sz="0" w:space="0" w:color="auto"/>
                <w:bottom w:val="none" w:sz="0" w:space="0" w:color="auto"/>
                <w:right w:val="none" w:sz="0" w:space="0" w:color="auto"/>
              </w:divBdr>
              <w:divsChild>
                <w:div w:id="1307785598">
                  <w:marLeft w:val="0"/>
                  <w:marRight w:val="0"/>
                  <w:marTop w:val="0"/>
                  <w:marBottom w:val="0"/>
                  <w:divBdr>
                    <w:top w:val="none" w:sz="0" w:space="0" w:color="auto"/>
                    <w:left w:val="none" w:sz="0" w:space="0" w:color="auto"/>
                    <w:bottom w:val="none" w:sz="0" w:space="0" w:color="auto"/>
                    <w:right w:val="none" w:sz="0" w:space="0" w:color="auto"/>
                  </w:divBdr>
                  <w:divsChild>
                    <w:div w:id="12143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356648">
      <w:bodyDiv w:val="1"/>
      <w:marLeft w:val="0"/>
      <w:marRight w:val="0"/>
      <w:marTop w:val="0"/>
      <w:marBottom w:val="0"/>
      <w:divBdr>
        <w:top w:val="none" w:sz="0" w:space="0" w:color="auto"/>
        <w:left w:val="none" w:sz="0" w:space="0" w:color="auto"/>
        <w:bottom w:val="none" w:sz="0" w:space="0" w:color="auto"/>
        <w:right w:val="none" w:sz="0" w:space="0" w:color="auto"/>
      </w:divBdr>
    </w:div>
    <w:div w:id="1239826211">
      <w:bodyDiv w:val="1"/>
      <w:marLeft w:val="0"/>
      <w:marRight w:val="0"/>
      <w:marTop w:val="0"/>
      <w:marBottom w:val="0"/>
      <w:divBdr>
        <w:top w:val="none" w:sz="0" w:space="0" w:color="auto"/>
        <w:left w:val="none" w:sz="0" w:space="0" w:color="auto"/>
        <w:bottom w:val="none" w:sz="0" w:space="0" w:color="auto"/>
        <w:right w:val="none" w:sz="0" w:space="0" w:color="auto"/>
      </w:divBdr>
      <w:divsChild>
        <w:div w:id="1233278133">
          <w:marLeft w:val="0"/>
          <w:marRight w:val="0"/>
          <w:marTop w:val="0"/>
          <w:marBottom w:val="0"/>
          <w:divBdr>
            <w:top w:val="none" w:sz="0" w:space="0" w:color="auto"/>
            <w:left w:val="none" w:sz="0" w:space="0" w:color="auto"/>
            <w:bottom w:val="none" w:sz="0" w:space="0" w:color="auto"/>
            <w:right w:val="none" w:sz="0" w:space="0" w:color="auto"/>
          </w:divBdr>
          <w:divsChild>
            <w:div w:id="2017030260">
              <w:marLeft w:val="0"/>
              <w:marRight w:val="0"/>
              <w:marTop w:val="0"/>
              <w:marBottom w:val="0"/>
              <w:divBdr>
                <w:top w:val="none" w:sz="0" w:space="0" w:color="auto"/>
                <w:left w:val="none" w:sz="0" w:space="0" w:color="auto"/>
                <w:bottom w:val="none" w:sz="0" w:space="0" w:color="auto"/>
                <w:right w:val="none" w:sz="0" w:space="0" w:color="auto"/>
              </w:divBdr>
              <w:divsChild>
                <w:div w:id="798492202">
                  <w:marLeft w:val="0"/>
                  <w:marRight w:val="0"/>
                  <w:marTop w:val="0"/>
                  <w:marBottom w:val="0"/>
                  <w:divBdr>
                    <w:top w:val="none" w:sz="0" w:space="0" w:color="auto"/>
                    <w:left w:val="none" w:sz="0" w:space="0" w:color="auto"/>
                    <w:bottom w:val="none" w:sz="0" w:space="0" w:color="auto"/>
                    <w:right w:val="none" w:sz="0" w:space="0" w:color="auto"/>
                  </w:divBdr>
                  <w:divsChild>
                    <w:div w:id="45491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643830">
      <w:bodyDiv w:val="1"/>
      <w:marLeft w:val="0"/>
      <w:marRight w:val="0"/>
      <w:marTop w:val="0"/>
      <w:marBottom w:val="0"/>
      <w:divBdr>
        <w:top w:val="none" w:sz="0" w:space="0" w:color="auto"/>
        <w:left w:val="none" w:sz="0" w:space="0" w:color="auto"/>
        <w:bottom w:val="none" w:sz="0" w:space="0" w:color="auto"/>
        <w:right w:val="none" w:sz="0" w:space="0" w:color="auto"/>
      </w:divBdr>
    </w:div>
    <w:div w:id="1253513567">
      <w:bodyDiv w:val="1"/>
      <w:marLeft w:val="0"/>
      <w:marRight w:val="0"/>
      <w:marTop w:val="0"/>
      <w:marBottom w:val="0"/>
      <w:divBdr>
        <w:top w:val="none" w:sz="0" w:space="0" w:color="auto"/>
        <w:left w:val="none" w:sz="0" w:space="0" w:color="auto"/>
        <w:bottom w:val="none" w:sz="0" w:space="0" w:color="auto"/>
        <w:right w:val="none" w:sz="0" w:space="0" w:color="auto"/>
      </w:divBdr>
      <w:divsChild>
        <w:div w:id="1419862825">
          <w:marLeft w:val="0"/>
          <w:marRight w:val="0"/>
          <w:marTop w:val="0"/>
          <w:marBottom w:val="0"/>
          <w:divBdr>
            <w:top w:val="none" w:sz="0" w:space="0" w:color="auto"/>
            <w:left w:val="none" w:sz="0" w:space="0" w:color="auto"/>
            <w:bottom w:val="none" w:sz="0" w:space="0" w:color="auto"/>
            <w:right w:val="none" w:sz="0" w:space="0" w:color="auto"/>
          </w:divBdr>
          <w:divsChild>
            <w:div w:id="362678702">
              <w:marLeft w:val="0"/>
              <w:marRight w:val="0"/>
              <w:marTop w:val="0"/>
              <w:marBottom w:val="0"/>
              <w:divBdr>
                <w:top w:val="none" w:sz="0" w:space="0" w:color="auto"/>
                <w:left w:val="none" w:sz="0" w:space="0" w:color="auto"/>
                <w:bottom w:val="none" w:sz="0" w:space="0" w:color="auto"/>
                <w:right w:val="none" w:sz="0" w:space="0" w:color="auto"/>
              </w:divBdr>
              <w:divsChild>
                <w:div w:id="495732715">
                  <w:marLeft w:val="0"/>
                  <w:marRight w:val="0"/>
                  <w:marTop w:val="0"/>
                  <w:marBottom w:val="0"/>
                  <w:divBdr>
                    <w:top w:val="none" w:sz="0" w:space="0" w:color="auto"/>
                    <w:left w:val="none" w:sz="0" w:space="0" w:color="auto"/>
                    <w:bottom w:val="none" w:sz="0" w:space="0" w:color="auto"/>
                    <w:right w:val="none" w:sz="0" w:space="0" w:color="auto"/>
                  </w:divBdr>
                  <w:divsChild>
                    <w:div w:id="3663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5481">
      <w:bodyDiv w:val="1"/>
      <w:marLeft w:val="0"/>
      <w:marRight w:val="0"/>
      <w:marTop w:val="0"/>
      <w:marBottom w:val="0"/>
      <w:divBdr>
        <w:top w:val="none" w:sz="0" w:space="0" w:color="auto"/>
        <w:left w:val="none" w:sz="0" w:space="0" w:color="auto"/>
        <w:bottom w:val="none" w:sz="0" w:space="0" w:color="auto"/>
        <w:right w:val="none" w:sz="0" w:space="0" w:color="auto"/>
      </w:divBdr>
    </w:div>
    <w:div w:id="1261066356">
      <w:bodyDiv w:val="1"/>
      <w:marLeft w:val="0"/>
      <w:marRight w:val="0"/>
      <w:marTop w:val="0"/>
      <w:marBottom w:val="0"/>
      <w:divBdr>
        <w:top w:val="none" w:sz="0" w:space="0" w:color="auto"/>
        <w:left w:val="none" w:sz="0" w:space="0" w:color="auto"/>
        <w:bottom w:val="none" w:sz="0" w:space="0" w:color="auto"/>
        <w:right w:val="none" w:sz="0" w:space="0" w:color="auto"/>
      </w:divBdr>
    </w:div>
    <w:div w:id="1283338687">
      <w:bodyDiv w:val="1"/>
      <w:marLeft w:val="0"/>
      <w:marRight w:val="0"/>
      <w:marTop w:val="0"/>
      <w:marBottom w:val="0"/>
      <w:divBdr>
        <w:top w:val="none" w:sz="0" w:space="0" w:color="auto"/>
        <w:left w:val="none" w:sz="0" w:space="0" w:color="auto"/>
        <w:bottom w:val="none" w:sz="0" w:space="0" w:color="auto"/>
        <w:right w:val="none" w:sz="0" w:space="0" w:color="auto"/>
      </w:divBdr>
      <w:divsChild>
        <w:div w:id="1718234461">
          <w:marLeft w:val="0"/>
          <w:marRight w:val="0"/>
          <w:marTop w:val="0"/>
          <w:marBottom w:val="0"/>
          <w:divBdr>
            <w:top w:val="none" w:sz="0" w:space="0" w:color="auto"/>
            <w:left w:val="none" w:sz="0" w:space="0" w:color="auto"/>
            <w:bottom w:val="none" w:sz="0" w:space="0" w:color="auto"/>
            <w:right w:val="none" w:sz="0" w:space="0" w:color="auto"/>
          </w:divBdr>
          <w:divsChild>
            <w:div w:id="865678836">
              <w:marLeft w:val="0"/>
              <w:marRight w:val="0"/>
              <w:marTop w:val="0"/>
              <w:marBottom w:val="0"/>
              <w:divBdr>
                <w:top w:val="none" w:sz="0" w:space="0" w:color="auto"/>
                <w:left w:val="none" w:sz="0" w:space="0" w:color="auto"/>
                <w:bottom w:val="none" w:sz="0" w:space="0" w:color="auto"/>
                <w:right w:val="none" w:sz="0" w:space="0" w:color="auto"/>
              </w:divBdr>
              <w:divsChild>
                <w:div w:id="180121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0068">
      <w:bodyDiv w:val="1"/>
      <w:marLeft w:val="0"/>
      <w:marRight w:val="0"/>
      <w:marTop w:val="0"/>
      <w:marBottom w:val="0"/>
      <w:divBdr>
        <w:top w:val="none" w:sz="0" w:space="0" w:color="auto"/>
        <w:left w:val="none" w:sz="0" w:space="0" w:color="auto"/>
        <w:bottom w:val="none" w:sz="0" w:space="0" w:color="auto"/>
        <w:right w:val="none" w:sz="0" w:space="0" w:color="auto"/>
      </w:divBdr>
    </w:div>
    <w:div w:id="1288774032">
      <w:bodyDiv w:val="1"/>
      <w:marLeft w:val="0"/>
      <w:marRight w:val="0"/>
      <w:marTop w:val="0"/>
      <w:marBottom w:val="0"/>
      <w:divBdr>
        <w:top w:val="none" w:sz="0" w:space="0" w:color="auto"/>
        <w:left w:val="none" w:sz="0" w:space="0" w:color="auto"/>
        <w:bottom w:val="none" w:sz="0" w:space="0" w:color="auto"/>
        <w:right w:val="none" w:sz="0" w:space="0" w:color="auto"/>
      </w:divBdr>
    </w:div>
    <w:div w:id="1291978191">
      <w:bodyDiv w:val="1"/>
      <w:marLeft w:val="0"/>
      <w:marRight w:val="0"/>
      <w:marTop w:val="0"/>
      <w:marBottom w:val="0"/>
      <w:divBdr>
        <w:top w:val="none" w:sz="0" w:space="0" w:color="auto"/>
        <w:left w:val="none" w:sz="0" w:space="0" w:color="auto"/>
        <w:bottom w:val="none" w:sz="0" w:space="0" w:color="auto"/>
        <w:right w:val="none" w:sz="0" w:space="0" w:color="auto"/>
      </w:divBdr>
    </w:div>
    <w:div w:id="1294291135">
      <w:bodyDiv w:val="1"/>
      <w:marLeft w:val="0"/>
      <w:marRight w:val="0"/>
      <w:marTop w:val="0"/>
      <w:marBottom w:val="0"/>
      <w:divBdr>
        <w:top w:val="none" w:sz="0" w:space="0" w:color="auto"/>
        <w:left w:val="none" w:sz="0" w:space="0" w:color="auto"/>
        <w:bottom w:val="none" w:sz="0" w:space="0" w:color="auto"/>
        <w:right w:val="none" w:sz="0" w:space="0" w:color="auto"/>
      </w:divBdr>
    </w:div>
    <w:div w:id="1294602124">
      <w:bodyDiv w:val="1"/>
      <w:marLeft w:val="0"/>
      <w:marRight w:val="0"/>
      <w:marTop w:val="0"/>
      <w:marBottom w:val="0"/>
      <w:divBdr>
        <w:top w:val="none" w:sz="0" w:space="0" w:color="auto"/>
        <w:left w:val="none" w:sz="0" w:space="0" w:color="auto"/>
        <w:bottom w:val="none" w:sz="0" w:space="0" w:color="auto"/>
        <w:right w:val="none" w:sz="0" w:space="0" w:color="auto"/>
      </w:divBdr>
    </w:div>
    <w:div w:id="1295913468">
      <w:bodyDiv w:val="1"/>
      <w:marLeft w:val="0"/>
      <w:marRight w:val="0"/>
      <w:marTop w:val="0"/>
      <w:marBottom w:val="0"/>
      <w:divBdr>
        <w:top w:val="none" w:sz="0" w:space="0" w:color="auto"/>
        <w:left w:val="none" w:sz="0" w:space="0" w:color="auto"/>
        <w:bottom w:val="none" w:sz="0" w:space="0" w:color="auto"/>
        <w:right w:val="none" w:sz="0" w:space="0" w:color="auto"/>
      </w:divBdr>
      <w:divsChild>
        <w:div w:id="106854400">
          <w:marLeft w:val="0"/>
          <w:marRight w:val="0"/>
          <w:marTop w:val="0"/>
          <w:marBottom w:val="0"/>
          <w:divBdr>
            <w:top w:val="none" w:sz="0" w:space="0" w:color="auto"/>
            <w:left w:val="none" w:sz="0" w:space="0" w:color="auto"/>
            <w:bottom w:val="none" w:sz="0" w:space="0" w:color="auto"/>
            <w:right w:val="none" w:sz="0" w:space="0" w:color="auto"/>
          </w:divBdr>
          <w:divsChild>
            <w:div w:id="576406603">
              <w:marLeft w:val="0"/>
              <w:marRight w:val="0"/>
              <w:marTop w:val="0"/>
              <w:marBottom w:val="0"/>
              <w:divBdr>
                <w:top w:val="none" w:sz="0" w:space="0" w:color="auto"/>
                <w:left w:val="none" w:sz="0" w:space="0" w:color="auto"/>
                <w:bottom w:val="none" w:sz="0" w:space="0" w:color="auto"/>
                <w:right w:val="none" w:sz="0" w:space="0" w:color="auto"/>
              </w:divBdr>
              <w:divsChild>
                <w:div w:id="2600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87981">
      <w:bodyDiv w:val="1"/>
      <w:marLeft w:val="0"/>
      <w:marRight w:val="0"/>
      <w:marTop w:val="0"/>
      <w:marBottom w:val="0"/>
      <w:divBdr>
        <w:top w:val="none" w:sz="0" w:space="0" w:color="auto"/>
        <w:left w:val="none" w:sz="0" w:space="0" w:color="auto"/>
        <w:bottom w:val="none" w:sz="0" w:space="0" w:color="auto"/>
        <w:right w:val="none" w:sz="0" w:space="0" w:color="auto"/>
      </w:divBdr>
      <w:divsChild>
        <w:div w:id="364670715">
          <w:marLeft w:val="0"/>
          <w:marRight w:val="0"/>
          <w:marTop w:val="0"/>
          <w:marBottom w:val="0"/>
          <w:divBdr>
            <w:top w:val="none" w:sz="0" w:space="0" w:color="auto"/>
            <w:left w:val="none" w:sz="0" w:space="0" w:color="auto"/>
            <w:bottom w:val="none" w:sz="0" w:space="0" w:color="auto"/>
            <w:right w:val="none" w:sz="0" w:space="0" w:color="auto"/>
          </w:divBdr>
          <w:divsChild>
            <w:div w:id="631636355">
              <w:marLeft w:val="0"/>
              <w:marRight w:val="0"/>
              <w:marTop w:val="0"/>
              <w:marBottom w:val="0"/>
              <w:divBdr>
                <w:top w:val="none" w:sz="0" w:space="0" w:color="auto"/>
                <w:left w:val="none" w:sz="0" w:space="0" w:color="auto"/>
                <w:bottom w:val="none" w:sz="0" w:space="0" w:color="auto"/>
                <w:right w:val="none" w:sz="0" w:space="0" w:color="auto"/>
              </w:divBdr>
              <w:divsChild>
                <w:div w:id="1566137021">
                  <w:marLeft w:val="0"/>
                  <w:marRight w:val="0"/>
                  <w:marTop w:val="0"/>
                  <w:marBottom w:val="0"/>
                  <w:divBdr>
                    <w:top w:val="none" w:sz="0" w:space="0" w:color="auto"/>
                    <w:left w:val="none" w:sz="0" w:space="0" w:color="auto"/>
                    <w:bottom w:val="none" w:sz="0" w:space="0" w:color="auto"/>
                    <w:right w:val="none" w:sz="0" w:space="0" w:color="auto"/>
                  </w:divBdr>
                  <w:divsChild>
                    <w:div w:id="182342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694908">
      <w:bodyDiv w:val="1"/>
      <w:marLeft w:val="0"/>
      <w:marRight w:val="0"/>
      <w:marTop w:val="0"/>
      <w:marBottom w:val="0"/>
      <w:divBdr>
        <w:top w:val="none" w:sz="0" w:space="0" w:color="auto"/>
        <w:left w:val="none" w:sz="0" w:space="0" w:color="auto"/>
        <w:bottom w:val="none" w:sz="0" w:space="0" w:color="auto"/>
        <w:right w:val="none" w:sz="0" w:space="0" w:color="auto"/>
      </w:divBdr>
      <w:divsChild>
        <w:div w:id="1723795201">
          <w:marLeft w:val="0"/>
          <w:marRight w:val="0"/>
          <w:marTop w:val="0"/>
          <w:marBottom w:val="0"/>
          <w:divBdr>
            <w:top w:val="none" w:sz="0" w:space="0" w:color="auto"/>
            <w:left w:val="none" w:sz="0" w:space="0" w:color="auto"/>
            <w:bottom w:val="none" w:sz="0" w:space="0" w:color="auto"/>
            <w:right w:val="none" w:sz="0" w:space="0" w:color="auto"/>
          </w:divBdr>
          <w:divsChild>
            <w:div w:id="1418407221">
              <w:marLeft w:val="0"/>
              <w:marRight w:val="0"/>
              <w:marTop w:val="0"/>
              <w:marBottom w:val="0"/>
              <w:divBdr>
                <w:top w:val="none" w:sz="0" w:space="0" w:color="auto"/>
                <w:left w:val="none" w:sz="0" w:space="0" w:color="auto"/>
                <w:bottom w:val="none" w:sz="0" w:space="0" w:color="auto"/>
                <w:right w:val="none" w:sz="0" w:space="0" w:color="auto"/>
              </w:divBdr>
              <w:divsChild>
                <w:div w:id="3797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5534">
      <w:bodyDiv w:val="1"/>
      <w:marLeft w:val="0"/>
      <w:marRight w:val="0"/>
      <w:marTop w:val="0"/>
      <w:marBottom w:val="0"/>
      <w:divBdr>
        <w:top w:val="none" w:sz="0" w:space="0" w:color="auto"/>
        <w:left w:val="none" w:sz="0" w:space="0" w:color="auto"/>
        <w:bottom w:val="none" w:sz="0" w:space="0" w:color="auto"/>
        <w:right w:val="none" w:sz="0" w:space="0" w:color="auto"/>
      </w:divBdr>
      <w:divsChild>
        <w:div w:id="1963458759">
          <w:marLeft w:val="0"/>
          <w:marRight w:val="0"/>
          <w:marTop w:val="0"/>
          <w:marBottom w:val="0"/>
          <w:divBdr>
            <w:top w:val="none" w:sz="0" w:space="0" w:color="auto"/>
            <w:left w:val="none" w:sz="0" w:space="0" w:color="auto"/>
            <w:bottom w:val="none" w:sz="0" w:space="0" w:color="auto"/>
            <w:right w:val="none" w:sz="0" w:space="0" w:color="auto"/>
          </w:divBdr>
          <w:divsChild>
            <w:div w:id="743647">
              <w:marLeft w:val="0"/>
              <w:marRight w:val="0"/>
              <w:marTop w:val="0"/>
              <w:marBottom w:val="0"/>
              <w:divBdr>
                <w:top w:val="none" w:sz="0" w:space="0" w:color="auto"/>
                <w:left w:val="none" w:sz="0" w:space="0" w:color="auto"/>
                <w:bottom w:val="none" w:sz="0" w:space="0" w:color="auto"/>
                <w:right w:val="none" w:sz="0" w:space="0" w:color="auto"/>
              </w:divBdr>
              <w:divsChild>
                <w:div w:id="1868248908">
                  <w:marLeft w:val="0"/>
                  <w:marRight w:val="0"/>
                  <w:marTop w:val="0"/>
                  <w:marBottom w:val="0"/>
                  <w:divBdr>
                    <w:top w:val="none" w:sz="0" w:space="0" w:color="auto"/>
                    <w:left w:val="none" w:sz="0" w:space="0" w:color="auto"/>
                    <w:bottom w:val="none" w:sz="0" w:space="0" w:color="auto"/>
                    <w:right w:val="none" w:sz="0" w:space="0" w:color="auto"/>
                  </w:divBdr>
                  <w:divsChild>
                    <w:div w:id="59004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349821">
      <w:bodyDiv w:val="1"/>
      <w:marLeft w:val="0"/>
      <w:marRight w:val="0"/>
      <w:marTop w:val="0"/>
      <w:marBottom w:val="0"/>
      <w:divBdr>
        <w:top w:val="none" w:sz="0" w:space="0" w:color="auto"/>
        <w:left w:val="none" w:sz="0" w:space="0" w:color="auto"/>
        <w:bottom w:val="none" w:sz="0" w:space="0" w:color="auto"/>
        <w:right w:val="none" w:sz="0" w:space="0" w:color="auto"/>
      </w:divBdr>
    </w:div>
    <w:div w:id="1319269815">
      <w:bodyDiv w:val="1"/>
      <w:marLeft w:val="0"/>
      <w:marRight w:val="0"/>
      <w:marTop w:val="0"/>
      <w:marBottom w:val="0"/>
      <w:divBdr>
        <w:top w:val="none" w:sz="0" w:space="0" w:color="auto"/>
        <w:left w:val="none" w:sz="0" w:space="0" w:color="auto"/>
        <w:bottom w:val="none" w:sz="0" w:space="0" w:color="auto"/>
        <w:right w:val="none" w:sz="0" w:space="0" w:color="auto"/>
      </w:divBdr>
    </w:div>
    <w:div w:id="1327242147">
      <w:bodyDiv w:val="1"/>
      <w:marLeft w:val="0"/>
      <w:marRight w:val="0"/>
      <w:marTop w:val="0"/>
      <w:marBottom w:val="0"/>
      <w:divBdr>
        <w:top w:val="none" w:sz="0" w:space="0" w:color="auto"/>
        <w:left w:val="none" w:sz="0" w:space="0" w:color="auto"/>
        <w:bottom w:val="none" w:sz="0" w:space="0" w:color="auto"/>
        <w:right w:val="none" w:sz="0" w:space="0" w:color="auto"/>
      </w:divBdr>
    </w:div>
    <w:div w:id="1329753427">
      <w:bodyDiv w:val="1"/>
      <w:marLeft w:val="0"/>
      <w:marRight w:val="0"/>
      <w:marTop w:val="0"/>
      <w:marBottom w:val="0"/>
      <w:divBdr>
        <w:top w:val="none" w:sz="0" w:space="0" w:color="auto"/>
        <w:left w:val="none" w:sz="0" w:space="0" w:color="auto"/>
        <w:bottom w:val="none" w:sz="0" w:space="0" w:color="auto"/>
        <w:right w:val="none" w:sz="0" w:space="0" w:color="auto"/>
      </w:divBdr>
    </w:div>
    <w:div w:id="1335107619">
      <w:bodyDiv w:val="1"/>
      <w:marLeft w:val="0"/>
      <w:marRight w:val="0"/>
      <w:marTop w:val="0"/>
      <w:marBottom w:val="0"/>
      <w:divBdr>
        <w:top w:val="none" w:sz="0" w:space="0" w:color="auto"/>
        <w:left w:val="none" w:sz="0" w:space="0" w:color="auto"/>
        <w:bottom w:val="none" w:sz="0" w:space="0" w:color="auto"/>
        <w:right w:val="none" w:sz="0" w:space="0" w:color="auto"/>
      </w:divBdr>
    </w:div>
    <w:div w:id="1336617221">
      <w:bodyDiv w:val="1"/>
      <w:marLeft w:val="0"/>
      <w:marRight w:val="0"/>
      <w:marTop w:val="0"/>
      <w:marBottom w:val="0"/>
      <w:divBdr>
        <w:top w:val="none" w:sz="0" w:space="0" w:color="auto"/>
        <w:left w:val="none" w:sz="0" w:space="0" w:color="auto"/>
        <w:bottom w:val="none" w:sz="0" w:space="0" w:color="auto"/>
        <w:right w:val="none" w:sz="0" w:space="0" w:color="auto"/>
      </w:divBdr>
    </w:div>
    <w:div w:id="1344357253">
      <w:bodyDiv w:val="1"/>
      <w:marLeft w:val="0"/>
      <w:marRight w:val="0"/>
      <w:marTop w:val="0"/>
      <w:marBottom w:val="0"/>
      <w:divBdr>
        <w:top w:val="none" w:sz="0" w:space="0" w:color="auto"/>
        <w:left w:val="none" w:sz="0" w:space="0" w:color="auto"/>
        <w:bottom w:val="none" w:sz="0" w:space="0" w:color="auto"/>
        <w:right w:val="none" w:sz="0" w:space="0" w:color="auto"/>
      </w:divBdr>
    </w:div>
    <w:div w:id="1349990594">
      <w:bodyDiv w:val="1"/>
      <w:marLeft w:val="0"/>
      <w:marRight w:val="0"/>
      <w:marTop w:val="0"/>
      <w:marBottom w:val="0"/>
      <w:divBdr>
        <w:top w:val="none" w:sz="0" w:space="0" w:color="auto"/>
        <w:left w:val="none" w:sz="0" w:space="0" w:color="auto"/>
        <w:bottom w:val="none" w:sz="0" w:space="0" w:color="auto"/>
        <w:right w:val="none" w:sz="0" w:space="0" w:color="auto"/>
      </w:divBdr>
    </w:div>
    <w:div w:id="1369262361">
      <w:bodyDiv w:val="1"/>
      <w:marLeft w:val="0"/>
      <w:marRight w:val="0"/>
      <w:marTop w:val="0"/>
      <w:marBottom w:val="0"/>
      <w:divBdr>
        <w:top w:val="none" w:sz="0" w:space="0" w:color="auto"/>
        <w:left w:val="none" w:sz="0" w:space="0" w:color="auto"/>
        <w:bottom w:val="none" w:sz="0" w:space="0" w:color="auto"/>
        <w:right w:val="none" w:sz="0" w:space="0" w:color="auto"/>
      </w:divBdr>
    </w:div>
    <w:div w:id="1385367969">
      <w:bodyDiv w:val="1"/>
      <w:marLeft w:val="0"/>
      <w:marRight w:val="0"/>
      <w:marTop w:val="0"/>
      <w:marBottom w:val="0"/>
      <w:divBdr>
        <w:top w:val="none" w:sz="0" w:space="0" w:color="auto"/>
        <w:left w:val="none" w:sz="0" w:space="0" w:color="auto"/>
        <w:bottom w:val="none" w:sz="0" w:space="0" w:color="auto"/>
        <w:right w:val="none" w:sz="0" w:space="0" w:color="auto"/>
      </w:divBdr>
      <w:divsChild>
        <w:div w:id="1701784955">
          <w:marLeft w:val="0"/>
          <w:marRight w:val="0"/>
          <w:marTop w:val="0"/>
          <w:marBottom w:val="0"/>
          <w:divBdr>
            <w:top w:val="none" w:sz="0" w:space="0" w:color="auto"/>
            <w:left w:val="none" w:sz="0" w:space="0" w:color="auto"/>
            <w:bottom w:val="none" w:sz="0" w:space="0" w:color="auto"/>
            <w:right w:val="none" w:sz="0" w:space="0" w:color="auto"/>
          </w:divBdr>
          <w:divsChild>
            <w:div w:id="1567763785">
              <w:marLeft w:val="0"/>
              <w:marRight w:val="0"/>
              <w:marTop w:val="0"/>
              <w:marBottom w:val="0"/>
              <w:divBdr>
                <w:top w:val="none" w:sz="0" w:space="0" w:color="auto"/>
                <w:left w:val="none" w:sz="0" w:space="0" w:color="auto"/>
                <w:bottom w:val="none" w:sz="0" w:space="0" w:color="auto"/>
                <w:right w:val="none" w:sz="0" w:space="0" w:color="auto"/>
              </w:divBdr>
              <w:divsChild>
                <w:div w:id="1902977616">
                  <w:marLeft w:val="0"/>
                  <w:marRight w:val="0"/>
                  <w:marTop w:val="0"/>
                  <w:marBottom w:val="0"/>
                  <w:divBdr>
                    <w:top w:val="none" w:sz="0" w:space="0" w:color="auto"/>
                    <w:left w:val="none" w:sz="0" w:space="0" w:color="auto"/>
                    <w:bottom w:val="none" w:sz="0" w:space="0" w:color="auto"/>
                    <w:right w:val="none" w:sz="0" w:space="0" w:color="auto"/>
                  </w:divBdr>
                  <w:divsChild>
                    <w:div w:id="3290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830585">
      <w:bodyDiv w:val="1"/>
      <w:marLeft w:val="0"/>
      <w:marRight w:val="0"/>
      <w:marTop w:val="0"/>
      <w:marBottom w:val="0"/>
      <w:divBdr>
        <w:top w:val="none" w:sz="0" w:space="0" w:color="auto"/>
        <w:left w:val="none" w:sz="0" w:space="0" w:color="auto"/>
        <w:bottom w:val="none" w:sz="0" w:space="0" w:color="auto"/>
        <w:right w:val="none" w:sz="0" w:space="0" w:color="auto"/>
      </w:divBdr>
    </w:div>
    <w:div w:id="1403528032">
      <w:bodyDiv w:val="1"/>
      <w:marLeft w:val="0"/>
      <w:marRight w:val="0"/>
      <w:marTop w:val="0"/>
      <w:marBottom w:val="0"/>
      <w:divBdr>
        <w:top w:val="none" w:sz="0" w:space="0" w:color="auto"/>
        <w:left w:val="none" w:sz="0" w:space="0" w:color="auto"/>
        <w:bottom w:val="none" w:sz="0" w:space="0" w:color="auto"/>
        <w:right w:val="none" w:sz="0" w:space="0" w:color="auto"/>
      </w:divBdr>
    </w:div>
    <w:div w:id="1423530816">
      <w:bodyDiv w:val="1"/>
      <w:marLeft w:val="0"/>
      <w:marRight w:val="0"/>
      <w:marTop w:val="0"/>
      <w:marBottom w:val="0"/>
      <w:divBdr>
        <w:top w:val="none" w:sz="0" w:space="0" w:color="auto"/>
        <w:left w:val="none" w:sz="0" w:space="0" w:color="auto"/>
        <w:bottom w:val="none" w:sz="0" w:space="0" w:color="auto"/>
        <w:right w:val="none" w:sz="0" w:space="0" w:color="auto"/>
      </w:divBdr>
    </w:div>
    <w:div w:id="1429110626">
      <w:bodyDiv w:val="1"/>
      <w:marLeft w:val="0"/>
      <w:marRight w:val="0"/>
      <w:marTop w:val="0"/>
      <w:marBottom w:val="0"/>
      <w:divBdr>
        <w:top w:val="none" w:sz="0" w:space="0" w:color="auto"/>
        <w:left w:val="none" w:sz="0" w:space="0" w:color="auto"/>
        <w:bottom w:val="none" w:sz="0" w:space="0" w:color="auto"/>
        <w:right w:val="none" w:sz="0" w:space="0" w:color="auto"/>
      </w:divBdr>
    </w:div>
    <w:div w:id="1431313849">
      <w:bodyDiv w:val="1"/>
      <w:marLeft w:val="0"/>
      <w:marRight w:val="0"/>
      <w:marTop w:val="0"/>
      <w:marBottom w:val="0"/>
      <w:divBdr>
        <w:top w:val="none" w:sz="0" w:space="0" w:color="auto"/>
        <w:left w:val="none" w:sz="0" w:space="0" w:color="auto"/>
        <w:bottom w:val="none" w:sz="0" w:space="0" w:color="auto"/>
        <w:right w:val="none" w:sz="0" w:space="0" w:color="auto"/>
      </w:divBdr>
    </w:div>
    <w:div w:id="1434668708">
      <w:bodyDiv w:val="1"/>
      <w:marLeft w:val="0"/>
      <w:marRight w:val="0"/>
      <w:marTop w:val="0"/>
      <w:marBottom w:val="0"/>
      <w:divBdr>
        <w:top w:val="none" w:sz="0" w:space="0" w:color="auto"/>
        <w:left w:val="none" w:sz="0" w:space="0" w:color="auto"/>
        <w:bottom w:val="none" w:sz="0" w:space="0" w:color="auto"/>
        <w:right w:val="none" w:sz="0" w:space="0" w:color="auto"/>
      </w:divBdr>
    </w:div>
    <w:div w:id="1446458611">
      <w:bodyDiv w:val="1"/>
      <w:marLeft w:val="0"/>
      <w:marRight w:val="0"/>
      <w:marTop w:val="0"/>
      <w:marBottom w:val="0"/>
      <w:divBdr>
        <w:top w:val="none" w:sz="0" w:space="0" w:color="auto"/>
        <w:left w:val="none" w:sz="0" w:space="0" w:color="auto"/>
        <w:bottom w:val="none" w:sz="0" w:space="0" w:color="auto"/>
        <w:right w:val="none" w:sz="0" w:space="0" w:color="auto"/>
      </w:divBdr>
    </w:div>
    <w:div w:id="1449277417">
      <w:bodyDiv w:val="1"/>
      <w:marLeft w:val="0"/>
      <w:marRight w:val="0"/>
      <w:marTop w:val="0"/>
      <w:marBottom w:val="0"/>
      <w:divBdr>
        <w:top w:val="none" w:sz="0" w:space="0" w:color="auto"/>
        <w:left w:val="none" w:sz="0" w:space="0" w:color="auto"/>
        <w:bottom w:val="none" w:sz="0" w:space="0" w:color="auto"/>
        <w:right w:val="none" w:sz="0" w:space="0" w:color="auto"/>
      </w:divBdr>
      <w:divsChild>
        <w:div w:id="1070809465">
          <w:marLeft w:val="0"/>
          <w:marRight w:val="0"/>
          <w:marTop w:val="0"/>
          <w:marBottom w:val="0"/>
          <w:divBdr>
            <w:top w:val="none" w:sz="0" w:space="0" w:color="auto"/>
            <w:left w:val="none" w:sz="0" w:space="0" w:color="auto"/>
            <w:bottom w:val="none" w:sz="0" w:space="0" w:color="auto"/>
            <w:right w:val="none" w:sz="0" w:space="0" w:color="auto"/>
          </w:divBdr>
          <w:divsChild>
            <w:div w:id="38475659">
              <w:marLeft w:val="0"/>
              <w:marRight w:val="0"/>
              <w:marTop w:val="0"/>
              <w:marBottom w:val="0"/>
              <w:divBdr>
                <w:top w:val="none" w:sz="0" w:space="0" w:color="auto"/>
                <w:left w:val="none" w:sz="0" w:space="0" w:color="auto"/>
                <w:bottom w:val="none" w:sz="0" w:space="0" w:color="auto"/>
                <w:right w:val="none" w:sz="0" w:space="0" w:color="auto"/>
              </w:divBdr>
              <w:divsChild>
                <w:div w:id="531648084">
                  <w:marLeft w:val="0"/>
                  <w:marRight w:val="0"/>
                  <w:marTop w:val="0"/>
                  <w:marBottom w:val="0"/>
                  <w:divBdr>
                    <w:top w:val="none" w:sz="0" w:space="0" w:color="auto"/>
                    <w:left w:val="none" w:sz="0" w:space="0" w:color="auto"/>
                    <w:bottom w:val="none" w:sz="0" w:space="0" w:color="auto"/>
                    <w:right w:val="none" w:sz="0" w:space="0" w:color="auto"/>
                  </w:divBdr>
                  <w:divsChild>
                    <w:div w:id="3933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130178">
      <w:bodyDiv w:val="1"/>
      <w:marLeft w:val="0"/>
      <w:marRight w:val="0"/>
      <w:marTop w:val="0"/>
      <w:marBottom w:val="0"/>
      <w:divBdr>
        <w:top w:val="none" w:sz="0" w:space="0" w:color="auto"/>
        <w:left w:val="none" w:sz="0" w:space="0" w:color="auto"/>
        <w:bottom w:val="none" w:sz="0" w:space="0" w:color="auto"/>
        <w:right w:val="none" w:sz="0" w:space="0" w:color="auto"/>
      </w:divBdr>
    </w:div>
    <w:div w:id="1455101412">
      <w:bodyDiv w:val="1"/>
      <w:marLeft w:val="0"/>
      <w:marRight w:val="0"/>
      <w:marTop w:val="0"/>
      <w:marBottom w:val="0"/>
      <w:divBdr>
        <w:top w:val="none" w:sz="0" w:space="0" w:color="auto"/>
        <w:left w:val="none" w:sz="0" w:space="0" w:color="auto"/>
        <w:bottom w:val="none" w:sz="0" w:space="0" w:color="auto"/>
        <w:right w:val="none" w:sz="0" w:space="0" w:color="auto"/>
      </w:divBdr>
    </w:div>
    <w:div w:id="1456558212">
      <w:bodyDiv w:val="1"/>
      <w:marLeft w:val="0"/>
      <w:marRight w:val="0"/>
      <w:marTop w:val="0"/>
      <w:marBottom w:val="0"/>
      <w:divBdr>
        <w:top w:val="none" w:sz="0" w:space="0" w:color="auto"/>
        <w:left w:val="none" w:sz="0" w:space="0" w:color="auto"/>
        <w:bottom w:val="none" w:sz="0" w:space="0" w:color="auto"/>
        <w:right w:val="none" w:sz="0" w:space="0" w:color="auto"/>
      </w:divBdr>
      <w:divsChild>
        <w:div w:id="1600604938">
          <w:marLeft w:val="0"/>
          <w:marRight w:val="0"/>
          <w:marTop w:val="0"/>
          <w:marBottom w:val="0"/>
          <w:divBdr>
            <w:top w:val="none" w:sz="0" w:space="0" w:color="auto"/>
            <w:left w:val="none" w:sz="0" w:space="0" w:color="auto"/>
            <w:bottom w:val="none" w:sz="0" w:space="0" w:color="auto"/>
            <w:right w:val="none" w:sz="0" w:space="0" w:color="auto"/>
          </w:divBdr>
          <w:divsChild>
            <w:div w:id="1698383779">
              <w:marLeft w:val="0"/>
              <w:marRight w:val="0"/>
              <w:marTop w:val="0"/>
              <w:marBottom w:val="0"/>
              <w:divBdr>
                <w:top w:val="none" w:sz="0" w:space="0" w:color="auto"/>
                <w:left w:val="none" w:sz="0" w:space="0" w:color="auto"/>
                <w:bottom w:val="none" w:sz="0" w:space="0" w:color="auto"/>
                <w:right w:val="none" w:sz="0" w:space="0" w:color="auto"/>
              </w:divBdr>
              <w:divsChild>
                <w:div w:id="619334600">
                  <w:marLeft w:val="0"/>
                  <w:marRight w:val="0"/>
                  <w:marTop w:val="0"/>
                  <w:marBottom w:val="0"/>
                  <w:divBdr>
                    <w:top w:val="none" w:sz="0" w:space="0" w:color="auto"/>
                    <w:left w:val="none" w:sz="0" w:space="0" w:color="auto"/>
                    <w:bottom w:val="none" w:sz="0" w:space="0" w:color="auto"/>
                    <w:right w:val="none" w:sz="0" w:space="0" w:color="auto"/>
                  </w:divBdr>
                  <w:divsChild>
                    <w:div w:id="13383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3952">
      <w:bodyDiv w:val="1"/>
      <w:marLeft w:val="0"/>
      <w:marRight w:val="0"/>
      <w:marTop w:val="0"/>
      <w:marBottom w:val="0"/>
      <w:divBdr>
        <w:top w:val="none" w:sz="0" w:space="0" w:color="auto"/>
        <w:left w:val="none" w:sz="0" w:space="0" w:color="auto"/>
        <w:bottom w:val="none" w:sz="0" w:space="0" w:color="auto"/>
        <w:right w:val="none" w:sz="0" w:space="0" w:color="auto"/>
      </w:divBdr>
    </w:div>
    <w:div w:id="1462726635">
      <w:bodyDiv w:val="1"/>
      <w:marLeft w:val="0"/>
      <w:marRight w:val="0"/>
      <w:marTop w:val="0"/>
      <w:marBottom w:val="0"/>
      <w:divBdr>
        <w:top w:val="none" w:sz="0" w:space="0" w:color="auto"/>
        <w:left w:val="none" w:sz="0" w:space="0" w:color="auto"/>
        <w:bottom w:val="none" w:sz="0" w:space="0" w:color="auto"/>
        <w:right w:val="none" w:sz="0" w:space="0" w:color="auto"/>
      </w:divBdr>
    </w:div>
    <w:div w:id="1466850652">
      <w:bodyDiv w:val="1"/>
      <w:marLeft w:val="0"/>
      <w:marRight w:val="0"/>
      <w:marTop w:val="0"/>
      <w:marBottom w:val="0"/>
      <w:divBdr>
        <w:top w:val="none" w:sz="0" w:space="0" w:color="auto"/>
        <w:left w:val="none" w:sz="0" w:space="0" w:color="auto"/>
        <w:bottom w:val="none" w:sz="0" w:space="0" w:color="auto"/>
        <w:right w:val="none" w:sz="0" w:space="0" w:color="auto"/>
      </w:divBdr>
    </w:div>
    <w:div w:id="1478571907">
      <w:bodyDiv w:val="1"/>
      <w:marLeft w:val="0"/>
      <w:marRight w:val="0"/>
      <w:marTop w:val="0"/>
      <w:marBottom w:val="0"/>
      <w:divBdr>
        <w:top w:val="none" w:sz="0" w:space="0" w:color="auto"/>
        <w:left w:val="none" w:sz="0" w:space="0" w:color="auto"/>
        <w:bottom w:val="none" w:sz="0" w:space="0" w:color="auto"/>
        <w:right w:val="none" w:sz="0" w:space="0" w:color="auto"/>
      </w:divBdr>
    </w:div>
    <w:div w:id="1480685682">
      <w:bodyDiv w:val="1"/>
      <w:marLeft w:val="0"/>
      <w:marRight w:val="0"/>
      <w:marTop w:val="0"/>
      <w:marBottom w:val="0"/>
      <w:divBdr>
        <w:top w:val="none" w:sz="0" w:space="0" w:color="auto"/>
        <w:left w:val="none" w:sz="0" w:space="0" w:color="auto"/>
        <w:bottom w:val="none" w:sz="0" w:space="0" w:color="auto"/>
        <w:right w:val="none" w:sz="0" w:space="0" w:color="auto"/>
      </w:divBdr>
      <w:divsChild>
        <w:div w:id="355547389">
          <w:marLeft w:val="0"/>
          <w:marRight w:val="0"/>
          <w:marTop w:val="0"/>
          <w:marBottom w:val="0"/>
          <w:divBdr>
            <w:top w:val="none" w:sz="0" w:space="0" w:color="auto"/>
            <w:left w:val="none" w:sz="0" w:space="0" w:color="auto"/>
            <w:bottom w:val="none" w:sz="0" w:space="0" w:color="auto"/>
            <w:right w:val="none" w:sz="0" w:space="0" w:color="auto"/>
          </w:divBdr>
          <w:divsChild>
            <w:div w:id="966397069">
              <w:marLeft w:val="0"/>
              <w:marRight w:val="0"/>
              <w:marTop w:val="0"/>
              <w:marBottom w:val="0"/>
              <w:divBdr>
                <w:top w:val="none" w:sz="0" w:space="0" w:color="auto"/>
                <w:left w:val="none" w:sz="0" w:space="0" w:color="auto"/>
                <w:bottom w:val="none" w:sz="0" w:space="0" w:color="auto"/>
                <w:right w:val="none" w:sz="0" w:space="0" w:color="auto"/>
              </w:divBdr>
              <w:divsChild>
                <w:div w:id="380717429">
                  <w:marLeft w:val="0"/>
                  <w:marRight w:val="0"/>
                  <w:marTop w:val="0"/>
                  <w:marBottom w:val="0"/>
                  <w:divBdr>
                    <w:top w:val="none" w:sz="0" w:space="0" w:color="auto"/>
                    <w:left w:val="none" w:sz="0" w:space="0" w:color="auto"/>
                    <w:bottom w:val="none" w:sz="0" w:space="0" w:color="auto"/>
                    <w:right w:val="none" w:sz="0" w:space="0" w:color="auto"/>
                  </w:divBdr>
                  <w:divsChild>
                    <w:div w:id="11472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195008">
      <w:bodyDiv w:val="1"/>
      <w:marLeft w:val="0"/>
      <w:marRight w:val="0"/>
      <w:marTop w:val="0"/>
      <w:marBottom w:val="0"/>
      <w:divBdr>
        <w:top w:val="none" w:sz="0" w:space="0" w:color="auto"/>
        <w:left w:val="none" w:sz="0" w:space="0" w:color="auto"/>
        <w:bottom w:val="none" w:sz="0" w:space="0" w:color="auto"/>
        <w:right w:val="none" w:sz="0" w:space="0" w:color="auto"/>
      </w:divBdr>
      <w:divsChild>
        <w:div w:id="1262369615">
          <w:marLeft w:val="0"/>
          <w:marRight w:val="0"/>
          <w:marTop w:val="0"/>
          <w:marBottom w:val="0"/>
          <w:divBdr>
            <w:top w:val="none" w:sz="0" w:space="0" w:color="auto"/>
            <w:left w:val="none" w:sz="0" w:space="0" w:color="auto"/>
            <w:bottom w:val="none" w:sz="0" w:space="0" w:color="auto"/>
            <w:right w:val="none" w:sz="0" w:space="0" w:color="auto"/>
          </w:divBdr>
          <w:divsChild>
            <w:div w:id="511991660">
              <w:marLeft w:val="0"/>
              <w:marRight w:val="0"/>
              <w:marTop w:val="0"/>
              <w:marBottom w:val="0"/>
              <w:divBdr>
                <w:top w:val="none" w:sz="0" w:space="0" w:color="auto"/>
                <w:left w:val="none" w:sz="0" w:space="0" w:color="auto"/>
                <w:bottom w:val="none" w:sz="0" w:space="0" w:color="auto"/>
                <w:right w:val="none" w:sz="0" w:space="0" w:color="auto"/>
              </w:divBdr>
              <w:divsChild>
                <w:div w:id="11581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25154">
      <w:bodyDiv w:val="1"/>
      <w:marLeft w:val="0"/>
      <w:marRight w:val="0"/>
      <w:marTop w:val="0"/>
      <w:marBottom w:val="0"/>
      <w:divBdr>
        <w:top w:val="none" w:sz="0" w:space="0" w:color="auto"/>
        <w:left w:val="none" w:sz="0" w:space="0" w:color="auto"/>
        <w:bottom w:val="none" w:sz="0" w:space="0" w:color="auto"/>
        <w:right w:val="none" w:sz="0" w:space="0" w:color="auto"/>
      </w:divBdr>
      <w:divsChild>
        <w:div w:id="1961567807">
          <w:marLeft w:val="0"/>
          <w:marRight w:val="0"/>
          <w:marTop w:val="0"/>
          <w:marBottom w:val="0"/>
          <w:divBdr>
            <w:top w:val="none" w:sz="0" w:space="0" w:color="auto"/>
            <w:left w:val="none" w:sz="0" w:space="0" w:color="auto"/>
            <w:bottom w:val="none" w:sz="0" w:space="0" w:color="auto"/>
            <w:right w:val="none" w:sz="0" w:space="0" w:color="auto"/>
          </w:divBdr>
          <w:divsChild>
            <w:div w:id="1201473780">
              <w:marLeft w:val="0"/>
              <w:marRight w:val="0"/>
              <w:marTop w:val="0"/>
              <w:marBottom w:val="0"/>
              <w:divBdr>
                <w:top w:val="none" w:sz="0" w:space="0" w:color="auto"/>
                <w:left w:val="none" w:sz="0" w:space="0" w:color="auto"/>
                <w:bottom w:val="none" w:sz="0" w:space="0" w:color="auto"/>
                <w:right w:val="none" w:sz="0" w:space="0" w:color="auto"/>
              </w:divBdr>
              <w:divsChild>
                <w:div w:id="88771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88324">
      <w:bodyDiv w:val="1"/>
      <w:marLeft w:val="0"/>
      <w:marRight w:val="0"/>
      <w:marTop w:val="0"/>
      <w:marBottom w:val="0"/>
      <w:divBdr>
        <w:top w:val="none" w:sz="0" w:space="0" w:color="auto"/>
        <w:left w:val="none" w:sz="0" w:space="0" w:color="auto"/>
        <w:bottom w:val="none" w:sz="0" w:space="0" w:color="auto"/>
        <w:right w:val="none" w:sz="0" w:space="0" w:color="auto"/>
      </w:divBdr>
    </w:div>
    <w:div w:id="1503203909">
      <w:bodyDiv w:val="1"/>
      <w:marLeft w:val="0"/>
      <w:marRight w:val="0"/>
      <w:marTop w:val="0"/>
      <w:marBottom w:val="0"/>
      <w:divBdr>
        <w:top w:val="none" w:sz="0" w:space="0" w:color="auto"/>
        <w:left w:val="none" w:sz="0" w:space="0" w:color="auto"/>
        <w:bottom w:val="none" w:sz="0" w:space="0" w:color="auto"/>
        <w:right w:val="none" w:sz="0" w:space="0" w:color="auto"/>
      </w:divBdr>
    </w:div>
    <w:div w:id="1508908354">
      <w:bodyDiv w:val="1"/>
      <w:marLeft w:val="0"/>
      <w:marRight w:val="0"/>
      <w:marTop w:val="0"/>
      <w:marBottom w:val="0"/>
      <w:divBdr>
        <w:top w:val="none" w:sz="0" w:space="0" w:color="auto"/>
        <w:left w:val="none" w:sz="0" w:space="0" w:color="auto"/>
        <w:bottom w:val="none" w:sz="0" w:space="0" w:color="auto"/>
        <w:right w:val="none" w:sz="0" w:space="0" w:color="auto"/>
      </w:divBdr>
      <w:divsChild>
        <w:div w:id="1749231344">
          <w:marLeft w:val="0"/>
          <w:marRight w:val="0"/>
          <w:marTop w:val="0"/>
          <w:marBottom w:val="0"/>
          <w:divBdr>
            <w:top w:val="none" w:sz="0" w:space="0" w:color="auto"/>
            <w:left w:val="none" w:sz="0" w:space="0" w:color="auto"/>
            <w:bottom w:val="none" w:sz="0" w:space="0" w:color="auto"/>
            <w:right w:val="none" w:sz="0" w:space="0" w:color="auto"/>
          </w:divBdr>
          <w:divsChild>
            <w:div w:id="2042976528">
              <w:marLeft w:val="0"/>
              <w:marRight w:val="0"/>
              <w:marTop w:val="0"/>
              <w:marBottom w:val="0"/>
              <w:divBdr>
                <w:top w:val="none" w:sz="0" w:space="0" w:color="auto"/>
                <w:left w:val="none" w:sz="0" w:space="0" w:color="auto"/>
                <w:bottom w:val="none" w:sz="0" w:space="0" w:color="auto"/>
                <w:right w:val="none" w:sz="0" w:space="0" w:color="auto"/>
              </w:divBdr>
              <w:divsChild>
                <w:div w:id="1546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81915">
      <w:bodyDiv w:val="1"/>
      <w:marLeft w:val="0"/>
      <w:marRight w:val="0"/>
      <w:marTop w:val="0"/>
      <w:marBottom w:val="0"/>
      <w:divBdr>
        <w:top w:val="none" w:sz="0" w:space="0" w:color="auto"/>
        <w:left w:val="none" w:sz="0" w:space="0" w:color="auto"/>
        <w:bottom w:val="none" w:sz="0" w:space="0" w:color="auto"/>
        <w:right w:val="none" w:sz="0" w:space="0" w:color="auto"/>
      </w:divBdr>
    </w:div>
    <w:div w:id="1517227716">
      <w:bodyDiv w:val="1"/>
      <w:marLeft w:val="0"/>
      <w:marRight w:val="0"/>
      <w:marTop w:val="0"/>
      <w:marBottom w:val="0"/>
      <w:divBdr>
        <w:top w:val="none" w:sz="0" w:space="0" w:color="auto"/>
        <w:left w:val="none" w:sz="0" w:space="0" w:color="auto"/>
        <w:bottom w:val="none" w:sz="0" w:space="0" w:color="auto"/>
        <w:right w:val="none" w:sz="0" w:space="0" w:color="auto"/>
      </w:divBdr>
    </w:div>
    <w:div w:id="1523975759">
      <w:bodyDiv w:val="1"/>
      <w:marLeft w:val="0"/>
      <w:marRight w:val="0"/>
      <w:marTop w:val="0"/>
      <w:marBottom w:val="0"/>
      <w:divBdr>
        <w:top w:val="none" w:sz="0" w:space="0" w:color="auto"/>
        <w:left w:val="none" w:sz="0" w:space="0" w:color="auto"/>
        <w:bottom w:val="none" w:sz="0" w:space="0" w:color="auto"/>
        <w:right w:val="none" w:sz="0" w:space="0" w:color="auto"/>
      </w:divBdr>
      <w:divsChild>
        <w:div w:id="780299351">
          <w:marLeft w:val="0"/>
          <w:marRight w:val="0"/>
          <w:marTop w:val="0"/>
          <w:marBottom w:val="0"/>
          <w:divBdr>
            <w:top w:val="none" w:sz="0" w:space="0" w:color="auto"/>
            <w:left w:val="none" w:sz="0" w:space="0" w:color="auto"/>
            <w:bottom w:val="none" w:sz="0" w:space="0" w:color="auto"/>
            <w:right w:val="none" w:sz="0" w:space="0" w:color="auto"/>
          </w:divBdr>
          <w:divsChild>
            <w:div w:id="1094128355">
              <w:marLeft w:val="0"/>
              <w:marRight w:val="0"/>
              <w:marTop w:val="0"/>
              <w:marBottom w:val="0"/>
              <w:divBdr>
                <w:top w:val="none" w:sz="0" w:space="0" w:color="auto"/>
                <w:left w:val="none" w:sz="0" w:space="0" w:color="auto"/>
                <w:bottom w:val="none" w:sz="0" w:space="0" w:color="auto"/>
                <w:right w:val="none" w:sz="0" w:space="0" w:color="auto"/>
              </w:divBdr>
              <w:divsChild>
                <w:div w:id="1060130733">
                  <w:marLeft w:val="0"/>
                  <w:marRight w:val="0"/>
                  <w:marTop w:val="0"/>
                  <w:marBottom w:val="0"/>
                  <w:divBdr>
                    <w:top w:val="none" w:sz="0" w:space="0" w:color="auto"/>
                    <w:left w:val="none" w:sz="0" w:space="0" w:color="auto"/>
                    <w:bottom w:val="none" w:sz="0" w:space="0" w:color="auto"/>
                    <w:right w:val="none" w:sz="0" w:space="0" w:color="auto"/>
                  </w:divBdr>
                  <w:divsChild>
                    <w:div w:id="16806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699">
      <w:bodyDiv w:val="1"/>
      <w:marLeft w:val="0"/>
      <w:marRight w:val="0"/>
      <w:marTop w:val="0"/>
      <w:marBottom w:val="0"/>
      <w:divBdr>
        <w:top w:val="none" w:sz="0" w:space="0" w:color="auto"/>
        <w:left w:val="none" w:sz="0" w:space="0" w:color="auto"/>
        <w:bottom w:val="none" w:sz="0" w:space="0" w:color="auto"/>
        <w:right w:val="none" w:sz="0" w:space="0" w:color="auto"/>
      </w:divBdr>
    </w:div>
    <w:div w:id="1546218926">
      <w:bodyDiv w:val="1"/>
      <w:marLeft w:val="0"/>
      <w:marRight w:val="0"/>
      <w:marTop w:val="0"/>
      <w:marBottom w:val="0"/>
      <w:divBdr>
        <w:top w:val="none" w:sz="0" w:space="0" w:color="auto"/>
        <w:left w:val="none" w:sz="0" w:space="0" w:color="auto"/>
        <w:bottom w:val="none" w:sz="0" w:space="0" w:color="auto"/>
        <w:right w:val="none" w:sz="0" w:space="0" w:color="auto"/>
      </w:divBdr>
      <w:divsChild>
        <w:div w:id="733312497">
          <w:marLeft w:val="0"/>
          <w:marRight w:val="0"/>
          <w:marTop w:val="0"/>
          <w:marBottom w:val="0"/>
          <w:divBdr>
            <w:top w:val="none" w:sz="0" w:space="0" w:color="auto"/>
            <w:left w:val="none" w:sz="0" w:space="0" w:color="auto"/>
            <w:bottom w:val="none" w:sz="0" w:space="0" w:color="auto"/>
            <w:right w:val="none" w:sz="0" w:space="0" w:color="auto"/>
          </w:divBdr>
        </w:div>
        <w:div w:id="1890413426">
          <w:marLeft w:val="0"/>
          <w:marRight w:val="0"/>
          <w:marTop w:val="0"/>
          <w:marBottom w:val="0"/>
          <w:divBdr>
            <w:top w:val="none" w:sz="0" w:space="0" w:color="auto"/>
            <w:left w:val="none" w:sz="0" w:space="0" w:color="auto"/>
            <w:bottom w:val="none" w:sz="0" w:space="0" w:color="auto"/>
            <w:right w:val="none" w:sz="0" w:space="0" w:color="auto"/>
          </w:divBdr>
        </w:div>
      </w:divsChild>
    </w:div>
    <w:div w:id="1554803529">
      <w:bodyDiv w:val="1"/>
      <w:marLeft w:val="0"/>
      <w:marRight w:val="0"/>
      <w:marTop w:val="0"/>
      <w:marBottom w:val="0"/>
      <w:divBdr>
        <w:top w:val="none" w:sz="0" w:space="0" w:color="auto"/>
        <w:left w:val="none" w:sz="0" w:space="0" w:color="auto"/>
        <w:bottom w:val="none" w:sz="0" w:space="0" w:color="auto"/>
        <w:right w:val="none" w:sz="0" w:space="0" w:color="auto"/>
      </w:divBdr>
    </w:div>
    <w:div w:id="1555920669">
      <w:bodyDiv w:val="1"/>
      <w:marLeft w:val="0"/>
      <w:marRight w:val="0"/>
      <w:marTop w:val="0"/>
      <w:marBottom w:val="0"/>
      <w:divBdr>
        <w:top w:val="none" w:sz="0" w:space="0" w:color="auto"/>
        <w:left w:val="none" w:sz="0" w:space="0" w:color="auto"/>
        <w:bottom w:val="none" w:sz="0" w:space="0" w:color="auto"/>
        <w:right w:val="none" w:sz="0" w:space="0" w:color="auto"/>
      </w:divBdr>
    </w:div>
    <w:div w:id="1556115539">
      <w:bodyDiv w:val="1"/>
      <w:marLeft w:val="0"/>
      <w:marRight w:val="0"/>
      <w:marTop w:val="0"/>
      <w:marBottom w:val="0"/>
      <w:divBdr>
        <w:top w:val="none" w:sz="0" w:space="0" w:color="auto"/>
        <w:left w:val="none" w:sz="0" w:space="0" w:color="auto"/>
        <w:bottom w:val="none" w:sz="0" w:space="0" w:color="auto"/>
        <w:right w:val="none" w:sz="0" w:space="0" w:color="auto"/>
      </w:divBdr>
      <w:divsChild>
        <w:div w:id="1127509035">
          <w:marLeft w:val="0"/>
          <w:marRight w:val="0"/>
          <w:marTop w:val="0"/>
          <w:marBottom w:val="0"/>
          <w:divBdr>
            <w:top w:val="none" w:sz="0" w:space="0" w:color="auto"/>
            <w:left w:val="none" w:sz="0" w:space="0" w:color="auto"/>
            <w:bottom w:val="none" w:sz="0" w:space="0" w:color="auto"/>
            <w:right w:val="none" w:sz="0" w:space="0" w:color="auto"/>
          </w:divBdr>
          <w:divsChild>
            <w:div w:id="1745642411">
              <w:marLeft w:val="0"/>
              <w:marRight w:val="0"/>
              <w:marTop w:val="0"/>
              <w:marBottom w:val="0"/>
              <w:divBdr>
                <w:top w:val="none" w:sz="0" w:space="0" w:color="auto"/>
                <w:left w:val="none" w:sz="0" w:space="0" w:color="auto"/>
                <w:bottom w:val="none" w:sz="0" w:space="0" w:color="auto"/>
                <w:right w:val="none" w:sz="0" w:space="0" w:color="auto"/>
              </w:divBdr>
              <w:divsChild>
                <w:div w:id="13212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64151">
      <w:bodyDiv w:val="1"/>
      <w:marLeft w:val="0"/>
      <w:marRight w:val="0"/>
      <w:marTop w:val="0"/>
      <w:marBottom w:val="0"/>
      <w:divBdr>
        <w:top w:val="none" w:sz="0" w:space="0" w:color="auto"/>
        <w:left w:val="none" w:sz="0" w:space="0" w:color="auto"/>
        <w:bottom w:val="none" w:sz="0" w:space="0" w:color="auto"/>
        <w:right w:val="none" w:sz="0" w:space="0" w:color="auto"/>
      </w:divBdr>
    </w:div>
    <w:div w:id="1579318647">
      <w:bodyDiv w:val="1"/>
      <w:marLeft w:val="0"/>
      <w:marRight w:val="0"/>
      <w:marTop w:val="0"/>
      <w:marBottom w:val="0"/>
      <w:divBdr>
        <w:top w:val="none" w:sz="0" w:space="0" w:color="auto"/>
        <w:left w:val="none" w:sz="0" w:space="0" w:color="auto"/>
        <w:bottom w:val="none" w:sz="0" w:space="0" w:color="auto"/>
        <w:right w:val="none" w:sz="0" w:space="0" w:color="auto"/>
      </w:divBdr>
      <w:divsChild>
        <w:div w:id="1425416383">
          <w:marLeft w:val="0"/>
          <w:marRight w:val="0"/>
          <w:marTop w:val="0"/>
          <w:marBottom w:val="0"/>
          <w:divBdr>
            <w:top w:val="none" w:sz="0" w:space="0" w:color="auto"/>
            <w:left w:val="none" w:sz="0" w:space="0" w:color="auto"/>
            <w:bottom w:val="none" w:sz="0" w:space="0" w:color="auto"/>
            <w:right w:val="none" w:sz="0" w:space="0" w:color="auto"/>
          </w:divBdr>
          <w:divsChild>
            <w:div w:id="144005969">
              <w:marLeft w:val="0"/>
              <w:marRight w:val="0"/>
              <w:marTop w:val="0"/>
              <w:marBottom w:val="0"/>
              <w:divBdr>
                <w:top w:val="none" w:sz="0" w:space="0" w:color="auto"/>
                <w:left w:val="none" w:sz="0" w:space="0" w:color="auto"/>
                <w:bottom w:val="none" w:sz="0" w:space="0" w:color="auto"/>
                <w:right w:val="none" w:sz="0" w:space="0" w:color="auto"/>
              </w:divBdr>
              <w:divsChild>
                <w:div w:id="36665393">
                  <w:marLeft w:val="0"/>
                  <w:marRight w:val="0"/>
                  <w:marTop w:val="0"/>
                  <w:marBottom w:val="0"/>
                  <w:divBdr>
                    <w:top w:val="none" w:sz="0" w:space="0" w:color="auto"/>
                    <w:left w:val="none" w:sz="0" w:space="0" w:color="auto"/>
                    <w:bottom w:val="none" w:sz="0" w:space="0" w:color="auto"/>
                    <w:right w:val="none" w:sz="0" w:space="0" w:color="auto"/>
                  </w:divBdr>
                  <w:divsChild>
                    <w:div w:id="17767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792552">
      <w:bodyDiv w:val="1"/>
      <w:marLeft w:val="0"/>
      <w:marRight w:val="0"/>
      <w:marTop w:val="0"/>
      <w:marBottom w:val="0"/>
      <w:divBdr>
        <w:top w:val="none" w:sz="0" w:space="0" w:color="auto"/>
        <w:left w:val="none" w:sz="0" w:space="0" w:color="auto"/>
        <w:bottom w:val="none" w:sz="0" w:space="0" w:color="auto"/>
        <w:right w:val="none" w:sz="0" w:space="0" w:color="auto"/>
      </w:divBdr>
    </w:div>
    <w:div w:id="1584534405">
      <w:bodyDiv w:val="1"/>
      <w:marLeft w:val="0"/>
      <w:marRight w:val="0"/>
      <w:marTop w:val="0"/>
      <w:marBottom w:val="0"/>
      <w:divBdr>
        <w:top w:val="none" w:sz="0" w:space="0" w:color="auto"/>
        <w:left w:val="none" w:sz="0" w:space="0" w:color="auto"/>
        <w:bottom w:val="none" w:sz="0" w:space="0" w:color="auto"/>
        <w:right w:val="none" w:sz="0" w:space="0" w:color="auto"/>
      </w:divBdr>
    </w:div>
    <w:div w:id="1589731813">
      <w:bodyDiv w:val="1"/>
      <w:marLeft w:val="0"/>
      <w:marRight w:val="0"/>
      <w:marTop w:val="0"/>
      <w:marBottom w:val="0"/>
      <w:divBdr>
        <w:top w:val="none" w:sz="0" w:space="0" w:color="auto"/>
        <w:left w:val="none" w:sz="0" w:space="0" w:color="auto"/>
        <w:bottom w:val="none" w:sz="0" w:space="0" w:color="auto"/>
        <w:right w:val="none" w:sz="0" w:space="0" w:color="auto"/>
      </w:divBdr>
    </w:div>
    <w:div w:id="1601179027">
      <w:bodyDiv w:val="1"/>
      <w:marLeft w:val="0"/>
      <w:marRight w:val="0"/>
      <w:marTop w:val="0"/>
      <w:marBottom w:val="0"/>
      <w:divBdr>
        <w:top w:val="none" w:sz="0" w:space="0" w:color="auto"/>
        <w:left w:val="none" w:sz="0" w:space="0" w:color="auto"/>
        <w:bottom w:val="none" w:sz="0" w:space="0" w:color="auto"/>
        <w:right w:val="none" w:sz="0" w:space="0" w:color="auto"/>
      </w:divBdr>
    </w:div>
    <w:div w:id="1602879737">
      <w:bodyDiv w:val="1"/>
      <w:marLeft w:val="0"/>
      <w:marRight w:val="0"/>
      <w:marTop w:val="0"/>
      <w:marBottom w:val="0"/>
      <w:divBdr>
        <w:top w:val="none" w:sz="0" w:space="0" w:color="auto"/>
        <w:left w:val="none" w:sz="0" w:space="0" w:color="auto"/>
        <w:bottom w:val="none" w:sz="0" w:space="0" w:color="auto"/>
        <w:right w:val="none" w:sz="0" w:space="0" w:color="auto"/>
      </w:divBdr>
    </w:div>
    <w:div w:id="1603612212">
      <w:bodyDiv w:val="1"/>
      <w:marLeft w:val="0"/>
      <w:marRight w:val="0"/>
      <w:marTop w:val="0"/>
      <w:marBottom w:val="0"/>
      <w:divBdr>
        <w:top w:val="none" w:sz="0" w:space="0" w:color="auto"/>
        <w:left w:val="none" w:sz="0" w:space="0" w:color="auto"/>
        <w:bottom w:val="none" w:sz="0" w:space="0" w:color="auto"/>
        <w:right w:val="none" w:sz="0" w:space="0" w:color="auto"/>
      </w:divBdr>
      <w:divsChild>
        <w:div w:id="2015256915">
          <w:marLeft w:val="0"/>
          <w:marRight w:val="0"/>
          <w:marTop w:val="0"/>
          <w:marBottom w:val="0"/>
          <w:divBdr>
            <w:top w:val="none" w:sz="0" w:space="0" w:color="auto"/>
            <w:left w:val="none" w:sz="0" w:space="0" w:color="auto"/>
            <w:bottom w:val="none" w:sz="0" w:space="0" w:color="auto"/>
            <w:right w:val="none" w:sz="0" w:space="0" w:color="auto"/>
          </w:divBdr>
          <w:divsChild>
            <w:div w:id="89085781">
              <w:marLeft w:val="0"/>
              <w:marRight w:val="0"/>
              <w:marTop w:val="0"/>
              <w:marBottom w:val="0"/>
              <w:divBdr>
                <w:top w:val="none" w:sz="0" w:space="0" w:color="auto"/>
                <w:left w:val="none" w:sz="0" w:space="0" w:color="auto"/>
                <w:bottom w:val="none" w:sz="0" w:space="0" w:color="auto"/>
                <w:right w:val="none" w:sz="0" w:space="0" w:color="auto"/>
              </w:divBdr>
              <w:divsChild>
                <w:div w:id="205226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21803">
      <w:bodyDiv w:val="1"/>
      <w:marLeft w:val="0"/>
      <w:marRight w:val="0"/>
      <w:marTop w:val="0"/>
      <w:marBottom w:val="0"/>
      <w:divBdr>
        <w:top w:val="none" w:sz="0" w:space="0" w:color="auto"/>
        <w:left w:val="none" w:sz="0" w:space="0" w:color="auto"/>
        <w:bottom w:val="none" w:sz="0" w:space="0" w:color="auto"/>
        <w:right w:val="none" w:sz="0" w:space="0" w:color="auto"/>
      </w:divBdr>
    </w:div>
    <w:div w:id="1610745774">
      <w:bodyDiv w:val="1"/>
      <w:marLeft w:val="0"/>
      <w:marRight w:val="0"/>
      <w:marTop w:val="0"/>
      <w:marBottom w:val="0"/>
      <w:divBdr>
        <w:top w:val="none" w:sz="0" w:space="0" w:color="auto"/>
        <w:left w:val="none" w:sz="0" w:space="0" w:color="auto"/>
        <w:bottom w:val="none" w:sz="0" w:space="0" w:color="auto"/>
        <w:right w:val="none" w:sz="0" w:space="0" w:color="auto"/>
      </w:divBdr>
    </w:div>
    <w:div w:id="1612589363">
      <w:bodyDiv w:val="1"/>
      <w:marLeft w:val="0"/>
      <w:marRight w:val="0"/>
      <w:marTop w:val="0"/>
      <w:marBottom w:val="0"/>
      <w:divBdr>
        <w:top w:val="none" w:sz="0" w:space="0" w:color="auto"/>
        <w:left w:val="none" w:sz="0" w:space="0" w:color="auto"/>
        <w:bottom w:val="none" w:sz="0" w:space="0" w:color="auto"/>
        <w:right w:val="none" w:sz="0" w:space="0" w:color="auto"/>
      </w:divBdr>
    </w:div>
    <w:div w:id="1643269461">
      <w:bodyDiv w:val="1"/>
      <w:marLeft w:val="0"/>
      <w:marRight w:val="0"/>
      <w:marTop w:val="0"/>
      <w:marBottom w:val="0"/>
      <w:divBdr>
        <w:top w:val="none" w:sz="0" w:space="0" w:color="auto"/>
        <w:left w:val="none" w:sz="0" w:space="0" w:color="auto"/>
        <w:bottom w:val="none" w:sz="0" w:space="0" w:color="auto"/>
        <w:right w:val="none" w:sz="0" w:space="0" w:color="auto"/>
      </w:divBdr>
      <w:divsChild>
        <w:div w:id="1202783488">
          <w:marLeft w:val="0"/>
          <w:marRight w:val="0"/>
          <w:marTop w:val="0"/>
          <w:marBottom w:val="0"/>
          <w:divBdr>
            <w:top w:val="none" w:sz="0" w:space="0" w:color="auto"/>
            <w:left w:val="none" w:sz="0" w:space="0" w:color="auto"/>
            <w:bottom w:val="none" w:sz="0" w:space="0" w:color="auto"/>
            <w:right w:val="none" w:sz="0" w:space="0" w:color="auto"/>
          </w:divBdr>
          <w:divsChild>
            <w:div w:id="882718682">
              <w:marLeft w:val="0"/>
              <w:marRight w:val="0"/>
              <w:marTop w:val="0"/>
              <w:marBottom w:val="0"/>
              <w:divBdr>
                <w:top w:val="none" w:sz="0" w:space="0" w:color="auto"/>
                <w:left w:val="none" w:sz="0" w:space="0" w:color="auto"/>
                <w:bottom w:val="none" w:sz="0" w:space="0" w:color="auto"/>
                <w:right w:val="none" w:sz="0" w:space="0" w:color="auto"/>
              </w:divBdr>
              <w:divsChild>
                <w:div w:id="895430931">
                  <w:marLeft w:val="0"/>
                  <w:marRight w:val="0"/>
                  <w:marTop w:val="0"/>
                  <w:marBottom w:val="0"/>
                  <w:divBdr>
                    <w:top w:val="none" w:sz="0" w:space="0" w:color="auto"/>
                    <w:left w:val="none" w:sz="0" w:space="0" w:color="auto"/>
                    <w:bottom w:val="none" w:sz="0" w:space="0" w:color="auto"/>
                    <w:right w:val="none" w:sz="0" w:space="0" w:color="auto"/>
                  </w:divBdr>
                  <w:divsChild>
                    <w:div w:id="53916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115062">
      <w:bodyDiv w:val="1"/>
      <w:marLeft w:val="0"/>
      <w:marRight w:val="0"/>
      <w:marTop w:val="0"/>
      <w:marBottom w:val="0"/>
      <w:divBdr>
        <w:top w:val="none" w:sz="0" w:space="0" w:color="auto"/>
        <w:left w:val="none" w:sz="0" w:space="0" w:color="auto"/>
        <w:bottom w:val="none" w:sz="0" w:space="0" w:color="auto"/>
        <w:right w:val="none" w:sz="0" w:space="0" w:color="auto"/>
      </w:divBdr>
    </w:div>
    <w:div w:id="1653831501">
      <w:bodyDiv w:val="1"/>
      <w:marLeft w:val="0"/>
      <w:marRight w:val="0"/>
      <w:marTop w:val="0"/>
      <w:marBottom w:val="0"/>
      <w:divBdr>
        <w:top w:val="none" w:sz="0" w:space="0" w:color="auto"/>
        <w:left w:val="none" w:sz="0" w:space="0" w:color="auto"/>
        <w:bottom w:val="none" w:sz="0" w:space="0" w:color="auto"/>
        <w:right w:val="none" w:sz="0" w:space="0" w:color="auto"/>
      </w:divBdr>
    </w:div>
    <w:div w:id="1659579062">
      <w:bodyDiv w:val="1"/>
      <w:marLeft w:val="0"/>
      <w:marRight w:val="0"/>
      <w:marTop w:val="0"/>
      <w:marBottom w:val="0"/>
      <w:divBdr>
        <w:top w:val="none" w:sz="0" w:space="0" w:color="auto"/>
        <w:left w:val="none" w:sz="0" w:space="0" w:color="auto"/>
        <w:bottom w:val="none" w:sz="0" w:space="0" w:color="auto"/>
        <w:right w:val="none" w:sz="0" w:space="0" w:color="auto"/>
      </w:divBdr>
    </w:div>
    <w:div w:id="1668707296">
      <w:bodyDiv w:val="1"/>
      <w:marLeft w:val="0"/>
      <w:marRight w:val="0"/>
      <w:marTop w:val="0"/>
      <w:marBottom w:val="0"/>
      <w:divBdr>
        <w:top w:val="none" w:sz="0" w:space="0" w:color="auto"/>
        <w:left w:val="none" w:sz="0" w:space="0" w:color="auto"/>
        <w:bottom w:val="none" w:sz="0" w:space="0" w:color="auto"/>
        <w:right w:val="none" w:sz="0" w:space="0" w:color="auto"/>
      </w:divBdr>
    </w:div>
    <w:div w:id="1669283776">
      <w:bodyDiv w:val="1"/>
      <w:marLeft w:val="0"/>
      <w:marRight w:val="0"/>
      <w:marTop w:val="0"/>
      <w:marBottom w:val="0"/>
      <w:divBdr>
        <w:top w:val="none" w:sz="0" w:space="0" w:color="auto"/>
        <w:left w:val="none" w:sz="0" w:space="0" w:color="auto"/>
        <w:bottom w:val="none" w:sz="0" w:space="0" w:color="auto"/>
        <w:right w:val="none" w:sz="0" w:space="0" w:color="auto"/>
      </w:divBdr>
    </w:div>
    <w:div w:id="1669480093">
      <w:bodyDiv w:val="1"/>
      <w:marLeft w:val="0"/>
      <w:marRight w:val="0"/>
      <w:marTop w:val="0"/>
      <w:marBottom w:val="0"/>
      <w:divBdr>
        <w:top w:val="none" w:sz="0" w:space="0" w:color="auto"/>
        <w:left w:val="none" w:sz="0" w:space="0" w:color="auto"/>
        <w:bottom w:val="none" w:sz="0" w:space="0" w:color="auto"/>
        <w:right w:val="none" w:sz="0" w:space="0" w:color="auto"/>
      </w:divBdr>
    </w:div>
    <w:div w:id="1670672938">
      <w:bodyDiv w:val="1"/>
      <w:marLeft w:val="0"/>
      <w:marRight w:val="0"/>
      <w:marTop w:val="0"/>
      <w:marBottom w:val="0"/>
      <w:divBdr>
        <w:top w:val="none" w:sz="0" w:space="0" w:color="auto"/>
        <w:left w:val="none" w:sz="0" w:space="0" w:color="auto"/>
        <w:bottom w:val="none" w:sz="0" w:space="0" w:color="auto"/>
        <w:right w:val="none" w:sz="0" w:space="0" w:color="auto"/>
      </w:divBdr>
      <w:divsChild>
        <w:div w:id="258176855">
          <w:marLeft w:val="0"/>
          <w:marRight w:val="0"/>
          <w:marTop w:val="0"/>
          <w:marBottom w:val="0"/>
          <w:divBdr>
            <w:top w:val="none" w:sz="0" w:space="0" w:color="auto"/>
            <w:left w:val="none" w:sz="0" w:space="0" w:color="auto"/>
            <w:bottom w:val="none" w:sz="0" w:space="0" w:color="auto"/>
            <w:right w:val="none" w:sz="0" w:space="0" w:color="auto"/>
          </w:divBdr>
          <w:divsChild>
            <w:div w:id="1201169639">
              <w:marLeft w:val="0"/>
              <w:marRight w:val="0"/>
              <w:marTop w:val="0"/>
              <w:marBottom w:val="0"/>
              <w:divBdr>
                <w:top w:val="none" w:sz="0" w:space="0" w:color="auto"/>
                <w:left w:val="none" w:sz="0" w:space="0" w:color="auto"/>
                <w:bottom w:val="none" w:sz="0" w:space="0" w:color="auto"/>
                <w:right w:val="none" w:sz="0" w:space="0" w:color="auto"/>
              </w:divBdr>
              <w:divsChild>
                <w:div w:id="1295066577">
                  <w:marLeft w:val="0"/>
                  <w:marRight w:val="0"/>
                  <w:marTop w:val="0"/>
                  <w:marBottom w:val="0"/>
                  <w:divBdr>
                    <w:top w:val="none" w:sz="0" w:space="0" w:color="auto"/>
                    <w:left w:val="none" w:sz="0" w:space="0" w:color="auto"/>
                    <w:bottom w:val="none" w:sz="0" w:space="0" w:color="auto"/>
                    <w:right w:val="none" w:sz="0" w:space="0" w:color="auto"/>
                  </w:divBdr>
                  <w:divsChild>
                    <w:div w:id="162334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804131">
      <w:bodyDiv w:val="1"/>
      <w:marLeft w:val="0"/>
      <w:marRight w:val="0"/>
      <w:marTop w:val="0"/>
      <w:marBottom w:val="0"/>
      <w:divBdr>
        <w:top w:val="none" w:sz="0" w:space="0" w:color="auto"/>
        <w:left w:val="none" w:sz="0" w:space="0" w:color="auto"/>
        <w:bottom w:val="none" w:sz="0" w:space="0" w:color="auto"/>
        <w:right w:val="none" w:sz="0" w:space="0" w:color="auto"/>
      </w:divBdr>
      <w:divsChild>
        <w:div w:id="2042900990">
          <w:marLeft w:val="0"/>
          <w:marRight w:val="0"/>
          <w:marTop w:val="0"/>
          <w:marBottom w:val="0"/>
          <w:divBdr>
            <w:top w:val="none" w:sz="0" w:space="0" w:color="auto"/>
            <w:left w:val="none" w:sz="0" w:space="0" w:color="auto"/>
            <w:bottom w:val="none" w:sz="0" w:space="0" w:color="auto"/>
            <w:right w:val="none" w:sz="0" w:space="0" w:color="auto"/>
          </w:divBdr>
          <w:divsChild>
            <w:div w:id="812454483">
              <w:marLeft w:val="0"/>
              <w:marRight w:val="0"/>
              <w:marTop w:val="0"/>
              <w:marBottom w:val="0"/>
              <w:divBdr>
                <w:top w:val="none" w:sz="0" w:space="0" w:color="auto"/>
                <w:left w:val="none" w:sz="0" w:space="0" w:color="auto"/>
                <w:bottom w:val="none" w:sz="0" w:space="0" w:color="auto"/>
                <w:right w:val="none" w:sz="0" w:space="0" w:color="auto"/>
              </w:divBdr>
              <w:divsChild>
                <w:div w:id="5148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953110">
      <w:bodyDiv w:val="1"/>
      <w:marLeft w:val="0"/>
      <w:marRight w:val="0"/>
      <w:marTop w:val="0"/>
      <w:marBottom w:val="0"/>
      <w:divBdr>
        <w:top w:val="none" w:sz="0" w:space="0" w:color="auto"/>
        <w:left w:val="none" w:sz="0" w:space="0" w:color="auto"/>
        <w:bottom w:val="none" w:sz="0" w:space="0" w:color="auto"/>
        <w:right w:val="none" w:sz="0" w:space="0" w:color="auto"/>
      </w:divBdr>
      <w:divsChild>
        <w:div w:id="1263611309">
          <w:marLeft w:val="0"/>
          <w:marRight w:val="0"/>
          <w:marTop w:val="0"/>
          <w:marBottom w:val="0"/>
          <w:divBdr>
            <w:top w:val="none" w:sz="0" w:space="0" w:color="auto"/>
            <w:left w:val="none" w:sz="0" w:space="0" w:color="auto"/>
            <w:bottom w:val="none" w:sz="0" w:space="0" w:color="auto"/>
            <w:right w:val="none" w:sz="0" w:space="0" w:color="auto"/>
          </w:divBdr>
          <w:divsChild>
            <w:div w:id="1364748674">
              <w:marLeft w:val="0"/>
              <w:marRight w:val="0"/>
              <w:marTop w:val="0"/>
              <w:marBottom w:val="0"/>
              <w:divBdr>
                <w:top w:val="none" w:sz="0" w:space="0" w:color="auto"/>
                <w:left w:val="none" w:sz="0" w:space="0" w:color="auto"/>
                <w:bottom w:val="none" w:sz="0" w:space="0" w:color="auto"/>
                <w:right w:val="none" w:sz="0" w:space="0" w:color="auto"/>
              </w:divBdr>
              <w:divsChild>
                <w:div w:id="1556625604">
                  <w:marLeft w:val="0"/>
                  <w:marRight w:val="0"/>
                  <w:marTop w:val="0"/>
                  <w:marBottom w:val="0"/>
                  <w:divBdr>
                    <w:top w:val="none" w:sz="0" w:space="0" w:color="auto"/>
                    <w:left w:val="none" w:sz="0" w:space="0" w:color="auto"/>
                    <w:bottom w:val="none" w:sz="0" w:space="0" w:color="auto"/>
                    <w:right w:val="none" w:sz="0" w:space="0" w:color="auto"/>
                  </w:divBdr>
                  <w:divsChild>
                    <w:div w:id="17164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80576">
      <w:bodyDiv w:val="1"/>
      <w:marLeft w:val="0"/>
      <w:marRight w:val="0"/>
      <w:marTop w:val="0"/>
      <w:marBottom w:val="0"/>
      <w:divBdr>
        <w:top w:val="none" w:sz="0" w:space="0" w:color="auto"/>
        <w:left w:val="none" w:sz="0" w:space="0" w:color="auto"/>
        <w:bottom w:val="none" w:sz="0" w:space="0" w:color="auto"/>
        <w:right w:val="none" w:sz="0" w:space="0" w:color="auto"/>
      </w:divBdr>
    </w:div>
    <w:div w:id="1727222928">
      <w:bodyDiv w:val="1"/>
      <w:marLeft w:val="0"/>
      <w:marRight w:val="0"/>
      <w:marTop w:val="0"/>
      <w:marBottom w:val="0"/>
      <w:divBdr>
        <w:top w:val="none" w:sz="0" w:space="0" w:color="auto"/>
        <w:left w:val="none" w:sz="0" w:space="0" w:color="auto"/>
        <w:bottom w:val="none" w:sz="0" w:space="0" w:color="auto"/>
        <w:right w:val="none" w:sz="0" w:space="0" w:color="auto"/>
      </w:divBdr>
    </w:div>
    <w:div w:id="1743988043">
      <w:bodyDiv w:val="1"/>
      <w:marLeft w:val="0"/>
      <w:marRight w:val="0"/>
      <w:marTop w:val="0"/>
      <w:marBottom w:val="0"/>
      <w:divBdr>
        <w:top w:val="none" w:sz="0" w:space="0" w:color="auto"/>
        <w:left w:val="none" w:sz="0" w:space="0" w:color="auto"/>
        <w:bottom w:val="none" w:sz="0" w:space="0" w:color="auto"/>
        <w:right w:val="none" w:sz="0" w:space="0" w:color="auto"/>
      </w:divBdr>
    </w:div>
    <w:div w:id="1750544890">
      <w:bodyDiv w:val="1"/>
      <w:marLeft w:val="0"/>
      <w:marRight w:val="0"/>
      <w:marTop w:val="0"/>
      <w:marBottom w:val="0"/>
      <w:divBdr>
        <w:top w:val="none" w:sz="0" w:space="0" w:color="auto"/>
        <w:left w:val="none" w:sz="0" w:space="0" w:color="auto"/>
        <w:bottom w:val="none" w:sz="0" w:space="0" w:color="auto"/>
        <w:right w:val="none" w:sz="0" w:space="0" w:color="auto"/>
      </w:divBdr>
      <w:divsChild>
        <w:div w:id="107552576">
          <w:marLeft w:val="0"/>
          <w:marRight w:val="0"/>
          <w:marTop w:val="0"/>
          <w:marBottom w:val="0"/>
          <w:divBdr>
            <w:top w:val="none" w:sz="0" w:space="0" w:color="auto"/>
            <w:left w:val="none" w:sz="0" w:space="0" w:color="auto"/>
            <w:bottom w:val="none" w:sz="0" w:space="0" w:color="auto"/>
            <w:right w:val="none" w:sz="0" w:space="0" w:color="auto"/>
          </w:divBdr>
          <w:divsChild>
            <w:div w:id="1411808598">
              <w:marLeft w:val="0"/>
              <w:marRight w:val="0"/>
              <w:marTop w:val="0"/>
              <w:marBottom w:val="0"/>
              <w:divBdr>
                <w:top w:val="none" w:sz="0" w:space="0" w:color="auto"/>
                <w:left w:val="none" w:sz="0" w:space="0" w:color="auto"/>
                <w:bottom w:val="none" w:sz="0" w:space="0" w:color="auto"/>
                <w:right w:val="none" w:sz="0" w:space="0" w:color="auto"/>
              </w:divBdr>
              <w:divsChild>
                <w:div w:id="12081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5835">
      <w:bodyDiv w:val="1"/>
      <w:marLeft w:val="0"/>
      <w:marRight w:val="0"/>
      <w:marTop w:val="0"/>
      <w:marBottom w:val="0"/>
      <w:divBdr>
        <w:top w:val="none" w:sz="0" w:space="0" w:color="auto"/>
        <w:left w:val="none" w:sz="0" w:space="0" w:color="auto"/>
        <w:bottom w:val="none" w:sz="0" w:space="0" w:color="auto"/>
        <w:right w:val="none" w:sz="0" w:space="0" w:color="auto"/>
      </w:divBdr>
    </w:div>
    <w:div w:id="1768426710">
      <w:bodyDiv w:val="1"/>
      <w:marLeft w:val="0"/>
      <w:marRight w:val="0"/>
      <w:marTop w:val="0"/>
      <w:marBottom w:val="0"/>
      <w:divBdr>
        <w:top w:val="none" w:sz="0" w:space="0" w:color="auto"/>
        <w:left w:val="none" w:sz="0" w:space="0" w:color="auto"/>
        <w:bottom w:val="none" w:sz="0" w:space="0" w:color="auto"/>
        <w:right w:val="none" w:sz="0" w:space="0" w:color="auto"/>
      </w:divBdr>
    </w:div>
    <w:div w:id="1769890145">
      <w:bodyDiv w:val="1"/>
      <w:marLeft w:val="0"/>
      <w:marRight w:val="0"/>
      <w:marTop w:val="0"/>
      <w:marBottom w:val="0"/>
      <w:divBdr>
        <w:top w:val="none" w:sz="0" w:space="0" w:color="auto"/>
        <w:left w:val="none" w:sz="0" w:space="0" w:color="auto"/>
        <w:bottom w:val="none" w:sz="0" w:space="0" w:color="auto"/>
        <w:right w:val="none" w:sz="0" w:space="0" w:color="auto"/>
      </w:divBdr>
    </w:div>
    <w:div w:id="1776513440">
      <w:bodyDiv w:val="1"/>
      <w:marLeft w:val="0"/>
      <w:marRight w:val="0"/>
      <w:marTop w:val="0"/>
      <w:marBottom w:val="0"/>
      <w:divBdr>
        <w:top w:val="none" w:sz="0" w:space="0" w:color="auto"/>
        <w:left w:val="none" w:sz="0" w:space="0" w:color="auto"/>
        <w:bottom w:val="none" w:sz="0" w:space="0" w:color="auto"/>
        <w:right w:val="none" w:sz="0" w:space="0" w:color="auto"/>
      </w:divBdr>
    </w:div>
    <w:div w:id="1777558864">
      <w:bodyDiv w:val="1"/>
      <w:marLeft w:val="0"/>
      <w:marRight w:val="0"/>
      <w:marTop w:val="0"/>
      <w:marBottom w:val="0"/>
      <w:divBdr>
        <w:top w:val="none" w:sz="0" w:space="0" w:color="auto"/>
        <w:left w:val="none" w:sz="0" w:space="0" w:color="auto"/>
        <w:bottom w:val="none" w:sz="0" w:space="0" w:color="auto"/>
        <w:right w:val="none" w:sz="0" w:space="0" w:color="auto"/>
      </w:divBdr>
    </w:div>
    <w:div w:id="1779981698">
      <w:bodyDiv w:val="1"/>
      <w:marLeft w:val="0"/>
      <w:marRight w:val="0"/>
      <w:marTop w:val="0"/>
      <w:marBottom w:val="0"/>
      <w:divBdr>
        <w:top w:val="none" w:sz="0" w:space="0" w:color="auto"/>
        <w:left w:val="none" w:sz="0" w:space="0" w:color="auto"/>
        <w:bottom w:val="none" w:sz="0" w:space="0" w:color="auto"/>
        <w:right w:val="none" w:sz="0" w:space="0" w:color="auto"/>
      </w:divBdr>
    </w:div>
    <w:div w:id="1782383095">
      <w:bodyDiv w:val="1"/>
      <w:marLeft w:val="0"/>
      <w:marRight w:val="0"/>
      <w:marTop w:val="0"/>
      <w:marBottom w:val="0"/>
      <w:divBdr>
        <w:top w:val="none" w:sz="0" w:space="0" w:color="auto"/>
        <w:left w:val="none" w:sz="0" w:space="0" w:color="auto"/>
        <w:bottom w:val="none" w:sz="0" w:space="0" w:color="auto"/>
        <w:right w:val="none" w:sz="0" w:space="0" w:color="auto"/>
      </w:divBdr>
      <w:divsChild>
        <w:div w:id="1628274293">
          <w:marLeft w:val="0"/>
          <w:marRight w:val="0"/>
          <w:marTop w:val="0"/>
          <w:marBottom w:val="0"/>
          <w:divBdr>
            <w:top w:val="none" w:sz="0" w:space="0" w:color="auto"/>
            <w:left w:val="none" w:sz="0" w:space="0" w:color="auto"/>
            <w:bottom w:val="none" w:sz="0" w:space="0" w:color="auto"/>
            <w:right w:val="none" w:sz="0" w:space="0" w:color="auto"/>
          </w:divBdr>
          <w:divsChild>
            <w:div w:id="1212888003">
              <w:marLeft w:val="0"/>
              <w:marRight w:val="0"/>
              <w:marTop w:val="0"/>
              <w:marBottom w:val="0"/>
              <w:divBdr>
                <w:top w:val="none" w:sz="0" w:space="0" w:color="auto"/>
                <w:left w:val="none" w:sz="0" w:space="0" w:color="auto"/>
                <w:bottom w:val="none" w:sz="0" w:space="0" w:color="auto"/>
                <w:right w:val="none" w:sz="0" w:space="0" w:color="auto"/>
              </w:divBdr>
              <w:divsChild>
                <w:div w:id="901018017">
                  <w:marLeft w:val="0"/>
                  <w:marRight w:val="0"/>
                  <w:marTop w:val="0"/>
                  <w:marBottom w:val="0"/>
                  <w:divBdr>
                    <w:top w:val="none" w:sz="0" w:space="0" w:color="auto"/>
                    <w:left w:val="none" w:sz="0" w:space="0" w:color="auto"/>
                    <w:bottom w:val="none" w:sz="0" w:space="0" w:color="auto"/>
                    <w:right w:val="none" w:sz="0" w:space="0" w:color="auto"/>
                  </w:divBdr>
                  <w:divsChild>
                    <w:div w:id="10699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074122">
      <w:bodyDiv w:val="1"/>
      <w:marLeft w:val="0"/>
      <w:marRight w:val="0"/>
      <w:marTop w:val="0"/>
      <w:marBottom w:val="0"/>
      <w:divBdr>
        <w:top w:val="none" w:sz="0" w:space="0" w:color="auto"/>
        <w:left w:val="none" w:sz="0" w:space="0" w:color="auto"/>
        <w:bottom w:val="none" w:sz="0" w:space="0" w:color="auto"/>
        <w:right w:val="none" w:sz="0" w:space="0" w:color="auto"/>
      </w:divBdr>
      <w:divsChild>
        <w:div w:id="1385058849">
          <w:marLeft w:val="0"/>
          <w:marRight w:val="0"/>
          <w:marTop w:val="0"/>
          <w:marBottom w:val="0"/>
          <w:divBdr>
            <w:top w:val="none" w:sz="0" w:space="0" w:color="auto"/>
            <w:left w:val="none" w:sz="0" w:space="0" w:color="auto"/>
            <w:bottom w:val="none" w:sz="0" w:space="0" w:color="auto"/>
            <w:right w:val="none" w:sz="0" w:space="0" w:color="auto"/>
          </w:divBdr>
          <w:divsChild>
            <w:div w:id="559905709">
              <w:marLeft w:val="0"/>
              <w:marRight w:val="0"/>
              <w:marTop w:val="0"/>
              <w:marBottom w:val="0"/>
              <w:divBdr>
                <w:top w:val="none" w:sz="0" w:space="0" w:color="auto"/>
                <w:left w:val="none" w:sz="0" w:space="0" w:color="auto"/>
                <w:bottom w:val="none" w:sz="0" w:space="0" w:color="auto"/>
                <w:right w:val="none" w:sz="0" w:space="0" w:color="auto"/>
              </w:divBdr>
              <w:divsChild>
                <w:div w:id="3883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20643">
      <w:bodyDiv w:val="1"/>
      <w:marLeft w:val="0"/>
      <w:marRight w:val="0"/>
      <w:marTop w:val="0"/>
      <w:marBottom w:val="0"/>
      <w:divBdr>
        <w:top w:val="none" w:sz="0" w:space="0" w:color="auto"/>
        <w:left w:val="none" w:sz="0" w:space="0" w:color="auto"/>
        <w:bottom w:val="none" w:sz="0" w:space="0" w:color="auto"/>
        <w:right w:val="none" w:sz="0" w:space="0" w:color="auto"/>
      </w:divBdr>
      <w:divsChild>
        <w:div w:id="1813937117">
          <w:marLeft w:val="0"/>
          <w:marRight w:val="0"/>
          <w:marTop w:val="0"/>
          <w:marBottom w:val="0"/>
          <w:divBdr>
            <w:top w:val="none" w:sz="0" w:space="0" w:color="auto"/>
            <w:left w:val="none" w:sz="0" w:space="0" w:color="auto"/>
            <w:bottom w:val="none" w:sz="0" w:space="0" w:color="auto"/>
            <w:right w:val="none" w:sz="0" w:space="0" w:color="auto"/>
          </w:divBdr>
          <w:divsChild>
            <w:div w:id="234975836">
              <w:marLeft w:val="0"/>
              <w:marRight w:val="0"/>
              <w:marTop w:val="0"/>
              <w:marBottom w:val="0"/>
              <w:divBdr>
                <w:top w:val="none" w:sz="0" w:space="0" w:color="auto"/>
                <w:left w:val="none" w:sz="0" w:space="0" w:color="auto"/>
                <w:bottom w:val="none" w:sz="0" w:space="0" w:color="auto"/>
                <w:right w:val="none" w:sz="0" w:space="0" w:color="auto"/>
              </w:divBdr>
              <w:divsChild>
                <w:div w:id="20472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442629">
      <w:bodyDiv w:val="1"/>
      <w:marLeft w:val="0"/>
      <w:marRight w:val="0"/>
      <w:marTop w:val="0"/>
      <w:marBottom w:val="0"/>
      <w:divBdr>
        <w:top w:val="none" w:sz="0" w:space="0" w:color="auto"/>
        <w:left w:val="none" w:sz="0" w:space="0" w:color="auto"/>
        <w:bottom w:val="none" w:sz="0" w:space="0" w:color="auto"/>
        <w:right w:val="none" w:sz="0" w:space="0" w:color="auto"/>
      </w:divBdr>
    </w:div>
    <w:div w:id="1811702618">
      <w:bodyDiv w:val="1"/>
      <w:marLeft w:val="0"/>
      <w:marRight w:val="0"/>
      <w:marTop w:val="0"/>
      <w:marBottom w:val="0"/>
      <w:divBdr>
        <w:top w:val="none" w:sz="0" w:space="0" w:color="auto"/>
        <w:left w:val="none" w:sz="0" w:space="0" w:color="auto"/>
        <w:bottom w:val="none" w:sz="0" w:space="0" w:color="auto"/>
        <w:right w:val="none" w:sz="0" w:space="0" w:color="auto"/>
      </w:divBdr>
    </w:div>
    <w:div w:id="1812674773">
      <w:bodyDiv w:val="1"/>
      <w:marLeft w:val="0"/>
      <w:marRight w:val="0"/>
      <w:marTop w:val="0"/>
      <w:marBottom w:val="0"/>
      <w:divBdr>
        <w:top w:val="none" w:sz="0" w:space="0" w:color="auto"/>
        <w:left w:val="none" w:sz="0" w:space="0" w:color="auto"/>
        <w:bottom w:val="none" w:sz="0" w:space="0" w:color="auto"/>
        <w:right w:val="none" w:sz="0" w:space="0" w:color="auto"/>
      </w:divBdr>
      <w:divsChild>
        <w:div w:id="1866670102">
          <w:marLeft w:val="0"/>
          <w:marRight w:val="0"/>
          <w:marTop w:val="0"/>
          <w:marBottom w:val="0"/>
          <w:divBdr>
            <w:top w:val="none" w:sz="0" w:space="0" w:color="auto"/>
            <w:left w:val="none" w:sz="0" w:space="0" w:color="auto"/>
            <w:bottom w:val="none" w:sz="0" w:space="0" w:color="auto"/>
            <w:right w:val="none" w:sz="0" w:space="0" w:color="auto"/>
          </w:divBdr>
          <w:divsChild>
            <w:div w:id="1378550050">
              <w:marLeft w:val="0"/>
              <w:marRight w:val="0"/>
              <w:marTop w:val="0"/>
              <w:marBottom w:val="0"/>
              <w:divBdr>
                <w:top w:val="none" w:sz="0" w:space="0" w:color="auto"/>
                <w:left w:val="none" w:sz="0" w:space="0" w:color="auto"/>
                <w:bottom w:val="none" w:sz="0" w:space="0" w:color="auto"/>
                <w:right w:val="none" w:sz="0" w:space="0" w:color="auto"/>
              </w:divBdr>
              <w:divsChild>
                <w:div w:id="412775871">
                  <w:marLeft w:val="0"/>
                  <w:marRight w:val="0"/>
                  <w:marTop w:val="0"/>
                  <w:marBottom w:val="0"/>
                  <w:divBdr>
                    <w:top w:val="none" w:sz="0" w:space="0" w:color="auto"/>
                    <w:left w:val="none" w:sz="0" w:space="0" w:color="auto"/>
                    <w:bottom w:val="none" w:sz="0" w:space="0" w:color="auto"/>
                    <w:right w:val="none" w:sz="0" w:space="0" w:color="auto"/>
                  </w:divBdr>
                  <w:divsChild>
                    <w:div w:id="11835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386771">
      <w:bodyDiv w:val="1"/>
      <w:marLeft w:val="0"/>
      <w:marRight w:val="0"/>
      <w:marTop w:val="0"/>
      <w:marBottom w:val="0"/>
      <w:divBdr>
        <w:top w:val="none" w:sz="0" w:space="0" w:color="auto"/>
        <w:left w:val="none" w:sz="0" w:space="0" w:color="auto"/>
        <w:bottom w:val="none" w:sz="0" w:space="0" w:color="auto"/>
        <w:right w:val="none" w:sz="0" w:space="0" w:color="auto"/>
      </w:divBdr>
    </w:div>
    <w:div w:id="1826631136">
      <w:bodyDiv w:val="1"/>
      <w:marLeft w:val="0"/>
      <w:marRight w:val="0"/>
      <w:marTop w:val="0"/>
      <w:marBottom w:val="0"/>
      <w:divBdr>
        <w:top w:val="none" w:sz="0" w:space="0" w:color="auto"/>
        <w:left w:val="none" w:sz="0" w:space="0" w:color="auto"/>
        <w:bottom w:val="none" w:sz="0" w:space="0" w:color="auto"/>
        <w:right w:val="none" w:sz="0" w:space="0" w:color="auto"/>
      </w:divBdr>
    </w:div>
    <w:div w:id="1831486003">
      <w:bodyDiv w:val="1"/>
      <w:marLeft w:val="0"/>
      <w:marRight w:val="0"/>
      <w:marTop w:val="0"/>
      <w:marBottom w:val="0"/>
      <w:divBdr>
        <w:top w:val="none" w:sz="0" w:space="0" w:color="auto"/>
        <w:left w:val="none" w:sz="0" w:space="0" w:color="auto"/>
        <w:bottom w:val="none" w:sz="0" w:space="0" w:color="auto"/>
        <w:right w:val="none" w:sz="0" w:space="0" w:color="auto"/>
      </w:divBdr>
    </w:div>
    <w:div w:id="1832797164">
      <w:bodyDiv w:val="1"/>
      <w:marLeft w:val="0"/>
      <w:marRight w:val="0"/>
      <w:marTop w:val="0"/>
      <w:marBottom w:val="0"/>
      <w:divBdr>
        <w:top w:val="none" w:sz="0" w:space="0" w:color="auto"/>
        <w:left w:val="none" w:sz="0" w:space="0" w:color="auto"/>
        <w:bottom w:val="none" w:sz="0" w:space="0" w:color="auto"/>
        <w:right w:val="none" w:sz="0" w:space="0" w:color="auto"/>
      </w:divBdr>
      <w:divsChild>
        <w:div w:id="1078403234">
          <w:marLeft w:val="0"/>
          <w:marRight w:val="0"/>
          <w:marTop w:val="0"/>
          <w:marBottom w:val="0"/>
          <w:divBdr>
            <w:top w:val="none" w:sz="0" w:space="0" w:color="auto"/>
            <w:left w:val="none" w:sz="0" w:space="0" w:color="auto"/>
            <w:bottom w:val="none" w:sz="0" w:space="0" w:color="auto"/>
            <w:right w:val="none" w:sz="0" w:space="0" w:color="auto"/>
          </w:divBdr>
          <w:divsChild>
            <w:div w:id="999894701">
              <w:marLeft w:val="0"/>
              <w:marRight w:val="0"/>
              <w:marTop w:val="0"/>
              <w:marBottom w:val="0"/>
              <w:divBdr>
                <w:top w:val="none" w:sz="0" w:space="0" w:color="auto"/>
                <w:left w:val="none" w:sz="0" w:space="0" w:color="auto"/>
                <w:bottom w:val="none" w:sz="0" w:space="0" w:color="auto"/>
                <w:right w:val="none" w:sz="0" w:space="0" w:color="auto"/>
              </w:divBdr>
              <w:divsChild>
                <w:div w:id="1274825444">
                  <w:marLeft w:val="0"/>
                  <w:marRight w:val="0"/>
                  <w:marTop w:val="0"/>
                  <w:marBottom w:val="0"/>
                  <w:divBdr>
                    <w:top w:val="none" w:sz="0" w:space="0" w:color="auto"/>
                    <w:left w:val="none" w:sz="0" w:space="0" w:color="auto"/>
                    <w:bottom w:val="none" w:sz="0" w:space="0" w:color="auto"/>
                    <w:right w:val="none" w:sz="0" w:space="0" w:color="auto"/>
                  </w:divBdr>
                  <w:divsChild>
                    <w:div w:id="104452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717570">
      <w:bodyDiv w:val="1"/>
      <w:marLeft w:val="0"/>
      <w:marRight w:val="0"/>
      <w:marTop w:val="0"/>
      <w:marBottom w:val="0"/>
      <w:divBdr>
        <w:top w:val="none" w:sz="0" w:space="0" w:color="auto"/>
        <w:left w:val="none" w:sz="0" w:space="0" w:color="auto"/>
        <w:bottom w:val="none" w:sz="0" w:space="0" w:color="auto"/>
        <w:right w:val="none" w:sz="0" w:space="0" w:color="auto"/>
      </w:divBdr>
    </w:div>
    <w:div w:id="1840734254">
      <w:bodyDiv w:val="1"/>
      <w:marLeft w:val="0"/>
      <w:marRight w:val="0"/>
      <w:marTop w:val="0"/>
      <w:marBottom w:val="0"/>
      <w:divBdr>
        <w:top w:val="none" w:sz="0" w:space="0" w:color="auto"/>
        <w:left w:val="none" w:sz="0" w:space="0" w:color="auto"/>
        <w:bottom w:val="none" w:sz="0" w:space="0" w:color="auto"/>
        <w:right w:val="none" w:sz="0" w:space="0" w:color="auto"/>
      </w:divBdr>
      <w:divsChild>
        <w:div w:id="711923459">
          <w:marLeft w:val="0"/>
          <w:marRight w:val="0"/>
          <w:marTop w:val="0"/>
          <w:marBottom w:val="0"/>
          <w:divBdr>
            <w:top w:val="none" w:sz="0" w:space="0" w:color="auto"/>
            <w:left w:val="none" w:sz="0" w:space="0" w:color="auto"/>
            <w:bottom w:val="none" w:sz="0" w:space="0" w:color="auto"/>
            <w:right w:val="none" w:sz="0" w:space="0" w:color="auto"/>
          </w:divBdr>
          <w:divsChild>
            <w:div w:id="261106819">
              <w:marLeft w:val="0"/>
              <w:marRight w:val="0"/>
              <w:marTop w:val="0"/>
              <w:marBottom w:val="0"/>
              <w:divBdr>
                <w:top w:val="none" w:sz="0" w:space="0" w:color="auto"/>
                <w:left w:val="none" w:sz="0" w:space="0" w:color="auto"/>
                <w:bottom w:val="none" w:sz="0" w:space="0" w:color="auto"/>
                <w:right w:val="none" w:sz="0" w:space="0" w:color="auto"/>
              </w:divBdr>
              <w:divsChild>
                <w:div w:id="1100758891">
                  <w:marLeft w:val="0"/>
                  <w:marRight w:val="0"/>
                  <w:marTop w:val="0"/>
                  <w:marBottom w:val="0"/>
                  <w:divBdr>
                    <w:top w:val="none" w:sz="0" w:space="0" w:color="auto"/>
                    <w:left w:val="none" w:sz="0" w:space="0" w:color="auto"/>
                    <w:bottom w:val="none" w:sz="0" w:space="0" w:color="auto"/>
                    <w:right w:val="none" w:sz="0" w:space="0" w:color="auto"/>
                  </w:divBdr>
                  <w:divsChild>
                    <w:div w:id="4197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66896">
      <w:bodyDiv w:val="1"/>
      <w:marLeft w:val="0"/>
      <w:marRight w:val="0"/>
      <w:marTop w:val="0"/>
      <w:marBottom w:val="0"/>
      <w:divBdr>
        <w:top w:val="none" w:sz="0" w:space="0" w:color="auto"/>
        <w:left w:val="none" w:sz="0" w:space="0" w:color="auto"/>
        <w:bottom w:val="none" w:sz="0" w:space="0" w:color="auto"/>
        <w:right w:val="none" w:sz="0" w:space="0" w:color="auto"/>
      </w:divBdr>
    </w:div>
    <w:div w:id="1845851097">
      <w:bodyDiv w:val="1"/>
      <w:marLeft w:val="0"/>
      <w:marRight w:val="0"/>
      <w:marTop w:val="0"/>
      <w:marBottom w:val="0"/>
      <w:divBdr>
        <w:top w:val="none" w:sz="0" w:space="0" w:color="auto"/>
        <w:left w:val="none" w:sz="0" w:space="0" w:color="auto"/>
        <w:bottom w:val="none" w:sz="0" w:space="0" w:color="auto"/>
        <w:right w:val="none" w:sz="0" w:space="0" w:color="auto"/>
      </w:divBdr>
      <w:divsChild>
        <w:div w:id="1773672366">
          <w:marLeft w:val="0"/>
          <w:marRight w:val="0"/>
          <w:marTop w:val="0"/>
          <w:marBottom w:val="0"/>
          <w:divBdr>
            <w:top w:val="none" w:sz="0" w:space="0" w:color="auto"/>
            <w:left w:val="none" w:sz="0" w:space="0" w:color="auto"/>
            <w:bottom w:val="none" w:sz="0" w:space="0" w:color="auto"/>
            <w:right w:val="none" w:sz="0" w:space="0" w:color="auto"/>
          </w:divBdr>
          <w:divsChild>
            <w:div w:id="2044934588">
              <w:marLeft w:val="0"/>
              <w:marRight w:val="0"/>
              <w:marTop w:val="0"/>
              <w:marBottom w:val="0"/>
              <w:divBdr>
                <w:top w:val="none" w:sz="0" w:space="0" w:color="auto"/>
                <w:left w:val="none" w:sz="0" w:space="0" w:color="auto"/>
                <w:bottom w:val="none" w:sz="0" w:space="0" w:color="auto"/>
                <w:right w:val="none" w:sz="0" w:space="0" w:color="auto"/>
              </w:divBdr>
              <w:divsChild>
                <w:div w:id="10247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81256">
      <w:bodyDiv w:val="1"/>
      <w:marLeft w:val="0"/>
      <w:marRight w:val="0"/>
      <w:marTop w:val="0"/>
      <w:marBottom w:val="0"/>
      <w:divBdr>
        <w:top w:val="none" w:sz="0" w:space="0" w:color="auto"/>
        <w:left w:val="none" w:sz="0" w:space="0" w:color="auto"/>
        <w:bottom w:val="none" w:sz="0" w:space="0" w:color="auto"/>
        <w:right w:val="none" w:sz="0" w:space="0" w:color="auto"/>
      </w:divBdr>
    </w:div>
    <w:div w:id="1847748005">
      <w:bodyDiv w:val="1"/>
      <w:marLeft w:val="0"/>
      <w:marRight w:val="0"/>
      <w:marTop w:val="0"/>
      <w:marBottom w:val="0"/>
      <w:divBdr>
        <w:top w:val="none" w:sz="0" w:space="0" w:color="auto"/>
        <w:left w:val="none" w:sz="0" w:space="0" w:color="auto"/>
        <w:bottom w:val="none" w:sz="0" w:space="0" w:color="auto"/>
        <w:right w:val="none" w:sz="0" w:space="0" w:color="auto"/>
      </w:divBdr>
      <w:divsChild>
        <w:div w:id="408037802">
          <w:marLeft w:val="0"/>
          <w:marRight w:val="0"/>
          <w:marTop w:val="0"/>
          <w:marBottom w:val="0"/>
          <w:divBdr>
            <w:top w:val="none" w:sz="0" w:space="0" w:color="auto"/>
            <w:left w:val="none" w:sz="0" w:space="0" w:color="auto"/>
            <w:bottom w:val="none" w:sz="0" w:space="0" w:color="auto"/>
            <w:right w:val="none" w:sz="0" w:space="0" w:color="auto"/>
          </w:divBdr>
          <w:divsChild>
            <w:div w:id="844170287">
              <w:marLeft w:val="0"/>
              <w:marRight w:val="0"/>
              <w:marTop w:val="0"/>
              <w:marBottom w:val="0"/>
              <w:divBdr>
                <w:top w:val="none" w:sz="0" w:space="0" w:color="auto"/>
                <w:left w:val="none" w:sz="0" w:space="0" w:color="auto"/>
                <w:bottom w:val="none" w:sz="0" w:space="0" w:color="auto"/>
                <w:right w:val="none" w:sz="0" w:space="0" w:color="auto"/>
              </w:divBdr>
              <w:divsChild>
                <w:div w:id="1915890612">
                  <w:marLeft w:val="0"/>
                  <w:marRight w:val="0"/>
                  <w:marTop w:val="0"/>
                  <w:marBottom w:val="0"/>
                  <w:divBdr>
                    <w:top w:val="none" w:sz="0" w:space="0" w:color="auto"/>
                    <w:left w:val="none" w:sz="0" w:space="0" w:color="auto"/>
                    <w:bottom w:val="none" w:sz="0" w:space="0" w:color="auto"/>
                    <w:right w:val="none" w:sz="0" w:space="0" w:color="auto"/>
                  </w:divBdr>
                  <w:divsChild>
                    <w:div w:id="125373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83393">
      <w:bodyDiv w:val="1"/>
      <w:marLeft w:val="0"/>
      <w:marRight w:val="0"/>
      <w:marTop w:val="0"/>
      <w:marBottom w:val="0"/>
      <w:divBdr>
        <w:top w:val="none" w:sz="0" w:space="0" w:color="auto"/>
        <w:left w:val="none" w:sz="0" w:space="0" w:color="auto"/>
        <w:bottom w:val="none" w:sz="0" w:space="0" w:color="auto"/>
        <w:right w:val="none" w:sz="0" w:space="0" w:color="auto"/>
      </w:divBdr>
    </w:div>
    <w:div w:id="1858498798">
      <w:bodyDiv w:val="1"/>
      <w:marLeft w:val="0"/>
      <w:marRight w:val="0"/>
      <w:marTop w:val="0"/>
      <w:marBottom w:val="0"/>
      <w:divBdr>
        <w:top w:val="none" w:sz="0" w:space="0" w:color="auto"/>
        <w:left w:val="none" w:sz="0" w:space="0" w:color="auto"/>
        <w:bottom w:val="none" w:sz="0" w:space="0" w:color="auto"/>
        <w:right w:val="none" w:sz="0" w:space="0" w:color="auto"/>
      </w:divBdr>
      <w:divsChild>
        <w:div w:id="2133939282">
          <w:marLeft w:val="0"/>
          <w:marRight w:val="0"/>
          <w:marTop w:val="0"/>
          <w:marBottom w:val="0"/>
          <w:divBdr>
            <w:top w:val="none" w:sz="0" w:space="0" w:color="auto"/>
            <w:left w:val="none" w:sz="0" w:space="0" w:color="auto"/>
            <w:bottom w:val="none" w:sz="0" w:space="0" w:color="auto"/>
            <w:right w:val="none" w:sz="0" w:space="0" w:color="auto"/>
          </w:divBdr>
          <w:divsChild>
            <w:div w:id="2002467587">
              <w:marLeft w:val="0"/>
              <w:marRight w:val="0"/>
              <w:marTop w:val="0"/>
              <w:marBottom w:val="0"/>
              <w:divBdr>
                <w:top w:val="none" w:sz="0" w:space="0" w:color="auto"/>
                <w:left w:val="none" w:sz="0" w:space="0" w:color="auto"/>
                <w:bottom w:val="none" w:sz="0" w:space="0" w:color="auto"/>
                <w:right w:val="none" w:sz="0" w:space="0" w:color="auto"/>
              </w:divBdr>
              <w:divsChild>
                <w:div w:id="20023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39502">
      <w:bodyDiv w:val="1"/>
      <w:marLeft w:val="0"/>
      <w:marRight w:val="0"/>
      <w:marTop w:val="0"/>
      <w:marBottom w:val="0"/>
      <w:divBdr>
        <w:top w:val="none" w:sz="0" w:space="0" w:color="auto"/>
        <w:left w:val="none" w:sz="0" w:space="0" w:color="auto"/>
        <w:bottom w:val="none" w:sz="0" w:space="0" w:color="auto"/>
        <w:right w:val="none" w:sz="0" w:space="0" w:color="auto"/>
      </w:divBdr>
    </w:div>
    <w:div w:id="1868250863">
      <w:bodyDiv w:val="1"/>
      <w:marLeft w:val="0"/>
      <w:marRight w:val="0"/>
      <w:marTop w:val="0"/>
      <w:marBottom w:val="0"/>
      <w:divBdr>
        <w:top w:val="none" w:sz="0" w:space="0" w:color="auto"/>
        <w:left w:val="none" w:sz="0" w:space="0" w:color="auto"/>
        <w:bottom w:val="none" w:sz="0" w:space="0" w:color="auto"/>
        <w:right w:val="none" w:sz="0" w:space="0" w:color="auto"/>
      </w:divBdr>
      <w:divsChild>
        <w:div w:id="870797497">
          <w:marLeft w:val="0"/>
          <w:marRight w:val="0"/>
          <w:marTop w:val="0"/>
          <w:marBottom w:val="0"/>
          <w:divBdr>
            <w:top w:val="none" w:sz="0" w:space="0" w:color="auto"/>
            <w:left w:val="none" w:sz="0" w:space="0" w:color="auto"/>
            <w:bottom w:val="none" w:sz="0" w:space="0" w:color="auto"/>
            <w:right w:val="none" w:sz="0" w:space="0" w:color="auto"/>
          </w:divBdr>
          <w:divsChild>
            <w:div w:id="243418131">
              <w:marLeft w:val="0"/>
              <w:marRight w:val="0"/>
              <w:marTop w:val="0"/>
              <w:marBottom w:val="0"/>
              <w:divBdr>
                <w:top w:val="none" w:sz="0" w:space="0" w:color="auto"/>
                <w:left w:val="none" w:sz="0" w:space="0" w:color="auto"/>
                <w:bottom w:val="none" w:sz="0" w:space="0" w:color="auto"/>
                <w:right w:val="none" w:sz="0" w:space="0" w:color="auto"/>
              </w:divBdr>
              <w:divsChild>
                <w:div w:id="11066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57050">
      <w:bodyDiv w:val="1"/>
      <w:marLeft w:val="0"/>
      <w:marRight w:val="0"/>
      <w:marTop w:val="0"/>
      <w:marBottom w:val="0"/>
      <w:divBdr>
        <w:top w:val="none" w:sz="0" w:space="0" w:color="auto"/>
        <w:left w:val="none" w:sz="0" w:space="0" w:color="auto"/>
        <w:bottom w:val="none" w:sz="0" w:space="0" w:color="auto"/>
        <w:right w:val="none" w:sz="0" w:space="0" w:color="auto"/>
      </w:divBdr>
    </w:div>
    <w:div w:id="1899854304">
      <w:bodyDiv w:val="1"/>
      <w:marLeft w:val="0"/>
      <w:marRight w:val="0"/>
      <w:marTop w:val="0"/>
      <w:marBottom w:val="0"/>
      <w:divBdr>
        <w:top w:val="none" w:sz="0" w:space="0" w:color="auto"/>
        <w:left w:val="none" w:sz="0" w:space="0" w:color="auto"/>
        <w:bottom w:val="none" w:sz="0" w:space="0" w:color="auto"/>
        <w:right w:val="none" w:sz="0" w:space="0" w:color="auto"/>
      </w:divBdr>
      <w:divsChild>
        <w:div w:id="83113090">
          <w:marLeft w:val="0"/>
          <w:marRight w:val="0"/>
          <w:marTop w:val="0"/>
          <w:marBottom w:val="0"/>
          <w:divBdr>
            <w:top w:val="none" w:sz="0" w:space="0" w:color="auto"/>
            <w:left w:val="none" w:sz="0" w:space="0" w:color="auto"/>
            <w:bottom w:val="none" w:sz="0" w:space="0" w:color="auto"/>
            <w:right w:val="none" w:sz="0" w:space="0" w:color="auto"/>
          </w:divBdr>
          <w:divsChild>
            <w:div w:id="128741144">
              <w:marLeft w:val="0"/>
              <w:marRight w:val="0"/>
              <w:marTop w:val="0"/>
              <w:marBottom w:val="0"/>
              <w:divBdr>
                <w:top w:val="none" w:sz="0" w:space="0" w:color="auto"/>
                <w:left w:val="none" w:sz="0" w:space="0" w:color="auto"/>
                <w:bottom w:val="none" w:sz="0" w:space="0" w:color="auto"/>
                <w:right w:val="none" w:sz="0" w:space="0" w:color="auto"/>
              </w:divBdr>
              <w:divsChild>
                <w:div w:id="86902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068655">
      <w:bodyDiv w:val="1"/>
      <w:marLeft w:val="0"/>
      <w:marRight w:val="0"/>
      <w:marTop w:val="0"/>
      <w:marBottom w:val="0"/>
      <w:divBdr>
        <w:top w:val="none" w:sz="0" w:space="0" w:color="auto"/>
        <w:left w:val="none" w:sz="0" w:space="0" w:color="auto"/>
        <w:bottom w:val="none" w:sz="0" w:space="0" w:color="auto"/>
        <w:right w:val="none" w:sz="0" w:space="0" w:color="auto"/>
      </w:divBdr>
    </w:div>
    <w:div w:id="1909610929">
      <w:bodyDiv w:val="1"/>
      <w:marLeft w:val="0"/>
      <w:marRight w:val="0"/>
      <w:marTop w:val="0"/>
      <w:marBottom w:val="0"/>
      <w:divBdr>
        <w:top w:val="none" w:sz="0" w:space="0" w:color="auto"/>
        <w:left w:val="none" w:sz="0" w:space="0" w:color="auto"/>
        <w:bottom w:val="none" w:sz="0" w:space="0" w:color="auto"/>
        <w:right w:val="none" w:sz="0" w:space="0" w:color="auto"/>
      </w:divBdr>
    </w:div>
    <w:div w:id="1917855903">
      <w:bodyDiv w:val="1"/>
      <w:marLeft w:val="0"/>
      <w:marRight w:val="0"/>
      <w:marTop w:val="0"/>
      <w:marBottom w:val="0"/>
      <w:divBdr>
        <w:top w:val="none" w:sz="0" w:space="0" w:color="auto"/>
        <w:left w:val="none" w:sz="0" w:space="0" w:color="auto"/>
        <w:bottom w:val="none" w:sz="0" w:space="0" w:color="auto"/>
        <w:right w:val="none" w:sz="0" w:space="0" w:color="auto"/>
      </w:divBdr>
    </w:div>
    <w:div w:id="1919711386">
      <w:bodyDiv w:val="1"/>
      <w:marLeft w:val="0"/>
      <w:marRight w:val="0"/>
      <w:marTop w:val="0"/>
      <w:marBottom w:val="0"/>
      <w:divBdr>
        <w:top w:val="none" w:sz="0" w:space="0" w:color="auto"/>
        <w:left w:val="none" w:sz="0" w:space="0" w:color="auto"/>
        <w:bottom w:val="none" w:sz="0" w:space="0" w:color="auto"/>
        <w:right w:val="none" w:sz="0" w:space="0" w:color="auto"/>
      </w:divBdr>
      <w:divsChild>
        <w:div w:id="1869290444">
          <w:marLeft w:val="0"/>
          <w:marRight w:val="0"/>
          <w:marTop w:val="0"/>
          <w:marBottom w:val="0"/>
          <w:divBdr>
            <w:top w:val="none" w:sz="0" w:space="0" w:color="auto"/>
            <w:left w:val="none" w:sz="0" w:space="0" w:color="auto"/>
            <w:bottom w:val="single" w:sz="6" w:space="0" w:color="auto"/>
            <w:right w:val="none" w:sz="0" w:space="0" w:color="auto"/>
          </w:divBdr>
          <w:divsChild>
            <w:div w:id="1454446873">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0"/>
                  <w:marRight w:val="0"/>
                  <w:marTop w:val="0"/>
                  <w:marBottom w:val="0"/>
                  <w:divBdr>
                    <w:top w:val="none" w:sz="0" w:space="0" w:color="auto"/>
                    <w:left w:val="none" w:sz="0" w:space="0" w:color="auto"/>
                    <w:bottom w:val="none" w:sz="0" w:space="0" w:color="auto"/>
                    <w:right w:val="none" w:sz="0" w:space="0" w:color="auto"/>
                  </w:divBdr>
                  <w:divsChild>
                    <w:div w:id="1234271990">
                      <w:marLeft w:val="0"/>
                      <w:marRight w:val="0"/>
                      <w:marTop w:val="0"/>
                      <w:marBottom w:val="0"/>
                      <w:divBdr>
                        <w:top w:val="none" w:sz="0" w:space="0" w:color="auto"/>
                        <w:left w:val="none" w:sz="0" w:space="0" w:color="auto"/>
                        <w:bottom w:val="none" w:sz="0" w:space="0" w:color="auto"/>
                        <w:right w:val="none" w:sz="0" w:space="0" w:color="auto"/>
                      </w:divBdr>
                      <w:divsChild>
                        <w:div w:id="1724939465">
                          <w:marLeft w:val="0"/>
                          <w:marRight w:val="0"/>
                          <w:marTop w:val="0"/>
                          <w:marBottom w:val="0"/>
                          <w:divBdr>
                            <w:top w:val="none" w:sz="0" w:space="0" w:color="auto"/>
                            <w:left w:val="none" w:sz="0" w:space="0" w:color="auto"/>
                            <w:bottom w:val="none" w:sz="0" w:space="0" w:color="auto"/>
                            <w:right w:val="none" w:sz="0" w:space="0" w:color="auto"/>
                          </w:divBdr>
                          <w:divsChild>
                            <w:div w:id="192290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771891">
          <w:marLeft w:val="0"/>
          <w:marRight w:val="0"/>
          <w:marTop w:val="0"/>
          <w:marBottom w:val="0"/>
          <w:divBdr>
            <w:top w:val="none" w:sz="0" w:space="0" w:color="auto"/>
            <w:left w:val="none" w:sz="0" w:space="0" w:color="auto"/>
            <w:bottom w:val="none" w:sz="0" w:space="0" w:color="auto"/>
            <w:right w:val="none" w:sz="0" w:space="0" w:color="auto"/>
          </w:divBdr>
          <w:divsChild>
            <w:div w:id="2067758178">
              <w:marLeft w:val="0"/>
              <w:marRight w:val="0"/>
              <w:marTop w:val="0"/>
              <w:marBottom w:val="0"/>
              <w:divBdr>
                <w:top w:val="none" w:sz="0" w:space="0" w:color="auto"/>
                <w:left w:val="none" w:sz="0" w:space="0" w:color="auto"/>
                <w:bottom w:val="none" w:sz="0" w:space="0" w:color="auto"/>
                <w:right w:val="none" w:sz="0" w:space="0" w:color="auto"/>
              </w:divBdr>
              <w:divsChild>
                <w:div w:id="615598829">
                  <w:marLeft w:val="0"/>
                  <w:marRight w:val="0"/>
                  <w:marTop w:val="0"/>
                  <w:marBottom w:val="0"/>
                  <w:divBdr>
                    <w:top w:val="none" w:sz="0" w:space="0" w:color="auto"/>
                    <w:left w:val="none" w:sz="0" w:space="0" w:color="auto"/>
                    <w:bottom w:val="none" w:sz="0" w:space="0" w:color="auto"/>
                    <w:right w:val="none" w:sz="0" w:space="0" w:color="auto"/>
                  </w:divBdr>
                  <w:divsChild>
                    <w:div w:id="1156263049">
                      <w:marLeft w:val="0"/>
                      <w:marRight w:val="0"/>
                      <w:marTop w:val="0"/>
                      <w:marBottom w:val="0"/>
                      <w:divBdr>
                        <w:top w:val="none" w:sz="0" w:space="0" w:color="auto"/>
                        <w:left w:val="none" w:sz="0" w:space="0" w:color="auto"/>
                        <w:bottom w:val="none" w:sz="0" w:space="0" w:color="auto"/>
                        <w:right w:val="none" w:sz="0" w:space="0" w:color="auto"/>
                      </w:divBdr>
                      <w:divsChild>
                        <w:div w:id="241181570">
                          <w:marLeft w:val="0"/>
                          <w:marRight w:val="0"/>
                          <w:marTop w:val="0"/>
                          <w:marBottom w:val="0"/>
                          <w:divBdr>
                            <w:top w:val="none" w:sz="0" w:space="0" w:color="auto"/>
                            <w:left w:val="none" w:sz="0" w:space="0" w:color="auto"/>
                            <w:bottom w:val="none" w:sz="0" w:space="0" w:color="auto"/>
                            <w:right w:val="none" w:sz="0" w:space="0" w:color="auto"/>
                          </w:divBdr>
                          <w:divsChild>
                            <w:div w:id="89786500">
                              <w:marLeft w:val="0"/>
                              <w:marRight w:val="0"/>
                              <w:marTop w:val="0"/>
                              <w:marBottom w:val="0"/>
                              <w:divBdr>
                                <w:top w:val="none" w:sz="0" w:space="0" w:color="auto"/>
                                <w:left w:val="none" w:sz="0" w:space="0" w:color="auto"/>
                                <w:bottom w:val="none" w:sz="0" w:space="0" w:color="auto"/>
                                <w:right w:val="none" w:sz="0" w:space="0" w:color="auto"/>
                              </w:divBdr>
                            </w:div>
                            <w:div w:id="1367295021">
                              <w:marLeft w:val="0"/>
                              <w:marRight w:val="0"/>
                              <w:marTop w:val="0"/>
                              <w:marBottom w:val="0"/>
                              <w:divBdr>
                                <w:top w:val="none" w:sz="0" w:space="0" w:color="auto"/>
                                <w:left w:val="none" w:sz="0" w:space="0" w:color="auto"/>
                                <w:bottom w:val="none" w:sz="0" w:space="0" w:color="auto"/>
                                <w:right w:val="none" w:sz="0" w:space="0" w:color="auto"/>
                              </w:divBdr>
                            </w:div>
                            <w:div w:id="1683313360">
                              <w:marLeft w:val="0"/>
                              <w:marRight w:val="0"/>
                              <w:marTop w:val="100"/>
                              <w:marBottom w:val="0"/>
                              <w:divBdr>
                                <w:top w:val="none" w:sz="0" w:space="0" w:color="auto"/>
                                <w:left w:val="none" w:sz="0" w:space="0" w:color="auto"/>
                                <w:bottom w:val="none" w:sz="0" w:space="0" w:color="auto"/>
                                <w:right w:val="none" w:sz="0" w:space="0" w:color="auto"/>
                              </w:divBdr>
                              <w:divsChild>
                                <w:div w:id="341250682">
                                  <w:marLeft w:val="0"/>
                                  <w:marRight w:val="0"/>
                                  <w:marTop w:val="0"/>
                                  <w:marBottom w:val="0"/>
                                  <w:divBdr>
                                    <w:top w:val="none" w:sz="0" w:space="0" w:color="auto"/>
                                    <w:left w:val="none" w:sz="0" w:space="0" w:color="auto"/>
                                    <w:bottom w:val="none" w:sz="0" w:space="0" w:color="auto"/>
                                    <w:right w:val="none" w:sz="0" w:space="0" w:color="auto"/>
                                  </w:divBdr>
                                  <w:divsChild>
                                    <w:div w:id="158232174">
                                      <w:marLeft w:val="0"/>
                                      <w:marRight w:val="0"/>
                                      <w:marTop w:val="0"/>
                                      <w:marBottom w:val="0"/>
                                      <w:divBdr>
                                        <w:top w:val="none" w:sz="0" w:space="0" w:color="auto"/>
                                        <w:left w:val="none" w:sz="0" w:space="0" w:color="auto"/>
                                        <w:bottom w:val="none" w:sz="0" w:space="0" w:color="auto"/>
                                        <w:right w:val="none" w:sz="0" w:space="0" w:color="auto"/>
                                      </w:divBdr>
                                      <w:divsChild>
                                        <w:div w:id="1554466814">
                                          <w:marLeft w:val="0"/>
                                          <w:marRight w:val="0"/>
                                          <w:marTop w:val="0"/>
                                          <w:marBottom w:val="0"/>
                                          <w:divBdr>
                                            <w:top w:val="none" w:sz="0" w:space="0" w:color="auto"/>
                                            <w:left w:val="none" w:sz="0" w:space="0" w:color="auto"/>
                                            <w:bottom w:val="none" w:sz="0" w:space="0" w:color="auto"/>
                                            <w:right w:val="none" w:sz="0" w:space="0" w:color="auto"/>
                                          </w:divBdr>
                                          <w:divsChild>
                                            <w:div w:id="649139971">
                                              <w:marLeft w:val="0"/>
                                              <w:marRight w:val="0"/>
                                              <w:marTop w:val="0"/>
                                              <w:marBottom w:val="0"/>
                                              <w:divBdr>
                                                <w:top w:val="none" w:sz="0" w:space="0" w:color="auto"/>
                                                <w:left w:val="none" w:sz="0" w:space="0" w:color="auto"/>
                                                <w:bottom w:val="none" w:sz="0" w:space="0" w:color="auto"/>
                                                <w:right w:val="none" w:sz="0" w:space="0" w:color="auto"/>
                                              </w:divBdr>
                                              <w:divsChild>
                                                <w:div w:id="369186403">
                                                  <w:marLeft w:val="0"/>
                                                  <w:marRight w:val="0"/>
                                                  <w:marTop w:val="0"/>
                                                  <w:marBottom w:val="0"/>
                                                  <w:divBdr>
                                                    <w:top w:val="none" w:sz="0" w:space="0" w:color="auto"/>
                                                    <w:left w:val="none" w:sz="0" w:space="0" w:color="auto"/>
                                                    <w:bottom w:val="none" w:sz="0" w:space="0" w:color="auto"/>
                                                    <w:right w:val="none" w:sz="0" w:space="0" w:color="auto"/>
                                                  </w:divBdr>
                                                  <w:divsChild>
                                                    <w:div w:id="74267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23527">
                                              <w:marLeft w:val="0"/>
                                              <w:marRight w:val="0"/>
                                              <w:marTop w:val="0"/>
                                              <w:marBottom w:val="0"/>
                                              <w:divBdr>
                                                <w:top w:val="none" w:sz="0" w:space="0" w:color="auto"/>
                                                <w:left w:val="none" w:sz="0" w:space="0" w:color="auto"/>
                                                <w:bottom w:val="none" w:sz="0" w:space="0" w:color="auto"/>
                                                <w:right w:val="none" w:sz="0" w:space="0" w:color="auto"/>
                                              </w:divBdr>
                                              <w:divsChild>
                                                <w:div w:id="483283599">
                                                  <w:marLeft w:val="0"/>
                                                  <w:marRight w:val="0"/>
                                                  <w:marTop w:val="60"/>
                                                  <w:marBottom w:val="0"/>
                                                  <w:divBdr>
                                                    <w:top w:val="none" w:sz="0" w:space="0" w:color="auto"/>
                                                    <w:left w:val="none" w:sz="0" w:space="0" w:color="auto"/>
                                                    <w:bottom w:val="none" w:sz="0" w:space="0" w:color="auto"/>
                                                    <w:right w:val="none" w:sz="0" w:space="0" w:color="auto"/>
                                                  </w:divBdr>
                                                </w:div>
                                                <w:div w:id="124795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79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27001">
      <w:bodyDiv w:val="1"/>
      <w:marLeft w:val="0"/>
      <w:marRight w:val="0"/>
      <w:marTop w:val="0"/>
      <w:marBottom w:val="0"/>
      <w:divBdr>
        <w:top w:val="none" w:sz="0" w:space="0" w:color="auto"/>
        <w:left w:val="none" w:sz="0" w:space="0" w:color="auto"/>
        <w:bottom w:val="none" w:sz="0" w:space="0" w:color="auto"/>
        <w:right w:val="none" w:sz="0" w:space="0" w:color="auto"/>
      </w:divBdr>
      <w:divsChild>
        <w:div w:id="2032879223">
          <w:marLeft w:val="0"/>
          <w:marRight w:val="0"/>
          <w:marTop w:val="0"/>
          <w:marBottom w:val="0"/>
          <w:divBdr>
            <w:top w:val="none" w:sz="0" w:space="0" w:color="auto"/>
            <w:left w:val="none" w:sz="0" w:space="0" w:color="auto"/>
            <w:bottom w:val="none" w:sz="0" w:space="0" w:color="auto"/>
            <w:right w:val="none" w:sz="0" w:space="0" w:color="auto"/>
          </w:divBdr>
          <w:divsChild>
            <w:div w:id="2825505">
              <w:marLeft w:val="0"/>
              <w:marRight w:val="0"/>
              <w:marTop w:val="0"/>
              <w:marBottom w:val="0"/>
              <w:divBdr>
                <w:top w:val="none" w:sz="0" w:space="0" w:color="auto"/>
                <w:left w:val="none" w:sz="0" w:space="0" w:color="auto"/>
                <w:bottom w:val="none" w:sz="0" w:space="0" w:color="auto"/>
                <w:right w:val="none" w:sz="0" w:space="0" w:color="auto"/>
              </w:divBdr>
              <w:divsChild>
                <w:div w:id="1228110756">
                  <w:marLeft w:val="0"/>
                  <w:marRight w:val="0"/>
                  <w:marTop w:val="0"/>
                  <w:marBottom w:val="0"/>
                  <w:divBdr>
                    <w:top w:val="none" w:sz="0" w:space="0" w:color="auto"/>
                    <w:left w:val="none" w:sz="0" w:space="0" w:color="auto"/>
                    <w:bottom w:val="none" w:sz="0" w:space="0" w:color="auto"/>
                    <w:right w:val="none" w:sz="0" w:space="0" w:color="auto"/>
                  </w:divBdr>
                  <w:divsChild>
                    <w:div w:id="1126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497635">
      <w:bodyDiv w:val="1"/>
      <w:marLeft w:val="0"/>
      <w:marRight w:val="0"/>
      <w:marTop w:val="0"/>
      <w:marBottom w:val="0"/>
      <w:divBdr>
        <w:top w:val="none" w:sz="0" w:space="0" w:color="auto"/>
        <w:left w:val="none" w:sz="0" w:space="0" w:color="auto"/>
        <w:bottom w:val="none" w:sz="0" w:space="0" w:color="auto"/>
        <w:right w:val="none" w:sz="0" w:space="0" w:color="auto"/>
      </w:divBdr>
    </w:div>
    <w:div w:id="1940403152">
      <w:bodyDiv w:val="1"/>
      <w:marLeft w:val="0"/>
      <w:marRight w:val="0"/>
      <w:marTop w:val="0"/>
      <w:marBottom w:val="0"/>
      <w:divBdr>
        <w:top w:val="none" w:sz="0" w:space="0" w:color="auto"/>
        <w:left w:val="none" w:sz="0" w:space="0" w:color="auto"/>
        <w:bottom w:val="none" w:sz="0" w:space="0" w:color="auto"/>
        <w:right w:val="none" w:sz="0" w:space="0" w:color="auto"/>
      </w:divBdr>
      <w:divsChild>
        <w:div w:id="1875919820">
          <w:marLeft w:val="0"/>
          <w:marRight w:val="0"/>
          <w:marTop w:val="0"/>
          <w:marBottom w:val="0"/>
          <w:divBdr>
            <w:top w:val="none" w:sz="0" w:space="0" w:color="auto"/>
            <w:left w:val="none" w:sz="0" w:space="0" w:color="auto"/>
            <w:bottom w:val="none" w:sz="0" w:space="0" w:color="auto"/>
            <w:right w:val="none" w:sz="0" w:space="0" w:color="auto"/>
          </w:divBdr>
          <w:divsChild>
            <w:div w:id="986980934">
              <w:marLeft w:val="0"/>
              <w:marRight w:val="0"/>
              <w:marTop w:val="0"/>
              <w:marBottom w:val="0"/>
              <w:divBdr>
                <w:top w:val="none" w:sz="0" w:space="0" w:color="auto"/>
                <w:left w:val="none" w:sz="0" w:space="0" w:color="auto"/>
                <w:bottom w:val="none" w:sz="0" w:space="0" w:color="auto"/>
                <w:right w:val="none" w:sz="0" w:space="0" w:color="auto"/>
              </w:divBdr>
              <w:divsChild>
                <w:div w:id="119735374">
                  <w:marLeft w:val="0"/>
                  <w:marRight w:val="0"/>
                  <w:marTop w:val="0"/>
                  <w:marBottom w:val="0"/>
                  <w:divBdr>
                    <w:top w:val="none" w:sz="0" w:space="0" w:color="auto"/>
                    <w:left w:val="none" w:sz="0" w:space="0" w:color="auto"/>
                    <w:bottom w:val="none" w:sz="0" w:space="0" w:color="auto"/>
                    <w:right w:val="none" w:sz="0" w:space="0" w:color="auto"/>
                  </w:divBdr>
                  <w:divsChild>
                    <w:div w:id="11997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832158">
      <w:bodyDiv w:val="1"/>
      <w:marLeft w:val="0"/>
      <w:marRight w:val="0"/>
      <w:marTop w:val="0"/>
      <w:marBottom w:val="0"/>
      <w:divBdr>
        <w:top w:val="none" w:sz="0" w:space="0" w:color="auto"/>
        <w:left w:val="none" w:sz="0" w:space="0" w:color="auto"/>
        <w:bottom w:val="none" w:sz="0" w:space="0" w:color="auto"/>
        <w:right w:val="none" w:sz="0" w:space="0" w:color="auto"/>
      </w:divBdr>
      <w:divsChild>
        <w:div w:id="1099377310">
          <w:marLeft w:val="0"/>
          <w:marRight w:val="0"/>
          <w:marTop w:val="0"/>
          <w:marBottom w:val="0"/>
          <w:divBdr>
            <w:top w:val="none" w:sz="0" w:space="0" w:color="auto"/>
            <w:left w:val="none" w:sz="0" w:space="0" w:color="auto"/>
            <w:bottom w:val="none" w:sz="0" w:space="0" w:color="auto"/>
            <w:right w:val="none" w:sz="0" w:space="0" w:color="auto"/>
          </w:divBdr>
          <w:divsChild>
            <w:div w:id="893200595">
              <w:marLeft w:val="0"/>
              <w:marRight w:val="0"/>
              <w:marTop w:val="0"/>
              <w:marBottom w:val="0"/>
              <w:divBdr>
                <w:top w:val="none" w:sz="0" w:space="0" w:color="auto"/>
                <w:left w:val="none" w:sz="0" w:space="0" w:color="auto"/>
                <w:bottom w:val="none" w:sz="0" w:space="0" w:color="auto"/>
                <w:right w:val="none" w:sz="0" w:space="0" w:color="auto"/>
              </w:divBdr>
              <w:divsChild>
                <w:div w:id="13918740">
                  <w:marLeft w:val="0"/>
                  <w:marRight w:val="0"/>
                  <w:marTop w:val="0"/>
                  <w:marBottom w:val="0"/>
                  <w:divBdr>
                    <w:top w:val="none" w:sz="0" w:space="0" w:color="auto"/>
                    <w:left w:val="none" w:sz="0" w:space="0" w:color="auto"/>
                    <w:bottom w:val="none" w:sz="0" w:space="0" w:color="auto"/>
                    <w:right w:val="none" w:sz="0" w:space="0" w:color="auto"/>
                  </w:divBdr>
                  <w:divsChild>
                    <w:div w:id="49075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18159">
      <w:bodyDiv w:val="1"/>
      <w:marLeft w:val="0"/>
      <w:marRight w:val="0"/>
      <w:marTop w:val="0"/>
      <w:marBottom w:val="0"/>
      <w:divBdr>
        <w:top w:val="none" w:sz="0" w:space="0" w:color="auto"/>
        <w:left w:val="none" w:sz="0" w:space="0" w:color="auto"/>
        <w:bottom w:val="none" w:sz="0" w:space="0" w:color="auto"/>
        <w:right w:val="none" w:sz="0" w:space="0" w:color="auto"/>
      </w:divBdr>
    </w:div>
    <w:div w:id="1966961037">
      <w:bodyDiv w:val="1"/>
      <w:marLeft w:val="0"/>
      <w:marRight w:val="0"/>
      <w:marTop w:val="0"/>
      <w:marBottom w:val="0"/>
      <w:divBdr>
        <w:top w:val="none" w:sz="0" w:space="0" w:color="auto"/>
        <w:left w:val="none" w:sz="0" w:space="0" w:color="auto"/>
        <w:bottom w:val="none" w:sz="0" w:space="0" w:color="auto"/>
        <w:right w:val="none" w:sz="0" w:space="0" w:color="auto"/>
      </w:divBdr>
    </w:div>
    <w:div w:id="1975062644">
      <w:bodyDiv w:val="1"/>
      <w:marLeft w:val="0"/>
      <w:marRight w:val="0"/>
      <w:marTop w:val="0"/>
      <w:marBottom w:val="0"/>
      <w:divBdr>
        <w:top w:val="none" w:sz="0" w:space="0" w:color="auto"/>
        <w:left w:val="none" w:sz="0" w:space="0" w:color="auto"/>
        <w:bottom w:val="none" w:sz="0" w:space="0" w:color="auto"/>
        <w:right w:val="none" w:sz="0" w:space="0" w:color="auto"/>
      </w:divBdr>
    </w:div>
    <w:div w:id="1987781492">
      <w:bodyDiv w:val="1"/>
      <w:marLeft w:val="0"/>
      <w:marRight w:val="0"/>
      <w:marTop w:val="0"/>
      <w:marBottom w:val="0"/>
      <w:divBdr>
        <w:top w:val="none" w:sz="0" w:space="0" w:color="auto"/>
        <w:left w:val="none" w:sz="0" w:space="0" w:color="auto"/>
        <w:bottom w:val="none" w:sz="0" w:space="0" w:color="auto"/>
        <w:right w:val="none" w:sz="0" w:space="0" w:color="auto"/>
      </w:divBdr>
    </w:div>
    <w:div w:id="1989626193">
      <w:bodyDiv w:val="1"/>
      <w:marLeft w:val="0"/>
      <w:marRight w:val="0"/>
      <w:marTop w:val="0"/>
      <w:marBottom w:val="0"/>
      <w:divBdr>
        <w:top w:val="none" w:sz="0" w:space="0" w:color="auto"/>
        <w:left w:val="none" w:sz="0" w:space="0" w:color="auto"/>
        <w:bottom w:val="none" w:sz="0" w:space="0" w:color="auto"/>
        <w:right w:val="none" w:sz="0" w:space="0" w:color="auto"/>
      </w:divBdr>
      <w:divsChild>
        <w:div w:id="28337869">
          <w:marLeft w:val="0"/>
          <w:marRight w:val="0"/>
          <w:marTop w:val="0"/>
          <w:marBottom w:val="0"/>
          <w:divBdr>
            <w:top w:val="none" w:sz="0" w:space="0" w:color="auto"/>
            <w:left w:val="none" w:sz="0" w:space="0" w:color="auto"/>
            <w:bottom w:val="none" w:sz="0" w:space="0" w:color="auto"/>
            <w:right w:val="none" w:sz="0" w:space="0" w:color="auto"/>
          </w:divBdr>
        </w:div>
        <w:div w:id="984166780">
          <w:marLeft w:val="0"/>
          <w:marRight w:val="0"/>
          <w:marTop w:val="0"/>
          <w:marBottom w:val="0"/>
          <w:divBdr>
            <w:top w:val="none" w:sz="0" w:space="0" w:color="auto"/>
            <w:left w:val="none" w:sz="0" w:space="0" w:color="auto"/>
            <w:bottom w:val="none" w:sz="0" w:space="0" w:color="auto"/>
            <w:right w:val="none" w:sz="0" w:space="0" w:color="auto"/>
          </w:divBdr>
        </w:div>
        <w:div w:id="1733889124">
          <w:marLeft w:val="0"/>
          <w:marRight w:val="0"/>
          <w:marTop w:val="0"/>
          <w:marBottom w:val="0"/>
          <w:divBdr>
            <w:top w:val="none" w:sz="0" w:space="0" w:color="auto"/>
            <w:left w:val="none" w:sz="0" w:space="0" w:color="auto"/>
            <w:bottom w:val="none" w:sz="0" w:space="0" w:color="auto"/>
            <w:right w:val="none" w:sz="0" w:space="0" w:color="auto"/>
          </w:divBdr>
        </w:div>
      </w:divsChild>
    </w:div>
    <w:div w:id="1990009983">
      <w:bodyDiv w:val="1"/>
      <w:marLeft w:val="0"/>
      <w:marRight w:val="0"/>
      <w:marTop w:val="0"/>
      <w:marBottom w:val="0"/>
      <w:divBdr>
        <w:top w:val="none" w:sz="0" w:space="0" w:color="auto"/>
        <w:left w:val="none" w:sz="0" w:space="0" w:color="auto"/>
        <w:bottom w:val="none" w:sz="0" w:space="0" w:color="auto"/>
        <w:right w:val="none" w:sz="0" w:space="0" w:color="auto"/>
      </w:divBdr>
    </w:div>
    <w:div w:id="1990209039">
      <w:bodyDiv w:val="1"/>
      <w:marLeft w:val="0"/>
      <w:marRight w:val="0"/>
      <w:marTop w:val="0"/>
      <w:marBottom w:val="0"/>
      <w:divBdr>
        <w:top w:val="none" w:sz="0" w:space="0" w:color="auto"/>
        <w:left w:val="none" w:sz="0" w:space="0" w:color="auto"/>
        <w:bottom w:val="none" w:sz="0" w:space="0" w:color="auto"/>
        <w:right w:val="none" w:sz="0" w:space="0" w:color="auto"/>
      </w:divBdr>
    </w:div>
    <w:div w:id="1992784623">
      <w:bodyDiv w:val="1"/>
      <w:marLeft w:val="0"/>
      <w:marRight w:val="0"/>
      <w:marTop w:val="0"/>
      <w:marBottom w:val="0"/>
      <w:divBdr>
        <w:top w:val="none" w:sz="0" w:space="0" w:color="auto"/>
        <w:left w:val="none" w:sz="0" w:space="0" w:color="auto"/>
        <w:bottom w:val="none" w:sz="0" w:space="0" w:color="auto"/>
        <w:right w:val="none" w:sz="0" w:space="0" w:color="auto"/>
      </w:divBdr>
    </w:div>
    <w:div w:id="1996373474">
      <w:bodyDiv w:val="1"/>
      <w:marLeft w:val="0"/>
      <w:marRight w:val="0"/>
      <w:marTop w:val="0"/>
      <w:marBottom w:val="0"/>
      <w:divBdr>
        <w:top w:val="none" w:sz="0" w:space="0" w:color="auto"/>
        <w:left w:val="none" w:sz="0" w:space="0" w:color="auto"/>
        <w:bottom w:val="none" w:sz="0" w:space="0" w:color="auto"/>
        <w:right w:val="none" w:sz="0" w:space="0" w:color="auto"/>
      </w:divBdr>
      <w:divsChild>
        <w:div w:id="1476482868">
          <w:marLeft w:val="0"/>
          <w:marRight w:val="0"/>
          <w:marTop w:val="0"/>
          <w:marBottom w:val="0"/>
          <w:divBdr>
            <w:top w:val="none" w:sz="0" w:space="0" w:color="auto"/>
            <w:left w:val="none" w:sz="0" w:space="0" w:color="auto"/>
            <w:bottom w:val="none" w:sz="0" w:space="0" w:color="auto"/>
            <w:right w:val="none" w:sz="0" w:space="0" w:color="auto"/>
          </w:divBdr>
          <w:divsChild>
            <w:div w:id="399600229">
              <w:marLeft w:val="0"/>
              <w:marRight w:val="0"/>
              <w:marTop w:val="0"/>
              <w:marBottom w:val="0"/>
              <w:divBdr>
                <w:top w:val="none" w:sz="0" w:space="0" w:color="auto"/>
                <w:left w:val="none" w:sz="0" w:space="0" w:color="auto"/>
                <w:bottom w:val="none" w:sz="0" w:space="0" w:color="auto"/>
                <w:right w:val="none" w:sz="0" w:space="0" w:color="auto"/>
              </w:divBdr>
              <w:divsChild>
                <w:div w:id="144673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61488">
      <w:bodyDiv w:val="1"/>
      <w:marLeft w:val="0"/>
      <w:marRight w:val="0"/>
      <w:marTop w:val="0"/>
      <w:marBottom w:val="0"/>
      <w:divBdr>
        <w:top w:val="none" w:sz="0" w:space="0" w:color="auto"/>
        <w:left w:val="none" w:sz="0" w:space="0" w:color="auto"/>
        <w:bottom w:val="none" w:sz="0" w:space="0" w:color="auto"/>
        <w:right w:val="none" w:sz="0" w:space="0" w:color="auto"/>
      </w:divBdr>
      <w:divsChild>
        <w:div w:id="1713728803">
          <w:marLeft w:val="0"/>
          <w:marRight w:val="0"/>
          <w:marTop w:val="0"/>
          <w:marBottom w:val="0"/>
          <w:divBdr>
            <w:top w:val="none" w:sz="0" w:space="0" w:color="auto"/>
            <w:left w:val="none" w:sz="0" w:space="0" w:color="auto"/>
            <w:bottom w:val="none" w:sz="0" w:space="0" w:color="auto"/>
            <w:right w:val="none" w:sz="0" w:space="0" w:color="auto"/>
          </w:divBdr>
          <w:divsChild>
            <w:div w:id="1455176430">
              <w:marLeft w:val="0"/>
              <w:marRight w:val="0"/>
              <w:marTop w:val="0"/>
              <w:marBottom w:val="0"/>
              <w:divBdr>
                <w:top w:val="none" w:sz="0" w:space="0" w:color="auto"/>
                <w:left w:val="none" w:sz="0" w:space="0" w:color="auto"/>
                <w:bottom w:val="none" w:sz="0" w:space="0" w:color="auto"/>
                <w:right w:val="none" w:sz="0" w:space="0" w:color="auto"/>
              </w:divBdr>
              <w:divsChild>
                <w:div w:id="344096048">
                  <w:marLeft w:val="0"/>
                  <w:marRight w:val="0"/>
                  <w:marTop w:val="0"/>
                  <w:marBottom w:val="0"/>
                  <w:divBdr>
                    <w:top w:val="none" w:sz="0" w:space="0" w:color="auto"/>
                    <w:left w:val="none" w:sz="0" w:space="0" w:color="auto"/>
                    <w:bottom w:val="none" w:sz="0" w:space="0" w:color="auto"/>
                    <w:right w:val="none" w:sz="0" w:space="0" w:color="auto"/>
                  </w:divBdr>
                  <w:divsChild>
                    <w:div w:id="9656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123160">
      <w:bodyDiv w:val="1"/>
      <w:marLeft w:val="0"/>
      <w:marRight w:val="0"/>
      <w:marTop w:val="0"/>
      <w:marBottom w:val="0"/>
      <w:divBdr>
        <w:top w:val="none" w:sz="0" w:space="0" w:color="auto"/>
        <w:left w:val="none" w:sz="0" w:space="0" w:color="auto"/>
        <w:bottom w:val="none" w:sz="0" w:space="0" w:color="auto"/>
        <w:right w:val="none" w:sz="0" w:space="0" w:color="auto"/>
      </w:divBdr>
      <w:divsChild>
        <w:div w:id="1821460501">
          <w:marLeft w:val="0"/>
          <w:marRight w:val="0"/>
          <w:marTop w:val="0"/>
          <w:marBottom w:val="0"/>
          <w:divBdr>
            <w:top w:val="none" w:sz="0" w:space="0" w:color="auto"/>
            <w:left w:val="none" w:sz="0" w:space="0" w:color="auto"/>
            <w:bottom w:val="none" w:sz="0" w:space="0" w:color="auto"/>
            <w:right w:val="none" w:sz="0" w:space="0" w:color="auto"/>
          </w:divBdr>
          <w:divsChild>
            <w:div w:id="1783961027">
              <w:marLeft w:val="0"/>
              <w:marRight w:val="0"/>
              <w:marTop w:val="0"/>
              <w:marBottom w:val="0"/>
              <w:divBdr>
                <w:top w:val="none" w:sz="0" w:space="0" w:color="auto"/>
                <w:left w:val="none" w:sz="0" w:space="0" w:color="auto"/>
                <w:bottom w:val="none" w:sz="0" w:space="0" w:color="auto"/>
                <w:right w:val="none" w:sz="0" w:space="0" w:color="auto"/>
              </w:divBdr>
              <w:divsChild>
                <w:div w:id="14555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17629">
      <w:bodyDiv w:val="1"/>
      <w:marLeft w:val="0"/>
      <w:marRight w:val="0"/>
      <w:marTop w:val="0"/>
      <w:marBottom w:val="0"/>
      <w:divBdr>
        <w:top w:val="none" w:sz="0" w:space="0" w:color="auto"/>
        <w:left w:val="none" w:sz="0" w:space="0" w:color="auto"/>
        <w:bottom w:val="none" w:sz="0" w:space="0" w:color="auto"/>
        <w:right w:val="none" w:sz="0" w:space="0" w:color="auto"/>
      </w:divBdr>
      <w:divsChild>
        <w:div w:id="1904681803">
          <w:marLeft w:val="0"/>
          <w:marRight w:val="0"/>
          <w:marTop w:val="0"/>
          <w:marBottom w:val="0"/>
          <w:divBdr>
            <w:top w:val="none" w:sz="0" w:space="0" w:color="auto"/>
            <w:left w:val="none" w:sz="0" w:space="0" w:color="auto"/>
            <w:bottom w:val="none" w:sz="0" w:space="0" w:color="auto"/>
            <w:right w:val="none" w:sz="0" w:space="0" w:color="auto"/>
          </w:divBdr>
          <w:divsChild>
            <w:div w:id="1952391653">
              <w:marLeft w:val="0"/>
              <w:marRight w:val="0"/>
              <w:marTop w:val="0"/>
              <w:marBottom w:val="0"/>
              <w:divBdr>
                <w:top w:val="none" w:sz="0" w:space="0" w:color="auto"/>
                <w:left w:val="none" w:sz="0" w:space="0" w:color="auto"/>
                <w:bottom w:val="none" w:sz="0" w:space="0" w:color="auto"/>
                <w:right w:val="none" w:sz="0" w:space="0" w:color="auto"/>
              </w:divBdr>
              <w:divsChild>
                <w:div w:id="1969164759">
                  <w:marLeft w:val="0"/>
                  <w:marRight w:val="0"/>
                  <w:marTop w:val="0"/>
                  <w:marBottom w:val="0"/>
                  <w:divBdr>
                    <w:top w:val="none" w:sz="0" w:space="0" w:color="auto"/>
                    <w:left w:val="none" w:sz="0" w:space="0" w:color="auto"/>
                    <w:bottom w:val="none" w:sz="0" w:space="0" w:color="auto"/>
                    <w:right w:val="none" w:sz="0" w:space="0" w:color="auto"/>
                  </w:divBdr>
                  <w:divsChild>
                    <w:div w:id="14283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68845">
      <w:bodyDiv w:val="1"/>
      <w:marLeft w:val="0"/>
      <w:marRight w:val="0"/>
      <w:marTop w:val="0"/>
      <w:marBottom w:val="0"/>
      <w:divBdr>
        <w:top w:val="none" w:sz="0" w:space="0" w:color="auto"/>
        <w:left w:val="none" w:sz="0" w:space="0" w:color="auto"/>
        <w:bottom w:val="none" w:sz="0" w:space="0" w:color="auto"/>
        <w:right w:val="none" w:sz="0" w:space="0" w:color="auto"/>
      </w:divBdr>
    </w:div>
    <w:div w:id="2030830505">
      <w:bodyDiv w:val="1"/>
      <w:marLeft w:val="0"/>
      <w:marRight w:val="0"/>
      <w:marTop w:val="0"/>
      <w:marBottom w:val="0"/>
      <w:divBdr>
        <w:top w:val="none" w:sz="0" w:space="0" w:color="auto"/>
        <w:left w:val="none" w:sz="0" w:space="0" w:color="auto"/>
        <w:bottom w:val="none" w:sz="0" w:space="0" w:color="auto"/>
        <w:right w:val="none" w:sz="0" w:space="0" w:color="auto"/>
      </w:divBdr>
    </w:div>
    <w:div w:id="2034183109">
      <w:bodyDiv w:val="1"/>
      <w:marLeft w:val="0"/>
      <w:marRight w:val="0"/>
      <w:marTop w:val="0"/>
      <w:marBottom w:val="0"/>
      <w:divBdr>
        <w:top w:val="none" w:sz="0" w:space="0" w:color="auto"/>
        <w:left w:val="none" w:sz="0" w:space="0" w:color="auto"/>
        <w:bottom w:val="none" w:sz="0" w:space="0" w:color="auto"/>
        <w:right w:val="none" w:sz="0" w:space="0" w:color="auto"/>
      </w:divBdr>
    </w:div>
    <w:div w:id="2064789611">
      <w:bodyDiv w:val="1"/>
      <w:marLeft w:val="0"/>
      <w:marRight w:val="0"/>
      <w:marTop w:val="0"/>
      <w:marBottom w:val="0"/>
      <w:divBdr>
        <w:top w:val="none" w:sz="0" w:space="0" w:color="auto"/>
        <w:left w:val="none" w:sz="0" w:space="0" w:color="auto"/>
        <w:bottom w:val="none" w:sz="0" w:space="0" w:color="auto"/>
        <w:right w:val="none" w:sz="0" w:space="0" w:color="auto"/>
      </w:divBdr>
      <w:divsChild>
        <w:div w:id="872036709">
          <w:marLeft w:val="0"/>
          <w:marRight w:val="0"/>
          <w:marTop w:val="0"/>
          <w:marBottom w:val="0"/>
          <w:divBdr>
            <w:top w:val="none" w:sz="0" w:space="0" w:color="auto"/>
            <w:left w:val="none" w:sz="0" w:space="0" w:color="auto"/>
            <w:bottom w:val="none" w:sz="0" w:space="0" w:color="auto"/>
            <w:right w:val="none" w:sz="0" w:space="0" w:color="auto"/>
          </w:divBdr>
          <w:divsChild>
            <w:div w:id="340549823">
              <w:marLeft w:val="0"/>
              <w:marRight w:val="0"/>
              <w:marTop w:val="0"/>
              <w:marBottom w:val="0"/>
              <w:divBdr>
                <w:top w:val="none" w:sz="0" w:space="0" w:color="auto"/>
                <w:left w:val="none" w:sz="0" w:space="0" w:color="auto"/>
                <w:bottom w:val="none" w:sz="0" w:space="0" w:color="auto"/>
                <w:right w:val="none" w:sz="0" w:space="0" w:color="auto"/>
              </w:divBdr>
              <w:divsChild>
                <w:div w:id="1476295592">
                  <w:marLeft w:val="0"/>
                  <w:marRight w:val="0"/>
                  <w:marTop w:val="0"/>
                  <w:marBottom w:val="0"/>
                  <w:divBdr>
                    <w:top w:val="none" w:sz="0" w:space="0" w:color="auto"/>
                    <w:left w:val="none" w:sz="0" w:space="0" w:color="auto"/>
                    <w:bottom w:val="none" w:sz="0" w:space="0" w:color="auto"/>
                    <w:right w:val="none" w:sz="0" w:space="0" w:color="auto"/>
                  </w:divBdr>
                  <w:divsChild>
                    <w:div w:id="2210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078015">
      <w:bodyDiv w:val="1"/>
      <w:marLeft w:val="0"/>
      <w:marRight w:val="0"/>
      <w:marTop w:val="0"/>
      <w:marBottom w:val="0"/>
      <w:divBdr>
        <w:top w:val="none" w:sz="0" w:space="0" w:color="auto"/>
        <w:left w:val="none" w:sz="0" w:space="0" w:color="auto"/>
        <w:bottom w:val="none" w:sz="0" w:space="0" w:color="auto"/>
        <w:right w:val="none" w:sz="0" w:space="0" w:color="auto"/>
      </w:divBdr>
    </w:div>
    <w:div w:id="2087068264">
      <w:bodyDiv w:val="1"/>
      <w:marLeft w:val="0"/>
      <w:marRight w:val="0"/>
      <w:marTop w:val="0"/>
      <w:marBottom w:val="0"/>
      <w:divBdr>
        <w:top w:val="none" w:sz="0" w:space="0" w:color="auto"/>
        <w:left w:val="none" w:sz="0" w:space="0" w:color="auto"/>
        <w:bottom w:val="none" w:sz="0" w:space="0" w:color="auto"/>
        <w:right w:val="none" w:sz="0" w:space="0" w:color="auto"/>
      </w:divBdr>
    </w:div>
    <w:div w:id="2088961381">
      <w:bodyDiv w:val="1"/>
      <w:marLeft w:val="0"/>
      <w:marRight w:val="0"/>
      <w:marTop w:val="0"/>
      <w:marBottom w:val="0"/>
      <w:divBdr>
        <w:top w:val="none" w:sz="0" w:space="0" w:color="auto"/>
        <w:left w:val="none" w:sz="0" w:space="0" w:color="auto"/>
        <w:bottom w:val="none" w:sz="0" w:space="0" w:color="auto"/>
        <w:right w:val="none" w:sz="0" w:space="0" w:color="auto"/>
      </w:divBdr>
    </w:div>
    <w:div w:id="2092695897">
      <w:bodyDiv w:val="1"/>
      <w:marLeft w:val="0"/>
      <w:marRight w:val="0"/>
      <w:marTop w:val="0"/>
      <w:marBottom w:val="0"/>
      <w:divBdr>
        <w:top w:val="none" w:sz="0" w:space="0" w:color="auto"/>
        <w:left w:val="none" w:sz="0" w:space="0" w:color="auto"/>
        <w:bottom w:val="none" w:sz="0" w:space="0" w:color="auto"/>
        <w:right w:val="none" w:sz="0" w:space="0" w:color="auto"/>
      </w:divBdr>
    </w:div>
    <w:div w:id="2101176050">
      <w:bodyDiv w:val="1"/>
      <w:marLeft w:val="0"/>
      <w:marRight w:val="0"/>
      <w:marTop w:val="0"/>
      <w:marBottom w:val="0"/>
      <w:divBdr>
        <w:top w:val="none" w:sz="0" w:space="0" w:color="auto"/>
        <w:left w:val="none" w:sz="0" w:space="0" w:color="auto"/>
        <w:bottom w:val="none" w:sz="0" w:space="0" w:color="auto"/>
        <w:right w:val="none" w:sz="0" w:space="0" w:color="auto"/>
      </w:divBdr>
      <w:divsChild>
        <w:div w:id="888298879">
          <w:marLeft w:val="0"/>
          <w:marRight w:val="0"/>
          <w:marTop w:val="0"/>
          <w:marBottom w:val="0"/>
          <w:divBdr>
            <w:top w:val="none" w:sz="0" w:space="0" w:color="auto"/>
            <w:left w:val="none" w:sz="0" w:space="0" w:color="auto"/>
            <w:bottom w:val="none" w:sz="0" w:space="0" w:color="auto"/>
            <w:right w:val="none" w:sz="0" w:space="0" w:color="auto"/>
          </w:divBdr>
          <w:divsChild>
            <w:div w:id="1686709265">
              <w:marLeft w:val="0"/>
              <w:marRight w:val="0"/>
              <w:marTop w:val="0"/>
              <w:marBottom w:val="0"/>
              <w:divBdr>
                <w:top w:val="none" w:sz="0" w:space="0" w:color="auto"/>
                <w:left w:val="none" w:sz="0" w:space="0" w:color="auto"/>
                <w:bottom w:val="none" w:sz="0" w:space="0" w:color="auto"/>
                <w:right w:val="none" w:sz="0" w:space="0" w:color="auto"/>
              </w:divBdr>
              <w:divsChild>
                <w:div w:id="1085222114">
                  <w:marLeft w:val="0"/>
                  <w:marRight w:val="0"/>
                  <w:marTop w:val="0"/>
                  <w:marBottom w:val="0"/>
                  <w:divBdr>
                    <w:top w:val="none" w:sz="0" w:space="0" w:color="auto"/>
                    <w:left w:val="none" w:sz="0" w:space="0" w:color="auto"/>
                    <w:bottom w:val="none" w:sz="0" w:space="0" w:color="auto"/>
                    <w:right w:val="none" w:sz="0" w:space="0" w:color="auto"/>
                  </w:divBdr>
                  <w:divsChild>
                    <w:div w:id="7266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02223">
      <w:bodyDiv w:val="1"/>
      <w:marLeft w:val="0"/>
      <w:marRight w:val="0"/>
      <w:marTop w:val="0"/>
      <w:marBottom w:val="0"/>
      <w:divBdr>
        <w:top w:val="none" w:sz="0" w:space="0" w:color="auto"/>
        <w:left w:val="none" w:sz="0" w:space="0" w:color="auto"/>
        <w:bottom w:val="none" w:sz="0" w:space="0" w:color="auto"/>
        <w:right w:val="none" w:sz="0" w:space="0" w:color="auto"/>
      </w:divBdr>
    </w:div>
    <w:div w:id="2137405993">
      <w:bodyDiv w:val="1"/>
      <w:marLeft w:val="0"/>
      <w:marRight w:val="0"/>
      <w:marTop w:val="0"/>
      <w:marBottom w:val="0"/>
      <w:divBdr>
        <w:top w:val="none" w:sz="0" w:space="0" w:color="auto"/>
        <w:left w:val="none" w:sz="0" w:space="0" w:color="auto"/>
        <w:bottom w:val="none" w:sz="0" w:space="0" w:color="auto"/>
        <w:right w:val="none" w:sz="0" w:space="0" w:color="auto"/>
      </w:divBdr>
    </w:div>
    <w:div w:id="2143233597">
      <w:bodyDiv w:val="1"/>
      <w:marLeft w:val="0"/>
      <w:marRight w:val="0"/>
      <w:marTop w:val="0"/>
      <w:marBottom w:val="0"/>
      <w:divBdr>
        <w:top w:val="none" w:sz="0" w:space="0" w:color="auto"/>
        <w:left w:val="none" w:sz="0" w:space="0" w:color="auto"/>
        <w:bottom w:val="none" w:sz="0" w:space="0" w:color="auto"/>
        <w:right w:val="none" w:sz="0" w:space="0" w:color="auto"/>
      </w:divBdr>
    </w:div>
    <w:div w:id="214670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hyperlink" Target="https://en.wikipedia.org/wiki/Turkmenistan" TargetMode="External"/><Relationship Id="rId42" Type="http://schemas.openxmlformats.org/officeDocument/2006/relationships/chart" Target="charts/chart18.xml"/><Relationship Id="rId47" Type="http://schemas.openxmlformats.org/officeDocument/2006/relationships/diagramLayout" Target="diagrams/layout1.xml"/><Relationship Id="rId63" Type="http://schemas.openxmlformats.org/officeDocument/2006/relationships/hyperlink" Target="https://www.theglobalfund.org/media/5648/core_sustainabilityandtransition_guidancenote_en.pdf" TargetMode="External"/><Relationship Id="rId68"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8.xml"/><Relationship Id="rId11" Type="http://schemas.openxmlformats.org/officeDocument/2006/relationships/webSettings" Target="webSettings.xml"/><Relationship Id="rId24" Type="http://schemas.openxmlformats.org/officeDocument/2006/relationships/chart" Target="charts/chart3.xml"/><Relationship Id="rId32" Type="http://schemas.openxmlformats.org/officeDocument/2006/relationships/image" Target="media/image4.png"/><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19.xml"/><Relationship Id="rId53" Type="http://schemas.openxmlformats.org/officeDocument/2006/relationships/chart" Target="charts/chart21.xml"/><Relationship Id="rId58" Type="http://schemas.openxmlformats.org/officeDocument/2006/relationships/image" Target="media/image9.emf"/><Relationship Id="rId66"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chart" Target="charts/chart25.xml"/><Relationship Id="rId19" Type="http://schemas.openxmlformats.org/officeDocument/2006/relationships/hyperlink" Target="https://en.wikipedia.org/wiki/Kyrgyzstan" TargetMode="External"/><Relationship Id="rId14" Type="http://schemas.openxmlformats.org/officeDocument/2006/relationships/image" Target="media/image1.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2.png"/><Relationship Id="rId35" Type="http://schemas.openxmlformats.org/officeDocument/2006/relationships/chart" Target="charts/chart11.xml"/><Relationship Id="rId43" Type="http://schemas.openxmlformats.org/officeDocument/2006/relationships/image" Target="media/image5.emf"/><Relationship Id="rId48" Type="http://schemas.openxmlformats.org/officeDocument/2006/relationships/diagramQuickStyle" Target="diagrams/quickStyle1.xml"/><Relationship Id="rId56" Type="http://schemas.openxmlformats.org/officeDocument/2006/relationships/chart" Target="charts/chart24.xml"/><Relationship Id="rId64" Type="http://schemas.openxmlformats.org/officeDocument/2006/relationships/chart" Target="charts/chart27.xml"/><Relationship Id="rId69"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en.wikipedia.org/wiki/Russia" TargetMode="External"/><Relationship Id="rId25" Type="http://schemas.openxmlformats.org/officeDocument/2006/relationships/chart" Target="charts/chart4.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diagramData" Target="diagrams/data1.xml"/><Relationship Id="rId59" Type="http://schemas.openxmlformats.org/officeDocument/2006/relationships/image" Target="media/image10.png"/><Relationship Id="rId67" Type="http://schemas.openxmlformats.org/officeDocument/2006/relationships/footer" Target="footer4.xml"/><Relationship Id="rId20" Type="http://schemas.openxmlformats.org/officeDocument/2006/relationships/hyperlink" Target="https://en.wikipedia.org/wiki/Uzbekistan" TargetMode="External"/><Relationship Id="rId41" Type="http://schemas.openxmlformats.org/officeDocument/2006/relationships/chart" Target="charts/chart17.xml"/><Relationship Id="rId54" Type="http://schemas.openxmlformats.org/officeDocument/2006/relationships/chart" Target="charts/chart22.xml"/><Relationship Id="rId62"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2.xml"/><Relationship Id="rId49" Type="http://schemas.openxmlformats.org/officeDocument/2006/relationships/diagramColors" Target="diagrams/colors1.xml"/><Relationship Id="rId57" Type="http://schemas.openxmlformats.org/officeDocument/2006/relationships/image" Target="media/image8.emf"/><Relationship Id="rId10" Type="http://schemas.openxmlformats.org/officeDocument/2006/relationships/settings" Target="settings.xml"/><Relationship Id="rId31" Type="http://schemas.openxmlformats.org/officeDocument/2006/relationships/image" Target="media/image3.png"/><Relationship Id="rId44" Type="http://schemas.openxmlformats.org/officeDocument/2006/relationships/image" Target="media/image6.emf"/><Relationship Id="rId52" Type="http://schemas.openxmlformats.org/officeDocument/2006/relationships/chart" Target="charts/chart20.xml"/><Relationship Id="rId60" Type="http://schemas.openxmlformats.org/officeDocument/2006/relationships/image" Target="media/image11.png"/><Relationship Id="rId65" Type="http://schemas.openxmlformats.org/officeDocument/2006/relationships/chart" Target="charts/chart28.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en.wikipedia.org/wiki/China" TargetMode="External"/><Relationship Id="rId39" Type="http://schemas.openxmlformats.org/officeDocument/2006/relationships/chart" Target="charts/chart15.xml"/><Relationship Id="rId34" Type="http://schemas.openxmlformats.org/officeDocument/2006/relationships/chart" Target="charts/chart10.xml"/><Relationship Id="rId50" Type="http://schemas.microsoft.com/office/2007/relationships/diagramDrawing" Target="diagrams/drawing1.xml"/><Relationship Id="rId55" Type="http://schemas.openxmlformats.org/officeDocument/2006/relationships/chart" Target="charts/chart23.xml"/></Relationships>
</file>

<file path=word/_rels/footnotes.xml.rels><?xml version="1.0" encoding="UTF-8" standalone="yes"?>
<Relationships xmlns="http://schemas.openxmlformats.org/package/2006/relationships"><Relationship Id="rId8" Type="http://schemas.openxmlformats.org/officeDocument/2006/relationships/hyperlink" Target="https://www.coronavirus2020.kz/" TargetMode="External"/><Relationship Id="rId3" Type="http://schemas.openxmlformats.org/officeDocument/2006/relationships/hyperlink" Target="https://worldhealthorg.shinyapps.io/tb_profiles/?_inputs_&amp;entity_type=%22country%22&amp;lan=%22EN%22&amp;iso2=%22KZ%22" TargetMode="External"/><Relationship Id="rId7" Type="http://schemas.openxmlformats.org/officeDocument/2006/relationships/hyperlink" Target="https://www.worldometers.info/coronavirus/country/kazakhstan/" TargetMode="External"/><Relationship Id="rId12" Type="http://schemas.openxmlformats.org/officeDocument/2006/relationships/hyperlink" Target="https://www.primeminister.kz/ru/news/borba-s-koronavirusnoy-infekciey-osnashchenie-medicinskih-organizaciy-zarplatnaya-reforma-v-medsfere-razvitie-zdravoohraneniya-kazahstana-v-2020-godu-121545" TargetMode="External"/><Relationship Id="rId2" Type="http://schemas.openxmlformats.org/officeDocument/2006/relationships/hyperlink" Target="https://www.akorda.kz/ru/official_documents/strategies_and_programs" TargetMode="External"/><Relationship Id="rId1" Type="http://schemas.openxmlformats.org/officeDocument/2006/relationships/hyperlink" Target="https://stat.gov.kz" TargetMode="External"/><Relationship Id="rId6" Type="http://schemas.openxmlformats.org/officeDocument/2006/relationships/hyperlink" Target="https://www.worldometers.info/coronavirus/country/kazakhstan/" TargetMode="External"/><Relationship Id="rId11" Type="http://schemas.openxmlformats.org/officeDocument/2006/relationships/hyperlink" Target="https://worldhealthorg.shinyapps.io/tb_pronto/" TargetMode="External"/><Relationship Id="rId5" Type="http://schemas.openxmlformats.org/officeDocument/2006/relationships/hyperlink" Target="https://worldhealthorg.shinyapps.io/tb_profiles/?_inputs_&amp;entity_type=%22country%22&amp;lan=%22EN%22&amp;iso2=%22KZ%22" TargetMode="External"/><Relationship Id="rId10" Type="http://schemas.openxmlformats.org/officeDocument/2006/relationships/hyperlink" Target="https://worldhealthorg.shinyapps.io/tb_pronto/" TargetMode="External"/><Relationship Id="rId4" Type="http://schemas.openxmlformats.org/officeDocument/2006/relationships/hyperlink" Target="https://www.who.int/tb/data/en/" TargetMode="External"/><Relationship Id="rId9" Type="http://schemas.openxmlformats.org/officeDocument/2006/relationships/hyperlink" Target="https://www.gov.kz/memleket/entities/kkkbtu/press/news/details/282971?lang=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nash-mendez\AppData\Roaming\Microsoft\Templates\GF%20Report%20Template%201%20Column.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lusine:Desktop:NEW%20COVID%20GRANT:Funding%20Landscape%20Table_REVISTED_DEC17.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lusine:Desktop:NEW%20COVID%20GRANT:Funding%20Landscape%20Table_REVISTED_DEC17.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7384664603492"/>
          <c:y val="7.3041168658698502E-2"/>
          <c:w val="0.54542412608871704"/>
          <c:h val="0.60070008679193998"/>
        </c:manualLayout>
      </c:layout>
      <c:barChart>
        <c:barDir val="bar"/>
        <c:grouping val="clustered"/>
        <c:varyColors val="0"/>
        <c:ser>
          <c:idx val="0"/>
          <c:order val="0"/>
          <c:tx>
            <c:strRef>
              <c:f>Sheet3!$D$83</c:f>
              <c:strCache>
                <c:ptCount val="1"/>
                <c:pt idx="0">
                  <c:v>Results</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Sheet3!$C$84:$C$85</c:f>
              <c:strCache>
                <c:ptCount val="2"/>
                <c:pt idx="0">
                  <c:v>TB Incidence rate</c:v>
                </c:pt>
                <c:pt idx="1">
                  <c:v>TB mortality rate</c:v>
                </c:pt>
              </c:strCache>
            </c:strRef>
          </c:cat>
          <c:val>
            <c:numRef>
              <c:f>Sheet3!$D$84:$D$85</c:f>
              <c:numCache>
                <c:formatCode>0.0%</c:formatCode>
                <c:ptCount val="2"/>
                <c:pt idx="0">
                  <c:v>0.36249999999999999</c:v>
                </c:pt>
                <c:pt idx="1">
                  <c:v>0.53658536585365801</c:v>
                </c:pt>
              </c:numCache>
            </c:numRef>
          </c:val>
          <c:extLst>
            <c:ext xmlns:c16="http://schemas.microsoft.com/office/drawing/2014/chart" uri="{C3380CC4-5D6E-409C-BE32-E72D297353CC}">
              <c16:uniqueId val="{00000000-7ED8-45CC-B350-F56832B03A70}"/>
            </c:ext>
          </c:extLst>
        </c:ser>
        <c:ser>
          <c:idx val="1"/>
          <c:order val="1"/>
          <c:tx>
            <c:strRef>
              <c:f>Sheet3!$E$83</c:f>
              <c:strCache>
                <c:ptCount val="1"/>
                <c:pt idx="0">
                  <c:v>Targets</c:v>
                </c:pt>
              </c:strCache>
            </c:strRef>
          </c:tx>
          <c:spPr>
            <a:solidFill>
              <a:schemeClr val="accent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Sheet3!$C$84:$C$85</c:f>
              <c:strCache>
                <c:ptCount val="2"/>
                <c:pt idx="0">
                  <c:v>TB Incidence rate</c:v>
                </c:pt>
                <c:pt idx="1">
                  <c:v>TB mortality rate</c:v>
                </c:pt>
              </c:strCache>
            </c:strRef>
          </c:cat>
          <c:val>
            <c:numRef>
              <c:f>Sheet3!$E$84:$E$85</c:f>
              <c:numCache>
                <c:formatCode>0%</c:formatCode>
                <c:ptCount val="2"/>
                <c:pt idx="0">
                  <c:v>0.2</c:v>
                </c:pt>
                <c:pt idx="1">
                  <c:v>0.35</c:v>
                </c:pt>
              </c:numCache>
            </c:numRef>
          </c:val>
          <c:extLst>
            <c:ext xmlns:c16="http://schemas.microsoft.com/office/drawing/2014/chart" uri="{C3380CC4-5D6E-409C-BE32-E72D297353CC}">
              <c16:uniqueId val="{00000001-7ED8-45CC-B350-F56832B03A70}"/>
            </c:ext>
          </c:extLst>
        </c:ser>
        <c:dLbls>
          <c:showLegendKey val="0"/>
          <c:showVal val="0"/>
          <c:showCatName val="0"/>
          <c:showSerName val="0"/>
          <c:showPercent val="0"/>
          <c:showBubbleSize val="0"/>
        </c:dLbls>
        <c:gapWidth val="182"/>
        <c:axId val="656790784"/>
        <c:axId val="656791176"/>
      </c:barChart>
      <c:catAx>
        <c:axId val="65679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56791176"/>
        <c:crosses val="autoZero"/>
        <c:auto val="1"/>
        <c:lblAlgn val="ctr"/>
        <c:lblOffset val="100"/>
        <c:noMultiLvlLbl val="0"/>
      </c:catAx>
      <c:valAx>
        <c:axId val="6567911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656790784"/>
        <c:crosses val="autoZero"/>
        <c:crossBetween val="between"/>
      </c:valAx>
      <c:spPr>
        <a:noFill/>
        <a:ln>
          <a:noFill/>
        </a:ln>
        <a:effectLst/>
      </c:spPr>
    </c:plotArea>
    <c:legend>
      <c:legendPos val="b"/>
      <c:layout>
        <c:manualLayout>
          <c:xMode val="edge"/>
          <c:yMode val="edge"/>
          <c:x val="0.27258850106423299"/>
          <c:y val="0.83901076536555896"/>
          <c:w val="0.50457092740557297"/>
          <c:h val="0.148254663354246"/>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Male</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Sheet1!$B$3:$B$12</c:f>
              <c:strCache>
                <c:ptCount val="10"/>
                <c:pt idx="0">
                  <c:v>0-4</c:v>
                </c:pt>
                <c:pt idx="1">
                  <c:v>5-9</c:v>
                </c:pt>
                <c:pt idx="2">
                  <c:v>10-14</c:v>
                </c:pt>
                <c:pt idx="3">
                  <c:v>15-19</c:v>
                </c:pt>
                <c:pt idx="4">
                  <c:v>20-24</c:v>
                </c:pt>
                <c:pt idx="5">
                  <c:v>25-34</c:v>
                </c:pt>
                <c:pt idx="6">
                  <c:v>35-44</c:v>
                </c:pt>
                <c:pt idx="7">
                  <c:v>45-54</c:v>
                </c:pt>
                <c:pt idx="8">
                  <c:v>55-64</c:v>
                </c:pt>
                <c:pt idx="9">
                  <c:v>65+</c:v>
                </c:pt>
              </c:strCache>
            </c:strRef>
          </c:cat>
          <c:val>
            <c:numRef>
              <c:f>Sheet1!$C$3:$C$12</c:f>
              <c:numCache>
                <c:formatCode>#,##0</c:formatCode>
                <c:ptCount val="10"/>
                <c:pt idx="0">
                  <c:v>27</c:v>
                </c:pt>
                <c:pt idx="1">
                  <c:v>52</c:v>
                </c:pt>
                <c:pt idx="2">
                  <c:v>48</c:v>
                </c:pt>
                <c:pt idx="3">
                  <c:v>243</c:v>
                </c:pt>
                <c:pt idx="4">
                  <c:v>318</c:v>
                </c:pt>
                <c:pt idx="5">
                  <c:v>979</c:v>
                </c:pt>
                <c:pt idx="6">
                  <c:v>1071</c:v>
                </c:pt>
                <c:pt idx="7">
                  <c:v>841</c:v>
                </c:pt>
                <c:pt idx="8">
                  <c:v>756</c:v>
                </c:pt>
                <c:pt idx="9">
                  <c:v>548</c:v>
                </c:pt>
              </c:numCache>
            </c:numRef>
          </c:val>
          <c:extLst>
            <c:ext xmlns:c16="http://schemas.microsoft.com/office/drawing/2014/chart" uri="{C3380CC4-5D6E-409C-BE32-E72D297353CC}">
              <c16:uniqueId val="{00000000-FCBD-4F0B-BAF8-06A66ED228BA}"/>
            </c:ext>
          </c:extLst>
        </c:ser>
        <c:ser>
          <c:idx val="1"/>
          <c:order val="1"/>
          <c:tx>
            <c:strRef>
              <c:f>Sheet1!$D$2</c:f>
              <c:strCache>
                <c:ptCount val="1"/>
                <c:pt idx="0">
                  <c:v>Female</c:v>
                </c:pt>
              </c:strCache>
            </c:strRef>
          </c:tx>
          <c:spPr>
            <a:solidFill>
              <a:schemeClr val="accent4">
                <a:lumMod val="60000"/>
                <a:lumOff val="40000"/>
              </a:schemeClr>
            </a:solidFill>
            <a:ln>
              <a:noFill/>
            </a:ln>
            <a:effectLst/>
          </c:spPr>
          <c:invertIfNegative val="0"/>
          <c:dLbls>
            <c:dLbl>
              <c:idx val="3"/>
              <c:layout>
                <c:manualLayout>
                  <c:x val="1.22624156958921E-2"/>
                  <c:y val="9.25925925925926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BD-4F0B-BAF8-06A66ED228BA}"/>
                </c:ext>
              </c:extLst>
            </c:dLbl>
            <c:dLbl>
              <c:idx val="4"/>
              <c:layout>
                <c:manualLayout>
                  <c:x val="8.1749437972613893E-3"/>
                  <c:y val="1.3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BD-4F0B-BAF8-06A66ED228BA}"/>
                </c:ext>
              </c:extLst>
            </c:dLbl>
            <c:dLbl>
              <c:idx val="5"/>
              <c:layout>
                <c:manualLayout>
                  <c:x val="6.13120784794597E-3"/>
                  <c:y val="9.25925925925926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BD-4F0B-BAF8-06A66ED228BA}"/>
                </c:ext>
              </c:extLst>
            </c:dLbl>
            <c:dLbl>
              <c:idx val="7"/>
              <c:layout>
                <c:manualLayout>
                  <c:x val="4.0874718986306999E-3"/>
                  <c:y val="4.62962962962959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BD-4F0B-BAF8-06A66ED228BA}"/>
                </c:ext>
              </c:extLst>
            </c:dLbl>
            <c:dLbl>
              <c:idx val="9"/>
              <c:layout>
                <c:manualLayout>
                  <c:x val="4.0874718986306999E-3"/>
                  <c:y val="-4.62962962962967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BD-4F0B-BAF8-06A66ED228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Sheet1!$B$3:$B$12</c:f>
              <c:strCache>
                <c:ptCount val="10"/>
                <c:pt idx="0">
                  <c:v>0-4</c:v>
                </c:pt>
                <c:pt idx="1">
                  <c:v>5-9</c:v>
                </c:pt>
                <c:pt idx="2">
                  <c:v>10-14</c:v>
                </c:pt>
                <c:pt idx="3">
                  <c:v>15-19</c:v>
                </c:pt>
                <c:pt idx="4">
                  <c:v>20-24</c:v>
                </c:pt>
                <c:pt idx="5">
                  <c:v>25-34</c:v>
                </c:pt>
                <c:pt idx="6">
                  <c:v>35-44</c:v>
                </c:pt>
                <c:pt idx="7">
                  <c:v>45-54</c:v>
                </c:pt>
                <c:pt idx="8">
                  <c:v>55-64</c:v>
                </c:pt>
                <c:pt idx="9">
                  <c:v>65+</c:v>
                </c:pt>
              </c:strCache>
            </c:strRef>
          </c:cat>
          <c:val>
            <c:numRef>
              <c:f>Sheet1!$D$3:$D$12</c:f>
              <c:numCache>
                <c:formatCode>#,##0</c:formatCode>
                <c:ptCount val="10"/>
                <c:pt idx="0">
                  <c:v>37</c:v>
                </c:pt>
                <c:pt idx="1">
                  <c:v>59</c:v>
                </c:pt>
                <c:pt idx="2">
                  <c:v>80</c:v>
                </c:pt>
                <c:pt idx="3">
                  <c:v>231</c:v>
                </c:pt>
                <c:pt idx="4">
                  <c:v>312</c:v>
                </c:pt>
                <c:pt idx="5">
                  <c:v>943</c:v>
                </c:pt>
                <c:pt idx="6">
                  <c:v>994</c:v>
                </c:pt>
                <c:pt idx="7">
                  <c:v>814</c:v>
                </c:pt>
                <c:pt idx="8">
                  <c:v>653</c:v>
                </c:pt>
                <c:pt idx="9">
                  <c:v>597</c:v>
                </c:pt>
              </c:numCache>
            </c:numRef>
          </c:val>
          <c:extLst>
            <c:ext xmlns:c16="http://schemas.microsoft.com/office/drawing/2014/chart" uri="{C3380CC4-5D6E-409C-BE32-E72D297353CC}">
              <c16:uniqueId val="{00000006-FCBD-4F0B-BAF8-06A66ED228BA}"/>
            </c:ext>
          </c:extLst>
        </c:ser>
        <c:dLbls>
          <c:showLegendKey val="0"/>
          <c:showVal val="0"/>
          <c:showCatName val="0"/>
          <c:showSerName val="0"/>
          <c:showPercent val="0"/>
          <c:showBubbleSize val="0"/>
        </c:dLbls>
        <c:gapWidth val="219"/>
        <c:overlap val="-27"/>
        <c:axId val="211068752"/>
        <c:axId val="649529976"/>
      </c:barChart>
      <c:catAx>
        <c:axId val="21106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49529976"/>
        <c:crosses val="autoZero"/>
        <c:auto val="1"/>
        <c:lblAlgn val="ctr"/>
        <c:lblOffset val="100"/>
        <c:noMultiLvlLbl val="0"/>
      </c:catAx>
      <c:valAx>
        <c:axId val="649529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1106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3780790229958E-2"/>
          <c:y val="8.1300813008130093E-2"/>
          <c:w val="0.91013571186860098"/>
          <c:h val="0.59119881356293902"/>
        </c:manualLayout>
      </c:layout>
      <c:lineChart>
        <c:grouping val="standard"/>
        <c:varyColors val="0"/>
        <c:ser>
          <c:idx val="0"/>
          <c:order val="0"/>
          <c:tx>
            <c:strRef>
              <c:f>Sheet1!$C$22</c:f>
              <c:strCache>
                <c:ptCount val="1"/>
                <c:pt idx="0">
                  <c:v>TB Notification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Sheet1!$B$23:$B$34</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Sheet1!$C$23:$C$34</c:f>
              <c:numCache>
                <c:formatCode>0</c:formatCode>
                <c:ptCount val="12"/>
                <c:pt idx="0">
                  <c:v>128</c:v>
                </c:pt>
                <c:pt idx="1">
                  <c:v>121</c:v>
                </c:pt>
                <c:pt idx="2">
                  <c:v>131</c:v>
                </c:pt>
                <c:pt idx="3">
                  <c:v>122</c:v>
                </c:pt>
                <c:pt idx="4">
                  <c:v>111</c:v>
                </c:pt>
                <c:pt idx="5">
                  <c:v>88</c:v>
                </c:pt>
                <c:pt idx="6">
                  <c:v>80</c:v>
                </c:pt>
                <c:pt idx="7">
                  <c:v>70</c:v>
                </c:pt>
                <c:pt idx="8">
                  <c:v>69</c:v>
                </c:pt>
                <c:pt idx="9">
                  <c:v>71</c:v>
                </c:pt>
                <c:pt idx="10">
                  <c:v>68</c:v>
                </c:pt>
                <c:pt idx="11">
                  <c:v>51</c:v>
                </c:pt>
              </c:numCache>
            </c:numRef>
          </c:val>
          <c:smooth val="0"/>
          <c:extLst>
            <c:ext xmlns:c16="http://schemas.microsoft.com/office/drawing/2014/chart" uri="{C3380CC4-5D6E-409C-BE32-E72D297353CC}">
              <c16:uniqueId val="{00000000-385E-4505-8266-504592E98F78}"/>
            </c:ext>
          </c:extLst>
        </c:ser>
        <c:ser>
          <c:idx val="1"/>
          <c:order val="1"/>
          <c:tx>
            <c:strRef>
              <c:f>Sheet1!$D$22</c:f>
              <c:strCache>
                <c:ptCount val="1"/>
                <c:pt idx="0">
                  <c:v>TB Mortality</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Sheet1!$B$23:$B$34</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Sheet1!$D$23:$D$34</c:f>
              <c:numCache>
                <c:formatCode>General</c:formatCode>
                <c:ptCount val="12"/>
                <c:pt idx="0">
                  <c:v>12.9</c:v>
                </c:pt>
                <c:pt idx="1">
                  <c:v>10.6</c:v>
                </c:pt>
                <c:pt idx="2">
                  <c:v>8.4</c:v>
                </c:pt>
                <c:pt idx="3">
                  <c:v>7.4</c:v>
                </c:pt>
                <c:pt idx="4">
                  <c:v>5.6</c:v>
                </c:pt>
                <c:pt idx="5">
                  <c:v>4.9000000000000004</c:v>
                </c:pt>
                <c:pt idx="6">
                  <c:v>4.0999999999999996</c:v>
                </c:pt>
                <c:pt idx="7">
                  <c:v>3.4</c:v>
                </c:pt>
                <c:pt idx="8" formatCode="0.0">
                  <c:v>3</c:v>
                </c:pt>
                <c:pt idx="9">
                  <c:v>2.4</c:v>
                </c:pt>
                <c:pt idx="10" formatCode="0.0">
                  <c:v>2</c:v>
                </c:pt>
                <c:pt idx="11">
                  <c:v>1.9</c:v>
                </c:pt>
              </c:numCache>
            </c:numRef>
          </c:val>
          <c:smooth val="0"/>
          <c:extLst>
            <c:ext xmlns:c16="http://schemas.microsoft.com/office/drawing/2014/chart" uri="{C3380CC4-5D6E-409C-BE32-E72D297353CC}">
              <c16:uniqueId val="{00000001-385E-4505-8266-504592E98F78}"/>
            </c:ext>
          </c:extLst>
        </c:ser>
        <c:dLbls>
          <c:showLegendKey val="0"/>
          <c:showVal val="0"/>
          <c:showCatName val="0"/>
          <c:showSerName val="0"/>
          <c:showPercent val="0"/>
          <c:showBubbleSize val="0"/>
        </c:dLbls>
        <c:smooth val="0"/>
        <c:axId val="649531152"/>
        <c:axId val="649529192"/>
      </c:lineChart>
      <c:catAx>
        <c:axId val="64953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649529192"/>
        <c:crosses val="autoZero"/>
        <c:auto val="1"/>
        <c:lblAlgn val="ctr"/>
        <c:lblOffset val="100"/>
        <c:noMultiLvlLbl val="0"/>
      </c:catAx>
      <c:valAx>
        <c:axId val="649529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4953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8710160839867E-2"/>
          <c:y val="0.18111867532239201"/>
          <c:w val="0.97825796783202701"/>
          <c:h val="0.49506863490113001"/>
        </c:manualLayout>
      </c:layout>
      <c:bar3DChart>
        <c:barDir val="col"/>
        <c:grouping val="clustered"/>
        <c:varyColors val="0"/>
        <c:ser>
          <c:idx val="0"/>
          <c:order val="0"/>
          <c:tx>
            <c:strRef>
              <c:f>Лист1!$B$1</c:f>
              <c:strCache>
                <c:ptCount val="1"/>
                <c:pt idx="0">
                  <c:v>General population</c:v>
                </c:pt>
              </c:strCache>
            </c:strRef>
          </c:tx>
          <c:spPr>
            <a:solidFill>
              <a:srgbClr val="0432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95.3</c:v>
                </c:pt>
                <c:pt idx="1">
                  <c:v>86.6</c:v>
                </c:pt>
                <c:pt idx="2">
                  <c:v>81.7</c:v>
                </c:pt>
                <c:pt idx="3">
                  <c:v>73.400000000000006</c:v>
                </c:pt>
                <c:pt idx="4">
                  <c:v>66.400000000000006</c:v>
                </c:pt>
                <c:pt idx="5">
                  <c:v>58.5</c:v>
                </c:pt>
                <c:pt idx="6">
                  <c:v>52.7</c:v>
                </c:pt>
                <c:pt idx="7">
                  <c:v>52.2</c:v>
                </c:pt>
                <c:pt idx="8">
                  <c:v>48.2</c:v>
                </c:pt>
                <c:pt idx="9">
                  <c:v>45.6</c:v>
                </c:pt>
                <c:pt idx="10">
                  <c:v>35.700000000000003</c:v>
                </c:pt>
              </c:numCache>
            </c:numRef>
          </c:val>
          <c:extLst>
            <c:ext xmlns:c16="http://schemas.microsoft.com/office/drawing/2014/chart" uri="{C3380CC4-5D6E-409C-BE32-E72D297353CC}">
              <c16:uniqueId val="{00000000-654A-4E50-9817-5D86A4E47A71}"/>
            </c:ext>
          </c:extLst>
        </c:ser>
        <c:ser>
          <c:idx val="1"/>
          <c:order val="1"/>
          <c:tx>
            <c:strRef>
              <c:f>Лист1!$C$1</c:f>
              <c:strCache>
                <c:ptCount val="1"/>
                <c:pt idx="0">
                  <c:v>Children (0-17 years)</c:v>
                </c:pt>
              </c:strCache>
            </c:strRef>
          </c:tx>
          <c:spPr>
            <a:solidFill>
              <a:srgbClr val="00B050"/>
            </a:solidFill>
            <a:ln>
              <a:noFill/>
            </a:ln>
            <a:effectLst/>
            <a:sp3d/>
          </c:spPr>
          <c:invertIfNegative val="0"/>
          <c:dLbls>
            <c:dLbl>
              <c:idx val="0"/>
              <c:layout>
                <c:manualLayout>
                  <c:x val="2.8479234505513099E-2"/>
                  <c:y val="1.355793240463279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2932090427069"/>
                      <c:h val="0.107401599124321"/>
                    </c:manualLayout>
                  </c15:layout>
                </c:ext>
                <c:ext xmlns:c16="http://schemas.microsoft.com/office/drawing/2014/chart" uri="{C3380CC4-5D6E-409C-BE32-E72D297353CC}">
                  <c16:uniqueId val="{00000001-654A-4E50-9817-5D86A4E47A71}"/>
                </c:ext>
              </c:extLst>
            </c:dLbl>
            <c:dLbl>
              <c:idx val="1"/>
              <c:layout>
                <c:manualLayout>
                  <c:x val="1.356154024072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4A-4E50-9817-5D86A4E47A71}"/>
                </c:ext>
              </c:extLst>
            </c:dLbl>
            <c:dLbl>
              <c:idx val="2"/>
              <c:layout>
                <c:manualLayout>
                  <c:x val="2.71230804814411E-2"/>
                  <c:y val="9.03862160308849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4A-4E50-9817-5D86A4E47A71}"/>
                </c:ext>
              </c:extLst>
            </c:dLbl>
            <c:dLbl>
              <c:idx val="3"/>
              <c:layout>
                <c:manualLayout>
                  <c:x val="2.4410772433297E-2"/>
                  <c:y val="-8.2853074235869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4A-4E50-9817-5D86A4E47A71}"/>
                </c:ext>
              </c:extLst>
            </c:dLbl>
            <c:dLbl>
              <c:idx val="4"/>
              <c:layout>
                <c:manualLayout>
                  <c:x val="1.6274061856427501E-2"/>
                  <c:y val="-9.0382657518442901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3096701897483699E-2"/>
                      <c:h val="8.9324355918144194E-2"/>
                    </c:manualLayout>
                  </c15:layout>
                </c:ext>
                <c:ext xmlns:c16="http://schemas.microsoft.com/office/drawing/2014/chart" uri="{C3380CC4-5D6E-409C-BE32-E72D297353CC}">
                  <c16:uniqueId val="{00000005-654A-4E50-9817-5D86A4E47A71}"/>
                </c:ext>
              </c:extLst>
            </c:dLbl>
            <c:dLbl>
              <c:idx val="5"/>
              <c:layout>
                <c:manualLayout>
                  <c:x val="2.03423103610808E-2"/>
                  <c:y val="1.807724320617699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5809009945627795E-2"/>
                      <c:h val="0.11192090992586599"/>
                    </c:manualLayout>
                  </c15:layout>
                </c:ext>
                <c:ext xmlns:c16="http://schemas.microsoft.com/office/drawing/2014/chart" uri="{C3380CC4-5D6E-409C-BE32-E72D297353CC}">
                  <c16:uniqueId val="{00000006-654A-4E50-9817-5D86A4E47A71}"/>
                </c:ext>
              </c:extLst>
            </c:dLbl>
            <c:dLbl>
              <c:idx val="6"/>
              <c:layout>
                <c:manualLayout>
                  <c:x val="2.71230804814411E-2"/>
                  <c:y val="4.5193108015441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4A-4E50-9817-5D86A4E47A71}"/>
                </c:ext>
              </c:extLst>
            </c:dLbl>
            <c:dLbl>
              <c:idx val="7"/>
              <c:layout>
                <c:manualLayout>
                  <c:x val="2.4410772433296899E-2"/>
                  <c:y val="4.5193108015441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4A-4E50-9817-5D86A4E47A71}"/>
                </c:ext>
              </c:extLst>
            </c:dLbl>
            <c:dLbl>
              <c:idx val="8"/>
              <c:layout>
                <c:manualLayout>
                  <c:x val="2.71230804814411E-2"/>
                  <c:y val="-8.2853074235869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4A-4E50-9817-5D86A4E47A71}"/>
                </c:ext>
              </c:extLst>
            </c:dLbl>
            <c:dLbl>
              <c:idx val="9"/>
              <c:layout>
                <c:manualLayout>
                  <c:x val="1.62738482888645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4A-4E50-9817-5D86A4E47A71}"/>
                </c:ext>
              </c:extLst>
            </c:dLbl>
            <c:dLbl>
              <c:idx val="10"/>
              <c:layout>
                <c:manualLayout>
                  <c:x val="2.712308048144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54A-4E50-9817-5D86A4E47A7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34.1</c:v>
                </c:pt>
                <c:pt idx="1">
                  <c:v>29</c:v>
                </c:pt>
                <c:pt idx="2">
                  <c:v>26.1</c:v>
                </c:pt>
                <c:pt idx="3">
                  <c:v>21</c:v>
                </c:pt>
                <c:pt idx="4">
                  <c:v>18.5</c:v>
                </c:pt>
                <c:pt idx="5">
                  <c:v>17.100000000000001</c:v>
                </c:pt>
                <c:pt idx="6">
                  <c:v>13.4</c:v>
                </c:pt>
                <c:pt idx="7">
                  <c:v>13.1</c:v>
                </c:pt>
                <c:pt idx="8">
                  <c:v>11.5</c:v>
                </c:pt>
                <c:pt idx="9">
                  <c:v>11</c:v>
                </c:pt>
                <c:pt idx="10">
                  <c:v>8.6</c:v>
                </c:pt>
              </c:numCache>
            </c:numRef>
          </c:val>
          <c:extLst>
            <c:ext xmlns:c16="http://schemas.microsoft.com/office/drawing/2014/chart" uri="{C3380CC4-5D6E-409C-BE32-E72D297353CC}">
              <c16:uniqueId val="{0000000C-654A-4E50-9817-5D86A4E47A71}"/>
            </c:ext>
          </c:extLst>
        </c:ser>
        <c:dLbls>
          <c:showLegendKey val="0"/>
          <c:showVal val="0"/>
          <c:showCatName val="0"/>
          <c:showSerName val="0"/>
          <c:showPercent val="0"/>
          <c:showBubbleSize val="0"/>
        </c:dLbls>
        <c:gapWidth val="150"/>
        <c:shape val="box"/>
        <c:axId val="649532720"/>
        <c:axId val="649529584"/>
        <c:axId val="0"/>
      </c:bar3DChart>
      <c:catAx>
        <c:axId val="649532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Times New Roman" charset="0"/>
                <a:cs typeface="Times New Roman" charset="0"/>
              </a:defRPr>
            </a:pPr>
            <a:endParaRPr lang="en-US"/>
          </a:p>
        </c:txPr>
        <c:crossAx val="649529584"/>
        <c:crosses val="autoZero"/>
        <c:auto val="1"/>
        <c:lblAlgn val="ctr"/>
        <c:lblOffset val="100"/>
        <c:noMultiLvlLbl val="0"/>
      </c:catAx>
      <c:valAx>
        <c:axId val="649529584"/>
        <c:scaling>
          <c:orientation val="minMax"/>
        </c:scaling>
        <c:delete val="1"/>
        <c:axPos val="l"/>
        <c:numFmt formatCode="General" sourceLinked="1"/>
        <c:majorTickMark val="none"/>
        <c:minorTickMark val="none"/>
        <c:tickLblPos val="nextTo"/>
        <c:crossAx val="64953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933977455716599E-2"/>
          <c:y val="0.18278659171945799"/>
          <c:w val="0.97906602254428299"/>
          <c:h val="0.49839748292333003"/>
        </c:manualLayout>
      </c:layout>
      <c:bar3DChart>
        <c:barDir val="col"/>
        <c:grouping val="clustered"/>
        <c:varyColors val="0"/>
        <c:ser>
          <c:idx val="0"/>
          <c:order val="0"/>
          <c:tx>
            <c:strRef>
              <c:f>Лист1!$B$1</c:f>
              <c:strCache>
                <c:ptCount val="1"/>
                <c:pt idx="0">
                  <c:v>Children 0-14 years</c:v>
                </c:pt>
              </c:strCache>
            </c:strRef>
          </c:tx>
          <c:spPr>
            <a:solidFill>
              <a:srgbClr val="FF40FF"/>
            </a:solidFill>
            <a:ln>
              <a:noFill/>
            </a:ln>
            <a:effectLst/>
            <a:sp3d/>
          </c:spPr>
          <c:invertIfNegative val="0"/>
          <c:dLbls>
            <c:dLbl>
              <c:idx val="0"/>
              <c:layout>
                <c:manualLayout>
                  <c:x val="-1.0595058531441499E-2"/>
                  <c:y val="-7.58120784049957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6A-4115-8D50-0819846F5DD0}"/>
                </c:ext>
              </c:extLst>
            </c:dLbl>
            <c:dLbl>
              <c:idx val="1"/>
              <c:layout>
                <c:manualLayout>
                  <c:x val="-1.58925877971622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6A-4115-8D50-0819846F5DD0}"/>
                </c:ext>
              </c:extLst>
            </c:dLbl>
            <c:dLbl>
              <c:idx val="2"/>
              <c:layout>
                <c:manualLayout>
                  <c:x val="-7.9462938985810899E-3"/>
                  <c:y val="-7.58120784049957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6A-4115-8D50-0819846F5DD0}"/>
                </c:ext>
              </c:extLst>
            </c:dLbl>
            <c:dLbl>
              <c:idx val="3"/>
              <c:layout>
                <c:manualLayout>
                  <c:x val="-1.32438231643018E-2"/>
                  <c:y val="7.58120784049957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6A-4115-8D50-0819846F5DD0}"/>
                </c:ext>
              </c:extLst>
            </c:dLbl>
            <c:dLbl>
              <c:idx val="4"/>
              <c:layout>
                <c:manualLayout>
                  <c:x val="-1.32438231643019E-2"/>
                  <c:y val="4.13525204686835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6A-4115-8D50-0819846F5DD0}"/>
                </c:ext>
              </c:extLst>
            </c:dLbl>
            <c:dLbl>
              <c:idx val="5"/>
              <c:layout>
                <c:manualLayout>
                  <c:x val="-2.6487646328603601E-3"/>
                  <c:y val="-7.58120784049957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6A-4115-8D50-0819846F5DD0}"/>
                </c:ext>
              </c:extLst>
            </c:dLbl>
            <c:dLbl>
              <c:idx val="6"/>
              <c:layout>
                <c:manualLayout>
                  <c:x val="-1.32438231643018E-2"/>
                  <c:y val="-7.58120784049957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6A-4115-8D50-0819846F5DD0}"/>
                </c:ext>
              </c:extLst>
            </c:dLbl>
            <c:dLbl>
              <c:idx val="7"/>
              <c:layout>
                <c:manualLayout>
                  <c:x val="-1.324382316430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6A-4115-8D50-0819846F5DD0}"/>
                </c:ext>
              </c:extLst>
            </c:dLbl>
            <c:dLbl>
              <c:idx val="8"/>
              <c:layout>
                <c:manualLayout>
                  <c:x val="-1.0595058531441401E-2"/>
                  <c:y val="8.27050409373663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6A-4115-8D50-0819846F5DD0}"/>
                </c:ext>
              </c:extLst>
            </c:dLbl>
            <c:dLbl>
              <c:idx val="9"/>
              <c:layout>
                <c:manualLayout>
                  <c:x val="-1.0595058531441499E-2"/>
                  <c:y val="4.13525204686820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6A-4115-8D50-0819846F5DD0}"/>
                </c:ext>
              </c:extLst>
            </c:dLbl>
            <c:dLbl>
              <c:idx val="10"/>
              <c:layout>
                <c:manualLayout>
                  <c:x val="-5.2975292657208304E-3"/>
                  <c:y val="4.13525204686835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56A-4115-8D50-0819846F5DD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18.3</c:v>
                </c:pt>
                <c:pt idx="1">
                  <c:v>15.1</c:v>
                </c:pt>
                <c:pt idx="2">
                  <c:v>13.7</c:v>
                </c:pt>
                <c:pt idx="3">
                  <c:v>11.3</c:v>
                </c:pt>
                <c:pt idx="4">
                  <c:v>9.8000000000000007</c:v>
                </c:pt>
                <c:pt idx="5">
                  <c:v>8.7000000000000011</c:v>
                </c:pt>
                <c:pt idx="6">
                  <c:v>6.6</c:v>
                </c:pt>
                <c:pt idx="7">
                  <c:v>8.2000000000000011</c:v>
                </c:pt>
                <c:pt idx="8">
                  <c:v>6.8</c:v>
                </c:pt>
                <c:pt idx="9">
                  <c:v>6.4</c:v>
                </c:pt>
                <c:pt idx="10">
                  <c:v>5.3</c:v>
                </c:pt>
              </c:numCache>
            </c:numRef>
          </c:val>
          <c:extLst>
            <c:ext xmlns:c16="http://schemas.microsoft.com/office/drawing/2014/chart" uri="{C3380CC4-5D6E-409C-BE32-E72D297353CC}">
              <c16:uniqueId val="{0000000B-C56A-4115-8D50-0819846F5DD0}"/>
            </c:ext>
          </c:extLst>
        </c:ser>
        <c:ser>
          <c:idx val="1"/>
          <c:order val="1"/>
          <c:tx>
            <c:strRef>
              <c:f>Лист1!$C$1</c:f>
              <c:strCache>
                <c:ptCount val="1"/>
                <c:pt idx="0">
                  <c:v>Children 15-17 years</c:v>
                </c:pt>
              </c:strCache>
            </c:strRef>
          </c:tx>
          <c:spPr>
            <a:solidFill>
              <a:srgbClr val="9437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105.4</c:v>
                </c:pt>
                <c:pt idx="1">
                  <c:v>97.4</c:v>
                </c:pt>
                <c:pt idx="2">
                  <c:v>90.9</c:v>
                </c:pt>
                <c:pt idx="3">
                  <c:v>76.3</c:v>
                </c:pt>
                <c:pt idx="4">
                  <c:v>80.5</c:v>
                </c:pt>
                <c:pt idx="5">
                  <c:v>75.099999999999994</c:v>
                </c:pt>
                <c:pt idx="6">
                  <c:v>59.9</c:v>
                </c:pt>
                <c:pt idx="7">
                  <c:v>52.2</c:v>
                </c:pt>
                <c:pt idx="8">
                  <c:v>47.9</c:v>
                </c:pt>
                <c:pt idx="9">
                  <c:v>44.8</c:v>
                </c:pt>
                <c:pt idx="10">
                  <c:v>30.5</c:v>
                </c:pt>
              </c:numCache>
            </c:numRef>
          </c:val>
          <c:extLst>
            <c:ext xmlns:c16="http://schemas.microsoft.com/office/drawing/2014/chart" uri="{C3380CC4-5D6E-409C-BE32-E72D297353CC}">
              <c16:uniqueId val="{0000000C-C56A-4115-8D50-0819846F5DD0}"/>
            </c:ext>
          </c:extLst>
        </c:ser>
        <c:dLbls>
          <c:showLegendKey val="0"/>
          <c:showVal val="0"/>
          <c:showCatName val="0"/>
          <c:showSerName val="0"/>
          <c:showPercent val="0"/>
          <c:showBubbleSize val="0"/>
        </c:dLbls>
        <c:gapWidth val="150"/>
        <c:shape val="box"/>
        <c:axId val="649530760"/>
        <c:axId val="649531936"/>
        <c:axId val="0"/>
      </c:bar3DChart>
      <c:catAx>
        <c:axId val="649530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Times New Roman" charset="0"/>
                <a:cs typeface="Times New Roman" charset="0"/>
              </a:defRPr>
            </a:pPr>
            <a:endParaRPr lang="en-US"/>
          </a:p>
        </c:txPr>
        <c:crossAx val="649531936"/>
        <c:crosses val="autoZero"/>
        <c:auto val="1"/>
        <c:lblAlgn val="ctr"/>
        <c:lblOffset val="100"/>
        <c:noMultiLvlLbl val="0"/>
      </c:catAx>
      <c:valAx>
        <c:axId val="649531936"/>
        <c:scaling>
          <c:orientation val="minMax"/>
        </c:scaling>
        <c:delete val="1"/>
        <c:axPos val="l"/>
        <c:numFmt formatCode="General" sourceLinked="1"/>
        <c:majorTickMark val="none"/>
        <c:minorTickMark val="none"/>
        <c:tickLblPos val="nextTo"/>
        <c:crossAx val="649530760"/>
        <c:crosses val="autoZero"/>
        <c:crossBetween val="between"/>
      </c:valAx>
      <c:spPr>
        <a:noFill/>
        <a:ln>
          <a:noFill/>
        </a:ln>
        <a:effectLst/>
      </c:spPr>
    </c:plotArea>
    <c:legend>
      <c:legendPos val="b"/>
      <c:layout>
        <c:manualLayout>
          <c:xMode val="edge"/>
          <c:yMode val="edge"/>
          <c:x val="0.103742347410529"/>
          <c:y val="0.86146242589241495"/>
          <c:w val="0.65741565416905701"/>
          <c:h val="8.7489857239423804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566632172308701E-2"/>
          <c:y val="0.14317911061611999"/>
          <c:w val="0.93475250907428198"/>
          <c:h val="0.46297511059999802"/>
        </c:manualLayout>
      </c:layout>
      <c:bar3DChart>
        <c:barDir val="col"/>
        <c:grouping val="clustered"/>
        <c:varyColors val="0"/>
        <c:ser>
          <c:idx val="0"/>
          <c:order val="0"/>
          <c:tx>
            <c:strRef>
              <c:f>Лист1!$B$1</c:f>
              <c:strCache>
                <c:ptCount val="1"/>
                <c:pt idx="0">
                  <c:v>General population</c:v>
                </c:pt>
              </c:strCache>
            </c:strRef>
          </c:tx>
          <c:spPr>
            <a:solidFill>
              <a:srgbClr val="0432FF"/>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Times New Roman"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10.5</c:v>
                </c:pt>
                <c:pt idx="1">
                  <c:v>10.1</c:v>
                </c:pt>
                <c:pt idx="2">
                  <c:v>10.7</c:v>
                </c:pt>
                <c:pt idx="3">
                  <c:v>11.8</c:v>
                </c:pt>
                <c:pt idx="4">
                  <c:v>12.2</c:v>
                </c:pt>
                <c:pt idx="5">
                  <c:v>13.5</c:v>
                </c:pt>
                <c:pt idx="6">
                  <c:v>13</c:v>
                </c:pt>
                <c:pt idx="7">
                  <c:v>13.2</c:v>
                </c:pt>
                <c:pt idx="8">
                  <c:v>12.1</c:v>
                </c:pt>
                <c:pt idx="9">
                  <c:v>12.6</c:v>
                </c:pt>
                <c:pt idx="10">
                  <c:v>9.4</c:v>
                </c:pt>
              </c:numCache>
            </c:numRef>
          </c:val>
          <c:extLst>
            <c:ext xmlns:c16="http://schemas.microsoft.com/office/drawing/2014/chart" uri="{C3380CC4-5D6E-409C-BE32-E72D297353CC}">
              <c16:uniqueId val="{00000000-936C-465B-ABFC-22E07DD941A0}"/>
            </c:ext>
          </c:extLst>
        </c:ser>
        <c:ser>
          <c:idx val="1"/>
          <c:order val="1"/>
          <c:tx>
            <c:strRef>
              <c:f>Лист1!$C$1</c:f>
              <c:strCache>
                <c:ptCount val="1"/>
                <c:pt idx="0">
                  <c:v>Children (0-17 years)</c:v>
                </c:pt>
              </c:strCache>
            </c:strRef>
          </c:tx>
          <c:spPr>
            <a:solidFill>
              <a:srgbClr val="FF7E79"/>
            </a:solidFill>
            <a:ln>
              <a:noFill/>
            </a:ln>
            <a:effectLst/>
            <a:sp3d/>
          </c:spPr>
          <c:invertIfNegative val="0"/>
          <c:dLbls>
            <c:dLbl>
              <c:idx val="0"/>
              <c:layout>
                <c:manualLayout>
                  <c:x val="2.63724634933463E-2"/>
                  <c:y val="1.3557932404632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6C-465B-ABFC-22E07DD941A0}"/>
                </c:ext>
              </c:extLst>
            </c:dLbl>
            <c:dLbl>
              <c:idx val="1"/>
              <c:layout>
                <c:manualLayout>
                  <c:x val="2.10979707946770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6C-465B-ABFC-22E07DD941A0}"/>
                </c:ext>
              </c:extLst>
            </c:dLbl>
            <c:dLbl>
              <c:idx val="2"/>
              <c:layout>
                <c:manualLayout>
                  <c:x val="2.37352171440117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6C-465B-ABFC-22E07DD941A0}"/>
                </c:ext>
              </c:extLst>
            </c:dLbl>
            <c:dLbl>
              <c:idx val="3"/>
              <c:layout>
                <c:manualLayout>
                  <c:x val="1.58234780960078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6C-465B-ABFC-22E07DD941A0}"/>
                </c:ext>
              </c:extLst>
            </c:dLbl>
            <c:dLbl>
              <c:idx val="4"/>
              <c:layout>
                <c:manualLayout>
                  <c:x val="1.84607244453424E-2"/>
                  <c:y val="4.51931080154424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6C-465B-ABFC-22E07DD941A0}"/>
                </c:ext>
              </c:extLst>
            </c:dLbl>
            <c:dLbl>
              <c:idx val="5"/>
              <c:layout>
                <c:manualLayout>
                  <c:x val="2.63724634933463E-2"/>
                  <c:y val="-4.5193108015442497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Times New Roman"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0564258583873501E-2"/>
                      <c:h val="0.102882288322777"/>
                    </c:manualLayout>
                  </c15:layout>
                </c:ext>
                <c:ext xmlns:c16="http://schemas.microsoft.com/office/drawing/2014/chart" uri="{C3380CC4-5D6E-409C-BE32-E72D297353CC}">
                  <c16:uniqueId val="{00000006-936C-465B-ABFC-22E07DD941A0}"/>
                </c:ext>
              </c:extLst>
            </c:dLbl>
            <c:dLbl>
              <c:idx val="6"/>
              <c:layout>
                <c:manualLayout>
                  <c:x val="2.63724634933463E-2"/>
                  <c:y val="0"/>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Times New Roman"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9024983029215901E-2"/>
                      <c:h val="7.5766423513511497E-2"/>
                    </c:manualLayout>
                  </c15:layout>
                </c:ext>
                <c:ext xmlns:c16="http://schemas.microsoft.com/office/drawing/2014/chart" uri="{C3380CC4-5D6E-409C-BE32-E72D297353CC}">
                  <c16:uniqueId val="{00000007-936C-465B-ABFC-22E07DD941A0}"/>
                </c:ext>
              </c:extLst>
            </c:dLbl>
            <c:dLbl>
              <c:idx val="7"/>
              <c:layout>
                <c:manualLayout>
                  <c:x val="2.10979707946770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6C-465B-ABFC-22E07DD941A0}"/>
                </c:ext>
              </c:extLst>
            </c:dLbl>
            <c:dLbl>
              <c:idx val="8"/>
              <c:layout>
                <c:manualLayout>
                  <c:x val="1.84607244453422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6C-465B-ABFC-22E07DD941A0}"/>
                </c:ext>
              </c:extLst>
            </c:dLbl>
            <c:dLbl>
              <c:idx val="9"/>
              <c:layout>
                <c:manualLayout>
                  <c:x val="2.2472535601397101E-2"/>
                  <c:y val="9.0388206409744605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Times New Roman"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3276372368347571E-2"/>
                      <c:h val="9.3843819981217949E-2"/>
                    </c:manualLayout>
                  </c15:layout>
                </c:ext>
                <c:ext xmlns:c16="http://schemas.microsoft.com/office/drawing/2014/chart" uri="{C3380CC4-5D6E-409C-BE32-E72D297353CC}">
                  <c16:uniqueId val="{00000000-3CC1-4E47-9F3C-978B2E5D05F5}"/>
                </c:ext>
              </c:extLst>
            </c:dLbl>
            <c:dLbl>
              <c:idx val="10"/>
              <c:layout>
                <c:manualLayout>
                  <c:x val="2.5053840318679001E-2"/>
                  <c:y val="-2.2596554007722099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Times New Roman"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4299475727885195E-2"/>
                      <c:h val="7.1247112711967195E-2"/>
                    </c:manualLayout>
                  </c15:layout>
                </c:ext>
                <c:ext xmlns:c16="http://schemas.microsoft.com/office/drawing/2014/chart" uri="{C3380CC4-5D6E-409C-BE32-E72D297353CC}">
                  <c16:uniqueId val="{0000000B-936C-465B-ABFC-22E07DD941A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Times New Roman"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3.5</c:v>
                </c:pt>
                <c:pt idx="1">
                  <c:v>3.1</c:v>
                </c:pt>
                <c:pt idx="2">
                  <c:v>2.7</c:v>
                </c:pt>
                <c:pt idx="3">
                  <c:v>2.6</c:v>
                </c:pt>
                <c:pt idx="4">
                  <c:v>3</c:v>
                </c:pt>
                <c:pt idx="5">
                  <c:v>3.1</c:v>
                </c:pt>
                <c:pt idx="6">
                  <c:v>2.6</c:v>
                </c:pt>
                <c:pt idx="7">
                  <c:v>2</c:v>
                </c:pt>
                <c:pt idx="8">
                  <c:v>1.8</c:v>
                </c:pt>
                <c:pt idx="9">
                  <c:v>1.8</c:v>
                </c:pt>
                <c:pt idx="10">
                  <c:v>1.3</c:v>
                </c:pt>
              </c:numCache>
            </c:numRef>
          </c:val>
          <c:extLst>
            <c:ext xmlns:c16="http://schemas.microsoft.com/office/drawing/2014/chart" uri="{C3380CC4-5D6E-409C-BE32-E72D297353CC}">
              <c16:uniqueId val="{0000000C-936C-465B-ABFC-22E07DD941A0}"/>
            </c:ext>
          </c:extLst>
        </c:ser>
        <c:dLbls>
          <c:showLegendKey val="0"/>
          <c:showVal val="0"/>
          <c:showCatName val="0"/>
          <c:showSerName val="0"/>
          <c:showPercent val="0"/>
          <c:showBubbleSize val="0"/>
        </c:dLbls>
        <c:gapWidth val="150"/>
        <c:shape val="box"/>
        <c:axId val="648978648"/>
        <c:axId val="648980216"/>
        <c:axId val="0"/>
      </c:bar3DChart>
      <c:catAx>
        <c:axId val="6489786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Times New Roman" charset="0"/>
                <a:cs typeface="Times New Roman" panose="02020603050405020304" pitchFamily="18" charset="0"/>
              </a:defRPr>
            </a:pPr>
            <a:endParaRPr lang="en-US"/>
          </a:p>
        </c:txPr>
        <c:crossAx val="648980216"/>
        <c:crosses val="autoZero"/>
        <c:auto val="1"/>
        <c:lblAlgn val="ctr"/>
        <c:lblOffset val="100"/>
        <c:noMultiLvlLbl val="0"/>
      </c:catAx>
      <c:valAx>
        <c:axId val="648980216"/>
        <c:scaling>
          <c:orientation val="minMax"/>
        </c:scaling>
        <c:delete val="1"/>
        <c:axPos val="l"/>
        <c:numFmt formatCode="General" sourceLinked="1"/>
        <c:majorTickMark val="none"/>
        <c:minorTickMark val="none"/>
        <c:tickLblPos val="nextTo"/>
        <c:crossAx val="648978648"/>
        <c:crosses val="autoZero"/>
        <c:crossBetween val="between"/>
      </c:valAx>
      <c:spPr>
        <a:noFill/>
        <a:ln>
          <a:noFill/>
        </a:ln>
        <a:effectLst/>
      </c:spPr>
    </c:plotArea>
    <c:legend>
      <c:legendPos val="b"/>
      <c:layout>
        <c:manualLayout>
          <c:xMode val="edge"/>
          <c:yMode val="edge"/>
          <c:x val="0.10337541031914101"/>
          <c:y val="0.89528369764590299"/>
          <c:w val="0.80248213731294904"/>
          <c:h val="8.5987099070243295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Times New Roman" charset="0"/>
              <a:cs typeface="Times New Roman"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509810539282799E-2"/>
          <c:y val="0.16915619175018901"/>
          <c:w val="0.93498037892143404"/>
          <c:h val="0.50759238180175303"/>
        </c:manualLayout>
      </c:layout>
      <c:bar3DChart>
        <c:barDir val="col"/>
        <c:grouping val="clustered"/>
        <c:varyColors val="0"/>
        <c:ser>
          <c:idx val="0"/>
          <c:order val="0"/>
          <c:tx>
            <c:strRef>
              <c:f>Лист1!$B$1</c:f>
              <c:strCache>
                <c:ptCount val="1"/>
                <c:pt idx="0">
                  <c:v>Children (0-14 years)</c:v>
                </c:pt>
              </c:strCache>
            </c:strRef>
          </c:tx>
          <c:spPr>
            <a:solidFill>
              <a:schemeClr val="accent6">
                <a:lumMod val="75000"/>
              </a:schemeClr>
            </a:solidFill>
            <a:ln>
              <a:noFill/>
            </a:ln>
            <a:effectLst/>
            <a:sp3d/>
          </c:spPr>
          <c:invertIfNegative val="0"/>
          <c:dLbls>
            <c:dLbl>
              <c:idx val="0"/>
              <c:layout>
                <c:manualLayout>
                  <c:x val="-1.0510275967157499E-2"/>
                  <c:y val="1.37153668986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CF-4357-9989-4B31BCFBB68B}"/>
                </c:ext>
              </c:extLst>
            </c:dLbl>
            <c:dLbl>
              <c:idx val="1"/>
              <c:layout>
                <c:manualLayout>
                  <c:x val="-1.31378449589468E-2"/>
                  <c:y val="1.3715366898664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CF-4357-9989-4B31BCFBB68B}"/>
                </c:ext>
              </c:extLst>
            </c:dLbl>
            <c:dLbl>
              <c:idx val="2"/>
              <c:layout>
                <c:manualLayout>
                  <c:x val="-5.2551379835787298E-3"/>
                  <c:y val="1.3715366898664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CF-4357-9989-4B31BCFBB68B}"/>
                </c:ext>
              </c:extLst>
            </c:dLbl>
            <c:dLbl>
              <c:idx val="3"/>
              <c:layout>
                <c:manualLayout>
                  <c:x val="-1.0510275967157499E-2"/>
                  <c:y val="9.1435779324426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CF-4357-9989-4B31BCFBB68B}"/>
                </c:ext>
              </c:extLst>
            </c:dLbl>
            <c:dLbl>
              <c:idx val="4"/>
              <c:layout>
                <c:manualLayout>
                  <c:x val="-5.2551379835787298E-3"/>
                  <c:y val="4.114610069599190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7256724869733598E-2"/>
                      <c:h val="0.113220533740163"/>
                    </c:manualLayout>
                  </c15:layout>
                </c:ext>
                <c:ext xmlns:c16="http://schemas.microsoft.com/office/drawing/2014/chart" uri="{C3380CC4-5D6E-409C-BE32-E72D297353CC}">
                  <c16:uniqueId val="{00000004-9BCF-4357-9989-4B31BCFBB68B}"/>
                </c:ext>
              </c:extLst>
            </c:dLbl>
            <c:dLbl>
              <c:idx val="5"/>
              <c:layout>
                <c:manualLayout>
                  <c:x val="-1.05102759671574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CF-4357-9989-4B31BCFBB68B}"/>
                </c:ext>
              </c:extLst>
            </c:dLbl>
            <c:dLbl>
              <c:idx val="6"/>
              <c:layout>
                <c:manualLayout>
                  <c:x val="-7.88270697536819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CF-4357-9989-4B31BCFBB68B}"/>
                </c:ext>
              </c:extLst>
            </c:dLbl>
            <c:dLbl>
              <c:idx val="7"/>
              <c:layout>
                <c:manualLayout>
                  <c:x val="-1.0510275967157499E-2"/>
                  <c:y val="-8.38151628074862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CF-4357-9989-4B31BCFBB68B}"/>
                </c:ext>
              </c:extLst>
            </c:dLbl>
            <c:dLbl>
              <c:idx val="8"/>
              <c:layout>
                <c:manualLayout>
                  <c:x val="-7.8827069753680899E-3"/>
                  <c:y val="-8.38151628074862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CF-4357-9989-4B31BCFBB68B}"/>
                </c:ext>
              </c:extLst>
            </c:dLbl>
            <c:dLbl>
              <c:idx val="9"/>
              <c:layout>
                <c:manualLayout>
                  <c:x val="-1.31378449589468E-2"/>
                  <c:y val="1.8287155864885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CF-4357-9989-4B31BCFBB68B}"/>
                </c:ext>
              </c:extLst>
            </c:dLbl>
            <c:dLbl>
              <c:idx val="10"/>
              <c:layout>
                <c:manualLayout>
                  <c:x val="-1.051027596715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CF-4357-9989-4B31BCFBB68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1.1000000000000001</c:v>
                </c:pt>
                <c:pt idx="1">
                  <c:v>0.9</c:v>
                </c:pt>
                <c:pt idx="2">
                  <c:v>0.7</c:v>
                </c:pt>
                <c:pt idx="3">
                  <c:v>0.7</c:v>
                </c:pt>
                <c:pt idx="4">
                  <c:v>3</c:v>
                </c:pt>
                <c:pt idx="5">
                  <c:v>1.1000000000000001</c:v>
                </c:pt>
                <c:pt idx="6">
                  <c:v>1</c:v>
                </c:pt>
                <c:pt idx="7">
                  <c:v>0.8</c:v>
                </c:pt>
                <c:pt idx="8">
                  <c:v>0.7</c:v>
                </c:pt>
                <c:pt idx="9">
                  <c:v>0.7</c:v>
                </c:pt>
                <c:pt idx="10">
                  <c:v>0.5</c:v>
                </c:pt>
              </c:numCache>
            </c:numRef>
          </c:val>
          <c:extLst>
            <c:ext xmlns:c16="http://schemas.microsoft.com/office/drawing/2014/chart" uri="{C3380CC4-5D6E-409C-BE32-E72D297353CC}">
              <c16:uniqueId val="{0000000B-9BCF-4357-9989-4B31BCFBB68B}"/>
            </c:ext>
          </c:extLst>
        </c:ser>
        <c:ser>
          <c:idx val="1"/>
          <c:order val="1"/>
          <c:tx>
            <c:strRef>
              <c:f>Лист1!$C$1</c:f>
              <c:strCache>
                <c:ptCount val="1"/>
                <c:pt idx="0">
                  <c:v>Children (15-17 years)</c:v>
                </c:pt>
              </c:strCache>
            </c:strRef>
          </c:tx>
          <c:spPr>
            <a:solidFill>
              <a:srgbClr val="FF9300">
                <a:alpha val="74902"/>
              </a:srgb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Times New Roman" charset="0"/>
                    <a:cs typeface="Times New Roman"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13.4</c:v>
                </c:pt>
                <c:pt idx="1">
                  <c:v>14.1</c:v>
                </c:pt>
                <c:pt idx="2">
                  <c:v>13.8</c:v>
                </c:pt>
                <c:pt idx="3">
                  <c:v>13.6</c:v>
                </c:pt>
                <c:pt idx="4">
                  <c:v>17.5</c:v>
                </c:pt>
                <c:pt idx="5">
                  <c:v>16.600000000000001</c:v>
                </c:pt>
                <c:pt idx="6">
                  <c:v>14.3</c:v>
                </c:pt>
                <c:pt idx="7">
                  <c:v>11</c:v>
                </c:pt>
                <c:pt idx="8">
                  <c:v>10</c:v>
                </c:pt>
                <c:pt idx="9">
                  <c:v>10.1</c:v>
                </c:pt>
                <c:pt idx="10">
                  <c:v>7.3</c:v>
                </c:pt>
              </c:numCache>
            </c:numRef>
          </c:val>
          <c:extLst>
            <c:ext xmlns:c16="http://schemas.microsoft.com/office/drawing/2014/chart" uri="{C3380CC4-5D6E-409C-BE32-E72D297353CC}">
              <c16:uniqueId val="{0000000C-9BCF-4357-9989-4B31BCFBB68B}"/>
            </c:ext>
          </c:extLst>
        </c:ser>
        <c:dLbls>
          <c:showLegendKey val="0"/>
          <c:showVal val="0"/>
          <c:showCatName val="0"/>
          <c:showSerName val="0"/>
          <c:showPercent val="0"/>
          <c:showBubbleSize val="0"/>
        </c:dLbls>
        <c:gapWidth val="150"/>
        <c:shape val="box"/>
        <c:axId val="648979040"/>
        <c:axId val="648981392"/>
        <c:axId val="0"/>
      </c:bar3DChart>
      <c:catAx>
        <c:axId val="648979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Times New Roman" charset="0"/>
                <a:cs typeface="Times New Roman" charset="0"/>
              </a:defRPr>
            </a:pPr>
            <a:endParaRPr lang="en-US"/>
          </a:p>
        </c:txPr>
        <c:crossAx val="648981392"/>
        <c:crosses val="autoZero"/>
        <c:auto val="1"/>
        <c:lblAlgn val="ctr"/>
        <c:lblOffset val="100"/>
        <c:noMultiLvlLbl val="0"/>
      </c:catAx>
      <c:valAx>
        <c:axId val="648981392"/>
        <c:scaling>
          <c:orientation val="minMax"/>
        </c:scaling>
        <c:delete val="1"/>
        <c:axPos val="l"/>
        <c:numFmt formatCode="General" sourceLinked="1"/>
        <c:majorTickMark val="none"/>
        <c:minorTickMark val="none"/>
        <c:tickLblPos val="nextTo"/>
        <c:crossAx val="648979040"/>
        <c:crosses val="autoZero"/>
        <c:crossBetween val="between"/>
      </c:valAx>
      <c:spPr>
        <a:noFill/>
        <a:ln>
          <a:noFill/>
        </a:ln>
        <a:effectLst/>
      </c:spPr>
    </c:plotArea>
    <c:legend>
      <c:legendPos val="b"/>
      <c:layout>
        <c:manualLayout>
          <c:xMode val="edge"/>
          <c:yMode val="edge"/>
          <c:x val="0.10589037587031699"/>
          <c:y val="0.87428635745349403"/>
          <c:w val="0.796668762412303"/>
          <c:h val="9.5300017242370194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Times New Roman"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Sheet1!$C$97</c:f>
              <c:strCache>
                <c:ptCount val="1"/>
                <c:pt idx="0">
                  <c:v>Children 0-14 years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Sheet1!$B$98:$B$102</c:f>
              <c:numCache>
                <c:formatCode>General</c:formatCode>
                <c:ptCount val="5"/>
                <c:pt idx="0">
                  <c:v>2017</c:v>
                </c:pt>
                <c:pt idx="1">
                  <c:v>2018</c:v>
                </c:pt>
                <c:pt idx="2">
                  <c:v>2019</c:v>
                </c:pt>
                <c:pt idx="3">
                  <c:v>2020</c:v>
                </c:pt>
                <c:pt idx="4">
                  <c:v>2021</c:v>
                </c:pt>
              </c:numCache>
            </c:numRef>
          </c:cat>
          <c:val>
            <c:numRef>
              <c:f>Sheet1!$C$98:$C$102</c:f>
              <c:numCache>
                <c:formatCode>General</c:formatCode>
                <c:ptCount val="5"/>
                <c:pt idx="0">
                  <c:v>6.7</c:v>
                </c:pt>
                <c:pt idx="1">
                  <c:v>5.5</c:v>
                </c:pt>
                <c:pt idx="2">
                  <c:v>5.0999999999999996</c:v>
                </c:pt>
                <c:pt idx="3">
                  <c:v>3.7</c:v>
                </c:pt>
                <c:pt idx="4">
                  <c:v>4.2</c:v>
                </c:pt>
              </c:numCache>
            </c:numRef>
          </c:val>
          <c:extLst>
            <c:ext xmlns:c16="http://schemas.microsoft.com/office/drawing/2014/chart" uri="{C3380CC4-5D6E-409C-BE32-E72D297353CC}">
              <c16:uniqueId val="{00000000-8C13-4C67-B717-CD336631D5A2}"/>
            </c:ext>
          </c:extLst>
        </c:ser>
        <c:ser>
          <c:idx val="1"/>
          <c:order val="1"/>
          <c:tx>
            <c:strRef>
              <c:f>Sheet1!$D$97</c:f>
              <c:strCache>
                <c:ptCount val="1"/>
                <c:pt idx="0">
                  <c:v>Children 15-17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Sheet1!$B$98:$B$102</c:f>
              <c:numCache>
                <c:formatCode>General</c:formatCode>
                <c:ptCount val="5"/>
                <c:pt idx="0">
                  <c:v>2017</c:v>
                </c:pt>
                <c:pt idx="1">
                  <c:v>2018</c:v>
                </c:pt>
                <c:pt idx="2">
                  <c:v>2019</c:v>
                </c:pt>
                <c:pt idx="3">
                  <c:v>2020</c:v>
                </c:pt>
                <c:pt idx="4">
                  <c:v>2021</c:v>
                </c:pt>
              </c:numCache>
            </c:numRef>
          </c:cat>
          <c:val>
            <c:numRef>
              <c:f>Sheet1!$D$98:$D$102</c:f>
              <c:numCache>
                <c:formatCode>General</c:formatCode>
                <c:ptCount val="5"/>
                <c:pt idx="0">
                  <c:v>38</c:v>
                </c:pt>
                <c:pt idx="1">
                  <c:v>28.6</c:v>
                </c:pt>
                <c:pt idx="2">
                  <c:v>27.3</c:v>
                </c:pt>
                <c:pt idx="3">
                  <c:v>23.3</c:v>
                </c:pt>
                <c:pt idx="4">
                  <c:v>26.2</c:v>
                </c:pt>
              </c:numCache>
            </c:numRef>
          </c:val>
          <c:extLst>
            <c:ext xmlns:c16="http://schemas.microsoft.com/office/drawing/2014/chart" uri="{C3380CC4-5D6E-409C-BE32-E72D297353CC}">
              <c16:uniqueId val="{00000001-8C13-4C67-B717-CD336631D5A2}"/>
            </c:ext>
          </c:extLst>
        </c:ser>
        <c:ser>
          <c:idx val="2"/>
          <c:order val="2"/>
          <c:tx>
            <c:strRef>
              <c:f>Sheet1!$E$97</c:f>
              <c:strCache>
                <c:ptCount val="1"/>
                <c:pt idx="0">
                  <c:v>Children 0-17 years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Sheet1!$B$98:$B$102</c:f>
              <c:numCache>
                <c:formatCode>General</c:formatCode>
                <c:ptCount val="5"/>
                <c:pt idx="0">
                  <c:v>2017</c:v>
                </c:pt>
                <c:pt idx="1">
                  <c:v>2018</c:v>
                </c:pt>
                <c:pt idx="2">
                  <c:v>2019</c:v>
                </c:pt>
                <c:pt idx="3">
                  <c:v>2020</c:v>
                </c:pt>
                <c:pt idx="4">
                  <c:v>2021</c:v>
                </c:pt>
              </c:numCache>
            </c:numRef>
          </c:cat>
          <c:val>
            <c:numRef>
              <c:f>Sheet1!$E$98:$E$102</c:f>
              <c:numCache>
                <c:formatCode>General</c:formatCode>
                <c:ptCount val="5"/>
                <c:pt idx="0">
                  <c:v>10.7</c:v>
                </c:pt>
                <c:pt idx="1">
                  <c:v>9.1</c:v>
                </c:pt>
                <c:pt idx="2">
                  <c:v>8.7000000000000011</c:v>
                </c:pt>
                <c:pt idx="3">
                  <c:v>6</c:v>
                </c:pt>
                <c:pt idx="4">
                  <c:v>6.8</c:v>
                </c:pt>
              </c:numCache>
            </c:numRef>
          </c:val>
          <c:extLst>
            <c:ext xmlns:c16="http://schemas.microsoft.com/office/drawing/2014/chart" uri="{C3380CC4-5D6E-409C-BE32-E72D297353CC}">
              <c16:uniqueId val="{00000002-8C13-4C67-B717-CD336631D5A2}"/>
            </c:ext>
          </c:extLst>
        </c:ser>
        <c:dLbls>
          <c:dLblPos val="outEnd"/>
          <c:showLegendKey val="0"/>
          <c:showVal val="1"/>
          <c:showCatName val="0"/>
          <c:showSerName val="0"/>
          <c:showPercent val="0"/>
          <c:showBubbleSize val="0"/>
        </c:dLbls>
        <c:gapWidth val="219"/>
        <c:overlap val="-27"/>
        <c:axId val="648981000"/>
        <c:axId val="648977864"/>
      </c:barChart>
      <c:catAx>
        <c:axId val="64898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8977864"/>
        <c:crosses val="autoZero"/>
        <c:auto val="1"/>
        <c:lblAlgn val="ctr"/>
        <c:lblOffset val="100"/>
        <c:noMultiLvlLbl val="0"/>
      </c:catAx>
      <c:valAx>
        <c:axId val="648977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8981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Sheet1!$D$75</c:f>
              <c:strCache>
                <c:ptCount val="1"/>
                <c:pt idx="0">
                  <c:v>New cases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Sheet1!$C$76:$C$87</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Sheet1!$D$76:$D$87</c:f>
              <c:numCache>
                <c:formatCode>0.0</c:formatCode>
                <c:ptCount val="12"/>
                <c:pt idx="0">
                  <c:v>20.399999999999999</c:v>
                </c:pt>
                <c:pt idx="1">
                  <c:v>25.3</c:v>
                </c:pt>
                <c:pt idx="2">
                  <c:v>19.100000000000001</c:v>
                </c:pt>
                <c:pt idx="3">
                  <c:v>20.8</c:v>
                </c:pt>
                <c:pt idx="4">
                  <c:v>25.2</c:v>
                </c:pt>
                <c:pt idx="5">
                  <c:v>23.8</c:v>
                </c:pt>
                <c:pt idx="6">
                  <c:v>24.6</c:v>
                </c:pt>
                <c:pt idx="7">
                  <c:v>26.2</c:v>
                </c:pt>
                <c:pt idx="8">
                  <c:v>24.3</c:v>
                </c:pt>
                <c:pt idx="9">
                  <c:v>27.2</c:v>
                </c:pt>
                <c:pt idx="10">
                  <c:v>26.1</c:v>
                </c:pt>
                <c:pt idx="11">
                  <c:v>26.3</c:v>
                </c:pt>
              </c:numCache>
            </c:numRef>
          </c:val>
          <c:extLst>
            <c:ext xmlns:c16="http://schemas.microsoft.com/office/drawing/2014/chart" uri="{C3380CC4-5D6E-409C-BE32-E72D297353CC}">
              <c16:uniqueId val="{00000000-7F07-493F-BF16-E75634CA705B}"/>
            </c:ext>
          </c:extLst>
        </c:ser>
        <c:ser>
          <c:idx val="1"/>
          <c:order val="1"/>
          <c:tx>
            <c:strRef>
              <c:f>Sheet1!$E$75</c:f>
              <c:strCache>
                <c:ptCount val="1"/>
                <c:pt idx="0">
                  <c:v>Previously treated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Sheet1!$C$76:$C$87</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Sheet1!$E$76:$E$87</c:f>
              <c:numCache>
                <c:formatCode>0.0</c:formatCode>
                <c:ptCount val="12"/>
                <c:pt idx="0">
                  <c:v>35.6</c:v>
                </c:pt>
                <c:pt idx="1">
                  <c:v>37.299999999999997</c:v>
                </c:pt>
                <c:pt idx="2">
                  <c:v>53.3</c:v>
                </c:pt>
                <c:pt idx="3">
                  <c:v>53.6</c:v>
                </c:pt>
                <c:pt idx="4">
                  <c:v>48.6</c:v>
                </c:pt>
                <c:pt idx="5">
                  <c:v>40</c:v>
                </c:pt>
                <c:pt idx="6">
                  <c:v>41.9</c:v>
                </c:pt>
                <c:pt idx="7">
                  <c:v>51</c:v>
                </c:pt>
                <c:pt idx="8">
                  <c:v>49.8</c:v>
                </c:pt>
                <c:pt idx="9">
                  <c:v>52.5</c:v>
                </c:pt>
                <c:pt idx="10">
                  <c:v>52.6</c:v>
                </c:pt>
                <c:pt idx="11">
                  <c:v>53.1</c:v>
                </c:pt>
              </c:numCache>
            </c:numRef>
          </c:val>
          <c:extLst>
            <c:ext xmlns:c16="http://schemas.microsoft.com/office/drawing/2014/chart" uri="{C3380CC4-5D6E-409C-BE32-E72D297353CC}">
              <c16:uniqueId val="{00000001-7F07-493F-BF16-E75634CA705B}"/>
            </c:ext>
          </c:extLst>
        </c:ser>
        <c:dLbls>
          <c:showLegendKey val="0"/>
          <c:showVal val="0"/>
          <c:showCatName val="0"/>
          <c:showSerName val="0"/>
          <c:showPercent val="0"/>
          <c:showBubbleSize val="0"/>
        </c:dLbls>
        <c:gapWidth val="219"/>
        <c:overlap val="-27"/>
        <c:axId val="716603864"/>
        <c:axId val="716606216"/>
      </c:barChart>
      <c:catAx>
        <c:axId val="716603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716606216"/>
        <c:crosses val="autoZero"/>
        <c:auto val="1"/>
        <c:lblAlgn val="ctr"/>
        <c:lblOffset val="100"/>
        <c:noMultiLvlLbl val="0"/>
      </c:catAx>
      <c:valAx>
        <c:axId val="716606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716603864"/>
        <c:crosses val="autoZero"/>
        <c:crossBetween val="between"/>
      </c:valAx>
      <c:spPr>
        <a:noFill/>
        <a:ln>
          <a:noFill/>
        </a:ln>
        <a:effectLst/>
      </c:spPr>
    </c:plotArea>
    <c:legend>
      <c:legendPos val="b"/>
      <c:layout>
        <c:manualLayout>
          <c:xMode val="edge"/>
          <c:yMode val="edge"/>
          <c:x val="0.157153839225979"/>
          <c:y val="0.83274889897237403"/>
          <c:w val="0.61216258813236601"/>
          <c:h val="0.1601887624827879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RR/MDR-TB</c:v>
                </c:pt>
              </c:strCache>
            </c:strRef>
          </c:tx>
          <c:spPr>
            <a:ln w="19050" cap="rnd">
              <a:solidFill>
                <a:schemeClr val="accent1"/>
              </a:solidFill>
              <a:round/>
            </a:ln>
            <a:effectLst/>
          </c:spPr>
          <c:invertIfNegative val="0"/>
          <c:dLbls>
            <c:spPr>
              <a:noFill/>
              <a:ln>
                <a:noFill/>
              </a:ln>
              <a:effectLst/>
            </c:spPr>
            <c:txPr>
              <a:bodyPr rot="0" vert="horz"/>
              <a:lstStyle/>
              <a:p>
                <a:pPr>
                  <a:defRPr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c:formatCode>
                <c:ptCount val="5"/>
                <c:pt idx="0">
                  <c:v>5817</c:v>
                </c:pt>
                <c:pt idx="1">
                  <c:v>5382</c:v>
                </c:pt>
                <c:pt idx="2">
                  <c:v>4869</c:v>
                </c:pt>
                <c:pt idx="3">
                  <c:v>5073</c:v>
                </c:pt>
                <c:pt idx="4">
                  <c:v>3114</c:v>
                </c:pt>
              </c:numCache>
            </c:numRef>
          </c:val>
          <c:extLst>
            <c:ext xmlns:c16="http://schemas.microsoft.com/office/drawing/2014/chart" uri="{C3380CC4-5D6E-409C-BE32-E72D297353CC}">
              <c16:uniqueId val="{00000000-1006-411A-8797-02B074109D33}"/>
            </c:ext>
          </c:extLst>
        </c:ser>
        <c:dLbls>
          <c:showLegendKey val="0"/>
          <c:showVal val="0"/>
          <c:showCatName val="0"/>
          <c:showSerName val="0"/>
          <c:showPercent val="0"/>
          <c:showBubbleSize val="0"/>
        </c:dLbls>
        <c:gapWidth val="38"/>
        <c:axId val="716607000"/>
        <c:axId val="716604256"/>
      </c:barChart>
      <c:lineChart>
        <c:grouping val="standard"/>
        <c:varyColors val="0"/>
        <c:ser>
          <c:idx val="1"/>
          <c:order val="1"/>
          <c:tx>
            <c:strRef>
              <c:f>Лист1!$C$1</c:f>
              <c:strCache>
                <c:ptCount val="1"/>
                <c:pt idx="0">
                  <c:v>per 100 000 pop</c:v>
                </c:pt>
              </c:strCache>
            </c:strRef>
          </c:tx>
          <c:dLbls>
            <c:spPr>
              <a:noFill/>
              <a:ln>
                <a:noFill/>
              </a:ln>
              <a:effectLst/>
            </c:spPr>
            <c:txPr>
              <a:bodyPr wrap="square" lIns="38100" tIns="19050" rIns="38100" bIns="19050" anchor="ctr">
                <a:spAutoFit/>
              </a:bodyPr>
              <a:lstStyle/>
              <a:p>
                <a:pPr>
                  <a:defRPr sz="6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Лист1!$A$2:$A$6</c:f>
              <c:numCache>
                <c:formatCode>General</c:formatCode>
                <c:ptCount val="5"/>
                <c:pt idx="0">
                  <c:v>2016</c:v>
                </c:pt>
                <c:pt idx="1">
                  <c:v>2017</c:v>
                </c:pt>
                <c:pt idx="2">
                  <c:v>2018</c:v>
                </c:pt>
                <c:pt idx="3">
                  <c:v>2019</c:v>
                </c:pt>
                <c:pt idx="4">
                  <c:v>2020</c:v>
                </c:pt>
              </c:numCache>
            </c:numRef>
          </c:cat>
          <c:val>
            <c:numRef>
              <c:f>Лист1!$C$2:$C$6</c:f>
              <c:numCache>
                <c:formatCode>0.0</c:formatCode>
                <c:ptCount val="5"/>
                <c:pt idx="0">
                  <c:v>32.860391128473971</c:v>
                </c:pt>
                <c:pt idx="1">
                  <c:v>29.972456749054349</c:v>
                </c:pt>
                <c:pt idx="2">
                  <c:v>26.751565480294168</c:v>
                </c:pt>
                <c:pt idx="3">
                  <c:v>27.516105980129069</c:v>
                </c:pt>
                <c:pt idx="4">
                  <c:v>16.683915821125922</c:v>
                </c:pt>
              </c:numCache>
            </c:numRef>
          </c:val>
          <c:smooth val="0"/>
          <c:extLst>
            <c:ext xmlns:c16="http://schemas.microsoft.com/office/drawing/2014/chart" uri="{C3380CC4-5D6E-409C-BE32-E72D297353CC}">
              <c16:uniqueId val="{00000001-1006-411A-8797-02B074109D33}"/>
            </c:ext>
          </c:extLst>
        </c:ser>
        <c:dLbls>
          <c:showLegendKey val="0"/>
          <c:showVal val="0"/>
          <c:showCatName val="0"/>
          <c:showSerName val="0"/>
          <c:showPercent val="0"/>
          <c:showBubbleSize val="0"/>
        </c:dLbls>
        <c:marker val="1"/>
        <c:smooth val="0"/>
        <c:axId val="716604648"/>
        <c:axId val="716605040"/>
      </c:lineChart>
      <c:catAx>
        <c:axId val="716607000"/>
        <c:scaling>
          <c:orientation val="minMax"/>
        </c:scaling>
        <c:delete val="0"/>
        <c:axPos val="b"/>
        <c:numFmt formatCode="General" sourceLinked="1"/>
        <c:majorTickMark val="none"/>
        <c:minorTickMark val="none"/>
        <c:tickLblPos val="nextTo"/>
        <c:spPr>
          <a:noFill/>
          <a:ln w="9525" cap="flat" cmpd="sng" algn="ctr">
            <a:solidFill>
              <a:schemeClr val="accent1">
                <a:lumMod val="40000"/>
                <a:lumOff val="60000"/>
              </a:schemeClr>
            </a:solidFill>
            <a:round/>
          </a:ln>
          <a:effectLst/>
        </c:spPr>
        <c:txPr>
          <a:bodyPr rot="-60000000" vert="horz"/>
          <a:lstStyle/>
          <a:p>
            <a:pPr>
              <a:defRPr sz="700" b="1"/>
            </a:pPr>
            <a:endParaRPr lang="en-US"/>
          </a:p>
        </c:txPr>
        <c:crossAx val="716604256"/>
        <c:crosses val="autoZero"/>
        <c:auto val="1"/>
        <c:lblAlgn val="ctr"/>
        <c:lblOffset val="100"/>
        <c:noMultiLvlLbl val="0"/>
      </c:catAx>
      <c:valAx>
        <c:axId val="716604256"/>
        <c:scaling>
          <c:orientation val="minMax"/>
          <c:max val="8000"/>
          <c:min val="0"/>
        </c:scaling>
        <c:delete val="0"/>
        <c:axPos val="l"/>
        <c:title>
          <c:tx>
            <c:rich>
              <a:bodyPr rot="-5400000" vert="horz"/>
              <a:lstStyle/>
              <a:p>
                <a:pPr>
                  <a:defRPr b="1">
                    <a:latin typeface="Calibri" panose="020F0502020204030204" pitchFamily="34" charset="0"/>
                    <a:cs typeface="Calibri" panose="020F0502020204030204" pitchFamily="34" charset="0"/>
                  </a:defRPr>
                </a:pPr>
                <a:r>
                  <a:rPr lang="en-GB" b="1">
                    <a:latin typeface="Calibri" panose="020F0502020204030204" pitchFamily="34" charset="0"/>
                    <a:cs typeface="Calibri" panose="020F0502020204030204" pitchFamily="34" charset="0"/>
                  </a:rPr>
                  <a:t>Number</a:t>
                </a:r>
                <a:endParaRPr lang="ru-RU" b="1">
                  <a:latin typeface="Calibri" panose="020F0502020204030204" pitchFamily="34" charset="0"/>
                  <a:cs typeface="Calibri" panose="020F0502020204030204" pitchFamily="34" charset="0"/>
                </a:endParaRPr>
              </a:p>
            </c:rich>
          </c:tx>
          <c:layout>
            <c:manualLayout>
              <c:xMode val="edge"/>
              <c:yMode val="edge"/>
              <c:x val="2.6460859977949301E-2"/>
              <c:y val="0.32776687512958602"/>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b="1"/>
            </a:pPr>
            <a:endParaRPr lang="en-US"/>
          </a:p>
        </c:txPr>
        <c:crossAx val="716607000"/>
        <c:crosses val="autoZero"/>
        <c:crossBetween val="between"/>
        <c:majorUnit val="1000"/>
      </c:valAx>
      <c:valAx>
        <c:axId val="716605040"/>
        <c:scaling>
          <c:orientation val="minMax"/>
        </c:scaling>
        <c:delete val="0"/>
        <c:axPos val="r"/>
        <c:title>
          <c:tx>
            <c:rich>
              <a:bodyPr/>
              <a:lstStyle/>
              <a:p>
                <a:pPr>
                  <a:defRPr b="1">
                    <a:latin typeface="+mn-lt"/>
                  </a:defRPr>
                </a:pPr>
                <a:r>
                  <a:rPr lang="en-US" b="1">
                    <a:latin typeface="+mn-lt"/>
                  </a:rPr>
                  <a:t>Cases per 100,000 pop</a:t>
                </a:r>
              </a:p>
            </c:rich>
          </c:tx>
          <c:layout>
            <c:manualLayout>
              <c:xMode val="edge"/>
              <c:yMode val="edge"/>
              <c:x val="0.93308836395450601"/>
              <c:y val="0.21685081281007501"/>
            </c:manualLayout>
          </c:layout>
          <c:overlay val="0"/>
        </c:title>
        <c:numFmt formatCode="0" sourceLinked="0"/>
        <c:majorTickMark val="out"/>
        <c:minorTickMark val="none"/>
        <c:tickLblPos val="nextTo"/>
        <c:txPr>
          <a:bodyPr/>
          <a:lstStyle/>
          <a:p>
            <a:pPr>
              <a:defRPr b="1"/>
            </a:pPr>
            <a:endParaRPr lang="en-US"/>
          </a:p>
        </c:txPr>
        <c:crossAx val="716604648"/>
        <c:crosses val="max"/>
        <c:crossBetween val="between"/>
      </c:valAx>
      <c:catAx>
        <c:axId val="716604648"/>
        <c:scaling>
          <c:orientation val="minMax"/>
        </c:scaling>
        <c:delete val="1"/>
        <c:axPos val="b"/>
        <c:numFmt formatCode="General" sourceLinked="1"/>
        <c:majorTickMark val="out"/>
        <c:minorTickMark val="none"/>
        <c:tickLblPos val="nextTo"/>
        <c:crossAx val="716605040"/>
        <c:crosses val="autoZero"/>
        <c:auto val="1"/>
        <c:lblAlgn val="ctr"/>
        <c:lblOffset val="100"/>
        <c:noMultiLvlLbl val="0"/>
      </c:catAx>
      <c:spPr>
        <a:noFill/>
        <a:ln>
          <a:noFill/>
        </a:ln>
        <a:effectLst/>
      </c:spPr>
    </c:plotArea>
    <c:legend>
      <c:legendPos val="b"/>
      <c:overlay val="0"/>
      <c:txPr>
        <a:bodyPr/>
        <a:lstStyle/>
        <a:p>
          <a:pPr>
            <a:defRPr b="1"/>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mj-lt"/>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388776624160903E-2"/>
          <c:y val="5.0925925925925902E-2"/>
          <c:w val="0.92065093292882305"/>
          <c:h val="0.56627963877396703"/>
        </c:manualLayout>
      </c:layout>
      <c:barChart>
        <c:barDir val="col"/>
        <c:grouping val="clustered"/>
        <c:varyColors val="0"/>
        <c:ser>
          <c:idx val="0"/>
          <c:order val="0"/>
          <c:tx>
            <c:strRef>
              <c:f>Sheet1!$C$40</c:f>
              <c:strCache>
                <c:ptCount val="1"/>
                <c:pt idx="0">
                  <c:v>HIV notification rate per 100,000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Sheet1!$B$41:$B$50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Sheet1!$C$41:$C$50</c:f>
              <c:numCache>
                <c:formatCode>General</c:formatCode>
                <c:ptCount val="10"/>
                <c:pt idx="0">
                  <c:v>11.1</c:v>
                </c:pt>
                <c:pt idx="1">
                  <c:v>11.1</c:v>
                </c:pt>
                <c:pt idx="2">
                  <c:v>11.6</c:v>
                </c:pt>
                <c:pt idx="3">
                  <c:v>12.7</c:v>
                </c:pt>
                <c:pt idx="4">
                  <c:v>13.3</c:v>
                </c:pt>
                <c:pt idx="5">
                  <c:v>15.5</c:v>
                </c:pt>
                <c:pt idx="6">
                  <c:v>15.9</c:v>
                </c:pt>
                <c:pt idx="7">
                  <c:v>16.8</c:v>
                </c:pt>
                <c:pt idx="8">
                  <c:v>18.899999999999999</c:v>
                </c:pt>
                <c:pt idx="9">
                  <c:v>17.899999999999999</c:v>
                </c:pt>
              </c:numCache>
            </c:numRef>
          </c:val>
          <c:extLst>
            <c:ext xmlns:c16="http://schemas.microsoft.com/office/drawing/2014/chart" uri="{C3380CC4-5D6E-409C-BE32-E72D297353CC}">
              <c16:uniqueId val="{00000000-514A-4122-AEF5-519F6B89A4A8}"/>
            </c:ext>
          </c:extLst>
        </c:ser>
        <c:dLbls>
          <c:showLegendKey val="0"/>
          <c:showVal val="0"/>
          <c:showCatName val="0"/>
          <c:showSerName val="0"/>
          <c:showPercent val="0"/>
          <c:showBubbleSize val="0"/>
        </c:dLbls>
        <c:gapWidth val="150"/>
        <c:axId val="648426360"/>
        <c:axId val="648427144"/>
      </c:barChart>
      <c:lineChart>
        <c:grouping val="standard"/>
        <c:varyColors val="0"/>
        <c:ser>
          <c:idx val="1"/>
          <c:order val="1"/>
          <c:tx>
            <c:strRef>
              <c:f>Sheet1!$D$40</c:f>
              <c:strCache>
                <c:ptCount val="1"/>
                <c:pt idx="0">
                  <c:v>TB/HIV coinfection rate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Sheet1!$B$41:$B$50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Sheet1!$D$41:$D$50</c:f>
              <c:numCache>
                <c:formatCode>General</c:formatCode>
                <c:ptCount val="10"/>
                <c:pt idx="0">
                  <c:v>3.3</c:v>
                </c:pt>
                <c:pt idx="1">
                  <c:v>3.3</c:v>
                </c:pt>
                <c:pt idx="2">
                  <c:v>3.3</c:v>
                </c:pt>
                <c:pt idx="3" formatCode="0.0">
                  <c:v>4</c:v>
                </c:pt>
                <c:pt idx="4" formatCode="0.0">
                  <c:v>4.5</c:v>
                </c:pt>
                <c:pt idx="5" formatCode="0.0">
                  <c:v>7.2</c:v>
                </c:pt>
                <c:pt idx="6" formatCode="0.0">
                  <c:v>5.2</c:v>
                </c:pt>
                <c:pt idx="7" formatCode="0.0">
                  <c:v>5.5</c:v>
                </c:pt>
                <c:pt idx="8" formatCode="0.0">
                  <c:v>4.7</c:v>
                </c:pt>
                <c:pt idx="9" formatCode="0.0">
                  <c:v>4</c:v>
                </c:pt>
              </c:numCache>
            </c:numRef>
          </c:val>
          <c:smooth val="0"/>
          <c:extLst>
            <c:ext xmlns:c16="http://schemas.microsoft.com/office/drawing/2014/chart" uri="{C3380CC4-5D6E-409C-BE32-E72D297353CC}">
              <c16:uniqueId val="{00000001-514A-4122-AEF5-519F6B89A4A8}"/>
            </c:ext>
          </c:extLst>
        </c:ser>
        <c:dLbls>
          <c:showLegendKey val="0"/>
          <c:showVal val="0"/>
          <c:showCatName val="0"/>
          <c:showSerName val="0"/>
          <c:showPercent val="0"/>
          <c:showBubbleSize val="0"/>
        </c:dLbls>
        <c:marker val="1"/>
        <c:smooth val="0"/>
        <c:axId val="648426360"/>
        <c:axId val="648427144"/>
      </c:lineChart>
      <c:catAx>
        <c:axId val="648426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648427144"/>
        <c:crosses val="autoZero"/>
        <c:auto val="1"/>
        <c:lblAlgn val="ctr"/>
        <c:lblOffset val="100"/>
        <c:noMultiLvlLbl val="0"/>
      </c:catAx>
      <c:valAx>
        <c:axId val="648427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648426360"/>
        <c:crosses val="autoZero"/>
        <c:crossBetween val="between"/>
      </c:valAx>
      <c:spPr>
        <a:noFill/>
        <a:ln>
          <a:noFill/>
        </a:ln>
        <a:effectLst/>
      </c:spPr>
    </c:plotArea>
    <c:legend>
      <c:legendPos val="b"/>
      <c:layout>
        <c:manualLayout>
          <c:xMode val="edge"/>
          <c:yMode val="edge"/>
          <c:x val="0.17187025933684899"/>
          <c:y val="0.75796155738946103"/>
          <c:w val="0.64030415623655301"/>
          <c:h val="0.12511455135904601"/>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Sheet3!$C$42</c:f>
              <c:strCache>
                <c:ptCount val="1"/>
                <c:pt idx="0">
                  <c:v>TB diagnosis and treatment</c:v>
                </c:pt>
              </c:strCache>
            </c:strRef>
          </c:tx>
          <c:spPr>
            <a:solidFill>
              <a:schemeClr val="accent1"/>
            </a:solidFill>
            <a:ln>
              <a:noFill/>
            </a:ln>
            <a:effectLst/>
          </c:spPr>
          <c:invertIfNegative val="0"/>
          <c:dPt>
            <c:idx val="1"/>
            <c:invertIfNegative val="0"/>
            <c:bubble3D val="0"/>
            <c:spPr>
              <a:solidFill>
                <a:srgbClr val="CC3300"/>
              </a:solidFill>
              <a:ln>
                <a:noFill/>
              </a:ln>
              <a:effectLst/>
            </c:spPr>
            <c:extLst>
              <c:ext xmlns:c16="http://schemas.microsoft.com/office/drawing/2014/chart" uri="{C3380CC4-5D6E-409C-BE32-E72D297353CC}">
                <c16:uniqueId val="{00000001-9564-4AC5-A2E9-ECCBB41D228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64-4AC5-A2E9-ECCBB41D228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64-4AC5-A2E9-ECCBB41D228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Sheet3!$D$41:$E$41</c:f>
              <c:strCache>
                <c:ptCount val="2"/>
                <c:pt idx="0">
                  <c:v>Results (2018-2020)</c:v>
                </c:pt>
                <c:pt idx="1">
                  <c:v>Targets (2018-2022)</c:v>
                </c:pt>
              </c:strCache>
            </c:strRef>
          </c:cat>
          <c:val>
            <c:numRef>
              <c:f>Sheet3!$D$42:$E$42</c:f>
              <c:numCache>
                <c:formatCode>#,##0</c:formatCode>
                <c:ptCount val="2"/>
                <c:pt idx="0">
                  <c:v>34936</c:v>
                </c:pt>
                <c:pt idx="1">
                  <c:v>64500</c:v>
                </c:pt>
              </c:numCache>
            </c:numRef>
          </c:val>
          <c:extLst>
            <c:ext xmlns:c16="http://schemas.microsoft.com/office/drawing/2014/chart" uri="{C3380CC4-5D6E-409C-BE32-E72D297353CC}">
              <c16:uniqueId val="{00000003-9564-4AC5-A2E9-ECCBB41D2287}"/>
            </c:ext>
          </c:extLst>
        </c:ser>
        <c:dLbls>
          <c:showLegendKey val="0"/>
          <c:showVal val="0"/>
          <c:showCatName val="0"/>
          <c:showSerName val="0"/>
          <c:showPercent val="0"/>
          <c:showBubbleSize val="0"/>
        </c:dLbls>
        <c:gapWidth val="219"/>
        <c:overlap val="-27"/>
        <c:axId val="656791960"/>
        <c:axId val="656792352"/>
      </c:barChart>
      <c:catAx>
        <c:axId val="65679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656792352"/>
        <c:crosses val="autoZero"/>
        <c:auto val="1"/>
        <c:lblAlgn val="ctr"/>
        <c:lblOffset val="100"/>
        <c:noMultiLvlLbl val="0"/>
      </c:catAx>
      <c:valAx>
        <c:axId val="656792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6791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850364732230902E-2"/>
          <c:y val="9.3728000713791795E-2"/>
          <c:w val="0.83844962268715395"/>
          <c:h val="0.51481608708259896"/>
        </c:manualLayout>
      </c:layout>
      <c:barChart>
        <c:barDir val="col"/>
        <c:grouping val="clustered"/>
        <c:varyColors val="0"/>
        <c:ser>
          <c:idx val="0"/>
          <c:order val="0"/>
          <c:tx>
            <c:strRef>
              <c:f>'Total RK'!$D$28</c:f>
              <c:strCache>
                <c:ptCount val="1"/>
                <c:pt idx="0">
                  <c:v>Suspects estimated </c:v>
                </c:pt>
              </c:strCache>
            </c:strRef>
          </c:tx>
          <c:spPr>
            <a:solidFill>
              <a:schemeClr val="accent2">
                <a:lumMod val="60000"/>
                <a:lumOff val="40000"/>
              </a:schemeClr>
            </a:solidFill>
            <a:ln>
              <a:noFill/>
            </a:ln>
            <a:effectLst/>
          </c:spPr>
          <c:invertIfNegative val="0"/>
          <c:dLbls>
            <c:dLbl>
              <c:idx val="5"/>
              <c:layout>
                <c:manualLayout>
                  <c:x val="0"/>
                  <c:y val="-6.619411303996990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DD-4137-8513-F0ECB410C353}"/>
                </c:ext>
              </c:extLst>
            </c:dLbl>
            <c:dLbl>
              <c:idx val="7"/>
              <c:layout>
                <c:manualLayout>
                  <c:x val="-1.7605633802816999E-2"/>
                  <c:y val="-1.06496272630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DD-4137-8513-F0ECB410C353}"/>
                </c:ext>
              </c:extLst>
            </c:dLbl>
            <c:dLbl>
              <c:idx val="8"/>
              <c:layout>
                <c:manualLayout>
                  <c:x val="0"/>
                  <c:y val="4.1580041580041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3E-457A-9C25-B62AC7DA625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RK'!$C$29:$C$37</c:f>
              <c:strCache>
                <c:ptCount val="9"/>
                <c:pt idx="0">
                  <c:v>2013</c:v>
                </c:pt>
                <c:pt idx="1">
                  <c:v>2014</c:v>
                </c:pt>
                <c:pt idx="2">
                  <c:v>2015</c:v>
                </c:pt>
                <c:pt idx="3">
                  <c:v>2016</c:v>
                </c:pt>
                <c:pt idx="4">
                  <c:v>2017</c:v>
                </c:pt>
                <c:pt idx="5">
                  <c:v>2018</c:v>
                </c:pt>
                <c:pt idx="6">
                  <c:v>2019</c:v>
                </c:pt>
                <c:pt idx="7">
                  <c:v>2020</c:v>
                </c:pt>
                <c:pt idx="8">
                  <c:v>9m.2021</c:v>
                </c:pt>
              </c:strCache>
            </c:strRef>
          </c:cat>
          <c:val>
            <c:numRef>
              <c:f>'Total RK'!$D$29:$D$37</c:f>
              <c:numCache>
                <c:formatCode>General</c:formatCode>
                <c:ptCount val="9"/>
                <c:pt idx="5" formatCode="#,##0">
                  <c:v>89010</c:v>
                </c:pt>
                <c:pt idx="6" formatCode="#,##0">
                  <c:v>85616</c:v>
                </c:pt>
                <c:pt idx="7" formatCode="#,##0">
                  <c:v>83856</c:v>
                </c:pt>
                <c:pt idx="8" formatCode="#,##0">
                  <c:v>81296</c:v>
                </c:pt>
              </c:numCache>
            </c:numRef>
          </c:val>
          <c:extLst>
            <c:ext xmlns:c16="http://schemas.microsoft.com/office/drawing/2014/chart" uri="{C3380CC4-5D6E-409C-BE32-E72D297353CC}">
              <c16:uniqueId val="{00000002-B2DD-4137-8513-F0ECB410C353}"/>
            </c:ext>
          </c:extLst>
        </c:ser>
        <c:ser>
          <c:idx val="1"/>
          <c:order val="1"/>
          <c:tx>
            <c:strRef>
              <c:f>'Total RK'!$E$28</c:f>
              <c:strCache>
                <c:ptCount val="1"/>
                <c:pt idx="0">
                  <c:v>Suspects investigated</c:v>
                </c:pt>
              </c:strCache>
            </c:strRef>
          </c:tx>
          <c:spPr>
            <a:solidFill>
              <a:schemeClr val="accent5">
                <a:lumMod val="60000"/>
                <a:lumOff val="40000"/>
              </a:schemeClr>
            </a:solidFill>
            <a:ln>
              <a:solidFill>
                <a:schemeClr val="accent1">
                  <a:alpha val="96000"/>
                </a:schemeClr>
              </a:solidFill>
            </a:ln>
            <a:effectLst/>
          </c:spPr>
          <c:invertIfNegative val="0"/>
          <c:dLbls>
            <c:dLbl>
              <c:idx val="5"/>
              <c:layout>
                <c:manualLayout>
                  <c:x val="-3.3389092208544299E-3"/>
                  <c:y val="0.128638036363305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DD-4137-8513-F0ECB410C353}"/>
                </c:ext>
              </c:extLst>
            </c:dLbl>
            <c:dLbl>
              <c:idx val="6"/>
              <c:layout>
                <c:manualLayout>
                  <c:x val="-2.23281948911323E-3"/>
                  <c:y val="0.1535637767982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DD-4137-8513-F0ECB410C353}"/>
                </c:ext>
              </c:extLst>
            </c:dLbl>
            <c:dLbl>
              <c:idx val="7"/>
              <c:layout>
                <c:manualLayout>
                  <c:x val="-6.6981504072554298E-3"/>
                  <c:y val="9.649285607063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DD-4137-8513-F0ECB410C353}"/>
                </c:ext>
              </c:extLst>
            </c:dLbl>
            <c:dLbl>
              <c:idx val="8"/>
              <c:layout>
                <c:manualLayout>
                  <c:x val="4.7958470916940202E-3"/>
                  <c:y val="8.7049617758279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DD-4137-8513-F0ECB410C35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RK'!$C$29:$C$37</c:f>
              <c:strCache>
                <c:ptCount val="9"/>
                <c:pt idx="0">
                  <c:v>2013</c:v>
                </c:pt>
                <c:pt idx="1">
                  <c:v>2014</c:v>
                </c:pt>
                <c:pt idx="2">
                  <c:v>2015</c:v>
                </c:pt>
                <c:pt idx="3">
                  <c:v>2016</c:v>
                </c:pt>
                <c:pt idx="4">
                  <c:v>2017</c:v>
                </c:pt>
                <c:pt idx="5">
                  <c:v>2018</c:v>
                </c:pt>
                <c:pt idx="6">
                  <c:v>2019</c:v>
                </c:pt>
                <c:pt idx="7">
                  <c:v>2020</c:v>
                </c:pt>
                <c:pt idx="8">
                  <c:v>9m.2021</c:v>
                </c:pt>
              </c:strCache>
            </c:strRef>
          </c:cat>
          <c:val>
            <c:numRef>
              <c:f>'Total RK'!$E$29:$E$37</c:f>
              <c:numCache>
                <c:formatCode>General</c:formatCode>
                <c:ptCount val="9"/>
                <c:pt idx="5" formatCode="#,##0">
                  <c:v>60822</c:v>
                </c:pt>
                <c:pt idx="6" formatCode="#,##0">
                  <c:v>64803</c:v>
                </c:pt>
                <c:pt idx="7" formatCode="#,##0">
                  <c:v>74447</c:v>
                </c:pt>
                <c:pt idx="8" formatCode="#,##0">
                  <c:v>74220</c:v>
                </c:pt>
              </c:numCache>
            </c:numRef>
          </c:val>
          <c:extLst>
            <c:ext xmlns:c16="http://schemas.microsoft.com/office/drawing/2014/chart" uri="{C3380CC4-5D6E-409C-BE32-E72D297353CC}">
              <c16:uniqueId val="{00000007-B2DD-4137-8513-F0ECB410C353}"/>
            </c:ext>
          </c:extLst>
        </c:ser>
        <c:ser>
          <c:idx val="2"/>
          <c:order val="2"/>
          <c:tx>
            <c:strRef>
              <c:f>'Total RK'!$F$28</c:f>
              <c:strCache>
                <c:ptCount val="1"/>
                <c:pt idx="0">
                  <c:v>Xpert tests performed</c:v>
                </c:pt>
              </c:strCache>
            </c:strRef>
          </c:tx>
          <c:spPr>
            <a:solidFill>
              <a:schemeClr val="accent6">
                <a:lumMod val="60000"/>
                <a:lumOff val="40000"/>
              </a:schemeClr>
            </a:solidFill>
            <a:ln>
              <a:noFill/>
            </a:ln>
            <a:effectLst/>
          </c:spPr>
          <c:invertIfNegative val="0"/>
          <c:dLbls>
            <c:dLbl>
              <c:idx val="4"/>
              <c:layout>
                <c:manualLayout>
                  <c:x val="-4.2357067647814297E-3"/>
                  <c:y val="-2.6532898340978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DD-4137-8513-F0ECB410C353}"/>
                </c:ext>
              </c:extLst>
            </c:dLbl>
            <c:dLbl>
              <c:idx val="5"/>
              <c:layout>
                <c:manualLayout>
                  <c:x val="1.95618153364625E-3"/>
                  <c:y val="7.10458203123223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2DD-4137-8513-F0ECB410C353}"/>
                </c:ext>
              </c:extLst>
            </c:dLbl>
            <c:dLbl>
              <c:idx val="6"/>
              <c:layout>
                <c:manualLayout>
                  <c:x val="1.9561815336461802E-3"/>
                  <c:y val="9.7121958542010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2DD-4137-8513-F0ECB410C353}"/>
                </c:ext>
              </c:extLst>
            </c:dLbl>
            <c:dLbl>
              <c:idx val="7"/>
              <c:layout>
                <c:manualLayout>
                  <c:x val="2.2085696949171699E-3"/>
                  <c:y val="3.65495113526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2DD-4137-8513-F0ECB410C353}"/>
                </c:ext>
              </c:extLst>
            </c:dLbl>
            <c:dLbl>
              <c:idx val="8"/>
              <c:layout>
                <c:manualLayout>
                  <c:x val="1.5933416589055401E-2"/>
                  <c:y val="2.0790020790020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2DD-4137-8513-F0ECB410C353}"/>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RK'!$C$29:$C$37</c:f>
              <c:strCache>
                <c:ptCount val="9"/>
                <c:pt idx="0">
                  <c:v>2013</c:v>
                </c:pt>
                <c:pt idx="1">
                  <c:v>2014</c:v>
                </c:pt>
                <c:pt idx="2">
                  <c:v>2015</c:v>
                </c:pt>
                <c:pt idx="3">
                  <c:v>2016</c:v>
                </c:pt>
                <c:pt idx="4">
                  <c:v>2017</c:v>
                </c:pt>
                <c:pt idx="5">
                  <c:v>2018</c:v>
                </c:pt>
                <c:pt idx="6">
                  <c:v>2019</c:v>
                </c:pt>
                <c:pt idx="7">
                  <c:v>2020</c:v>
                </c:pt>
                <c:pt idx="8">
                  <c:v>9m.2021</c:v>
                </c:pt>
              </c:strCache>
            </c:strRef>
          </c:cat>
          <c:val>
            <c:numRef>
              <c:f>'Total RK'!$F$29:$F$37</c:f>
              <c:numCache>
                <c:formatCode>#,##0</c:formatCode>
                <c:ptCount val="9"/>
                <c:pt idx="0">
                  <c:v>14500</c:v>
                </c:pt>
                <c:pt idx="1">
                  <c:v>28487</c:v>
                </c:pt>
                <c:pt idx="2">
                  <c:v>33601</c:v>
                </c:pt>
                <c:pt idx="3">
                  <c:v>30973</c:v>
                </c:pt>
                <c:pt idx="4">
                  <c:v>37919</c:v>
                </c:pt>
                <c:pt idx="5">
                  <c:v>64308</c:v>
                </c:pt>
                <c:pt idx="6">
                  <c:v>68450</c:v>
                </c:pt>
                <c:pt idx="7">
                  <c:v>78723</c:v>
                </c:pt>
                <c:pt idx="8">
                  <c:v>78722</c:v>
                </c:pt>
              </c:numCache>
            </c:numRef>
          </c:val>
          <c:extLst>
            <c:ext xmlns:c16="http://schemas.microsoft.com/office/drawing/2014/chart" uri="{C3380CC4-5D6E-409C-BE32-E72D297353CC}">
              <c16:uniqueId val="{0000000D-B2DD-4137-8513-F0ECB410C353}"/>
            </c:ext>
          </c:extLst>
        </c:ser>
        <c:dLbls>
          <c:showLegendKey val="0"/>
          <c:showVal val="0"/>
          <c:showCatName val="0"/>
          <c:showSerName val="0"/>
          <c:showPercent val="0"/>
          <c:showBubbleSize val="0"/>
        </c:dLbls>
        <c:gapWidth val="150"/>
        <c:axId val="553136352"/>
        <c:axId val="553133216"/>
      </c:barChart>
      <c:lineChart>
        <c:grouping val="standard"/>
        <c:varyColors val="0"/>
        <c:ser>
          <c:idx val="3"/>
          <c:order val="3"/>
          <c:tx>
            <c:strRef>
              <c:f>'Total RK'!$G$28</c:f>
              <c:strCache>
                <c:ptCount val="1"/>
                <c:pt idx="0">
                  <c:v>Coverage with Xpert tests (%)</c:v>
                </c:pt>
              </c:strCache>
            </c:strRef>
          </c:tx>
          <c:spPr>
            <a:ln w="28575" cap="rnd">
              <a:solidFill>
                <a:srgbClr val="7030A0"/>
              </a:solidFill>
              <a:round/>
            </a:ln>
            <a:effectLst/>
          </c:spPr>
          <c:marker>
            <c:symbol val="none"/>
          </c:marker>
          <c:dPt>
            <c:idx val="6"/>
            <c:bubble3D val="0"/>
            <c:extLst>
              <c:ext xmlns:c16="http://schemas.microsoft.com/office/drawing/2014/chart" uri="{C3380CC4-5D6E-409C-BE32-E72D297353CC}">
                <c16:uniqueId val="{0000000E-B2DD-4137-8513-F0ECB410C353}"/>
              </c:ext>
            </c:extLst>
          </c:dPt>
          <c:dPt>
            <c:idx val="7"/>
            <c:bubble3D val="0"/>
            <c:extLst>
              <c:ext xmlns:c16="http://schemas.microsoft.com/office/drawing/2014/chart" uri="{C3380CC4-5D6E-409C-BE32-E72D297353CC}">
                <c16:uniqueId val="{0000000F-B2DD-4137-8513-F0ECB410C353}"/>
              </c:ext>
            </c:extLst>
          </c:dPt>
          <c:dLbls>
            <c:dLbl>
              <c:idx val="5"/>
              <c:layout>
                <c:manualLayout>
                  <c:x val="-6.4553990610328696E-2"/>
                  <c:y val="-8.42851749250581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2DD-4137-8513-F0ECB410C353}"/>
                </c:ext>
              </c:extLst>
            </c:dLbl>
            <c:dLbl>
              <c:idx val="6"/>
              <c:layout>
                <c:manualLayout>
                  <c:x val="-2.5430359937402201E-2"/>
                  <c:y val="-5.0498323758057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2DD-4137-8513-F0ECB410C353}"/>
                </c:ext>
              </c:extLst>
            </c:dLbl>
            <c:dLbl>
              <c:idx val="7"/>
              <c:layout>
                <c:manualLayout>
                  <c:x val="-1.9561815336463201E-2"/>
                  <c:y val="-6.7082429254402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2DD-4137-8513-F0ECB410C353}"/>
                </c:ext>
              </c:extLst>
            </c:dLbl>
            <c:dLbl>
              <c:idx val="8"/>
              <c:layout>
                <c:manualLayout>
                  <c:x val="3.9123630672926396E-3"/>
                  <c:y val="-7.0997515086971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2DD-4137-8513-F0ECB410C35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RK'!$C$29:$C$37</c:f>
              <c:strCache>
                <c:ptCount val="9"/>
                <c:pt idx="0">
                  <c:v>2013</c:v>
                </c:pt>
                <c:pt idx="1">
                  <c:v>2014</c:v>
                </c:pt>
                <c:pt idx="2">
                  <c:v>2015</c:v>
                </c:pt>
                <c:pt idx="3">
                  <c:v>2016</c:v>
                </c:pt>
                <c:pt idx="4">
                  <c:v>2017</c:v>
                </c:pt>
                <c:pt idx="5">
                  <c:v>2018</c:v>
                </c:pt>
                <c:pt idx="6">
                  <c:v>2019</c:v>
                </c:pt>
                <c:pt idx="7">
                  <c:v>2020</c:v>
                </c:pt>
                <c:pt idx="8">
                  <c:v>9m.2021</c:v>
                </c:pt>
              </c:strCache>
            </c:strRef>
          </c:cat>
          <c:val>
            <c:numRef>
              <c:f>'Total RK'!$G$29:$G$37</c:f>
              <c:numCache>
                <c:formatCode>General</c:formatCode>
                <c:ptCount val="9"/>
                <c:pt idx="5" formatCode="0%">
                  <c:v>0.68331648129423594</c:v>
                </c:pt>
                <c:pt idx="6" formatCode="0%">
                  <c:v>0.75690291534292597</c:v>
                </c:pt>
                <c:pt idx="7" formatCode="0%">
                  <c:v>0.88779574508681602</c:v>
                </c:pt>
                <c:pt idx="8" formatCode="0%">
                  <c:v>0.91296004723479596</c:v>
                </c:pt>
              </c:numCache>
            </c:numRef>
          </c:val>
          <c:smooth val="0"/>
          <c:extLst>
            <c:ext xmlns:c16="http://schemas.microsoft.com/office/drawing/2014/chart" uri="{C3380CC4-5D6E-409C-BE32-E72D297353CC}">
              <c16:uniqueId val="{00000012-B2DD-4137-8513-F0ECB410C353}"/>
            </c:ext>
          </c:extLst>
        </c:ser>
        <c:dLbls>
          <c:showLegendKey val="0"/>
          <c:showVal val="0"/>
          <c:showCatName val="0"/>
          <c:showSerName val="0"/>
          <c:showPercent val="0"/>
          <c:showBubbleSize val="0"/>
        </c:dLbls>
        <c:marker val="1"/>
        <c:smooth val="0"/>
        <c:axId val="628977544"/>
        <c:axId val="648425968"/>
      </c:lineChart>
      <c:catAx>
        <c:axId val="5531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553133216"/>
        <c:crosses val="autoZero"/>
        <c:auto val="1"/>
        <c:lblAlgn val="ctr"/>
        <c:lblOffset val="100"/>
        <c:noMultiLvlLbl val="0"/>
      </c:catAx>
      <c:valAx>
        <c:axId val="55313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crossAx val="553136352"/>
        <c:crosses val="autoZero"/>
        <c:crossBetween val="between"/>
      </c:valAx>
      <c:valAx>
        <c:axId val="648425968"/>
        <c:scaling>
          <c:orientation val="minMax"/>
          <c:max val="1"/>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28977544"/>
        <c:crosses val="max"/>
        <c:crossBetween val="between"/>
      </c:valAx>
      <c:catAx>
        <c:axId val="628977544"/>
        <c:scaling>
          <c:orientation val="minMax"/>
        </c:scaling>
        <c:delete val="1"/>
        <c:axPos val="b"/>
        <c:numFmt formatCode="General" sourceLinked="1"/>
        <c:majorTickMark val="out"/>
        <c:minorTickMark val="none"/>
        <c:tickLblPos val="nextTo"/>
        <c:crossAx val="648425968"/>
        <c:crosses val="autoZero"/>
        <c:auto val="1"/>
        <c:lblAlgn val="ctr"/>
        <c:lblOffset val="100"/>
        <c:noMultiLvlLbl val="0"/>
      </c:catAx>
      <c:spPr>
        <a:noFill/>
        <a:ln>
          <a:noFill/>
        </a:ln>
        <a:effectLst/>
      </c:spPr>
    </c:plotArea>
    <c:legend>
      <c:legendPos val="b"/>
      <c:layout>
        <c:manualLayout>
          <c:xMode val="edge"/>
          <c:yMode val="edge"/>
          <c:x val="2.6797001030194299E-2"/>
          <c:y val="0.76179712349040496"/>
          <c:w val="0.95803697953248801"/>
          <c:h val="0.23820297462817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9492563429601"/>
          <c:y val="2.54283318751823E-2"/>
          <c:w val="0.85612729658792697"/>
          <c:h val="0.69350583996549298"/>
        </c:manualLayout>
      </c:layout>
      <c:barChart>
        <c:barDir val="bar"/>
        <c:grouping val="percentStacked"/>
        <c:varyColors val="0"/>
        <c:ser>
          <c:idx val="0"/>
          <c:order val="0"/>
          <c:tx>
            <c:strRef>
              <c:f>Sheet1!$N$132</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Sheet1!$M$133:$M$137</c:f>
              <c:strCache>
                <c:ptCount val="5"/>
                <c:pt idx="0">
                  <c:v>Treatment success </c:v>
                </c:pt>
                <c:pt idx="1">
                  <c:v>Treatment failure </c:v>
                </c:pt>
                <c:pt idx="2">
                  <c:v>Death </c:v>
                </c:pt>
                <c:pt idx="3">
                  <c:v>LTFU </c:v>
                </c:pt>
                <c:pt idx="4">
                  <c:v>Transferred</c:v>
                </c:pt>
              </c:strCache>
            </c:strRef>
          </c:cat>
          <c:val>
            <c:numRef>
              <c:f>Sheet1!$N$133:$N$137</c:f>
              <c:numCache>
                <c:formatCode>0.0%</c:formatCode>
                <c:ptCount val="5"/>
                <c:pt idx="0">
                  <c:v>0.88</c:v>
                </c:pt>
                <c:pt idx="1">
                  <c:v>3.8523985239852399E-2</c:v>
                </c:pt>
                <c:pt idx="2">
                  <c:v>6.5239852398524006E-2</c:v>
                </c:pt>
                <c:pt idx="3">
                  <c:v>1.29889298892989E-2</c:v>
                </c:pt>
                <c:pt idx="4">
                  <c:v>3.2472324723247202E-3</c:v>
                </c:pt>
              </c:numCache>
            </c:numRef>
          </c:val>
          <c:extLst>
            <c:ext xmlns:c16="http://schemas.microsoft.com/office/drawing/2014/chart" uri="{C3380CC4-5D6E-409C-BE32-E72D297353CC}">
              <c16:uniqueId val="{00000000-CB9A-45FC-83F8-69FC4209EB3D}"/>
            </c:ext>
          </c:extLst>
        </c:ser>
        <c:ser>
          <c:idx val="1"/>
          <c:order val="1"/>
          <c:tx>
            <c:strRef>
              <c:f>Sheet1!$O$132</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Sheet1!$M$133:$M$137</c:f>
              <c:strCache>
                <c:ptCount val="5"/>
                <c:pt idx="0">
                  <c:v>Treatment success </c:v>
                </c:pt>
                <c:pt idx="1">
                  <c:v>Treatment failure </c:v>
                </c:pt>
                <c:pt idx="2">
                  <c:v>Death </c:v>
                </c:pt>
                <c:pt idx="3">
                  <c:v>LTFU </c:v>
                </c:pt>
                <c:pt idx="4">
                  <c:v>Transferred</c:v>
                </c:pt>
              </c:strCache>
            </c:strRef>
          </c:cat>
          <c:val>
            <c:numRef>
              <c:f>Sheet1!$O$133:$O$137</c:f>
              <c:numCache>
                <c:formatCode>0.0%</c:formatCode>
                <c:ptCount val="5"/>
                <c:pt idx="0">
                  <c:v>0.911165444172779</c:v>
                </c:pt>
                <c:pt idx="1">
                  <c:v>2.7011293514961E-2</c:v>
                </c:pt>
                <c:pt idx="2">
                  <c:v>4.9481895447665597E-2</c:v>
                </c:pt>
                <c:pt idx="3">
                  <c:v>9.5470951216672494E-3</c:v>
                </c:pt>
                <c:pt idx="4">
                  <c:v>2.7942717429269999E-3</c:v>
                </c:pt>
              </c:numCache>
            </c:numRef>
          </c:val>
          <c:extLst>
            <c:ext xmlns:c16="http://schemas.microsoft.com/office/drawing/2014/chart" uri="{C3380CC4-5D6E-409C-BE32-E72D297353CC}">
              <c16:uniqueId val="{00000001-CB9A-45FC-83F8-69FC4209EB3D}"/>
            </c:ext>
          </c:extLst>
        </c:ser>
        <c:ser>
          <c:idx val="2"/>
          <c:order val="2"/>
          <c:tx>
            <c:strRef>
              <c:f>Sheet1!$P$132</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Sheet1!$M$133:$M$137</c:f>
              <c:strCache>
                <c:ptCount val="5"/>
                <c:pt idx="0">
                  <c:v>Treatment success </c:v>
                </c:pt>
                <c:pt idx="1">
                  <c:v>Treatment failure </c:v>
                </c:pt>
                <c:pt idx="2">
                  <c:v>Death </c:v>
                </c:pt>
                <c:pt idx="3">
                  <c:v>LTFU </c:v>
                </c:pt>
                <c:pt idx="4">
                  <c:v>Transferred</c:v>
                </c:pt>
              </c:strCache>
            </c:strRef>
          </c:cat>
          <c:val>
            <c:numRef>
              <c:f>Sheet1!$P$133:$P$137</c:f>
              <c:numCache>
                <c:formatCode>0.0%</c:formatCode>
                <c:ptCount val="5"/>
                <c:pt idx="0">
                  <c:v>0.90253212876956301</c:v>
                </c:pt>
                <c:pt idx="1">
                  <c:v>2.7102684819951602E-2</c:v>
                </c:pt>
                <c:pt idx="2">
                  <c:v>5.9804046316325202E-2</c:v>
                </c:pt>
                <c:pt idx="3">
                  <c:v>8.9069856215803506E-3</c:v>
                </c:pt>
                <c:pt idx="4">
                  <c:v>1.6541544725792101E-3</c:v>
                </c:pt>
              </c:numCache>
            </c:numRef>
          </c:val>
          <c:extLst>
            <c:ext xmlns:c16="http://schemas.microsoft.com/office/drawing/2014/chart" uri="{C3380CC4-5D6E-409C-BE32-E72D297353CC}">
              <c16:uniqueId val="{00000002-CB9A-45FC-83F8-69FC4209EB3D}"/>
            </c:ext>
          </c:extLst>
        </c:ser>
        <c:ser>
          <c:idx val="3"/>
          <c:order val="3"/>
          <c:tx>
            <c:strRef>
              <c:f>Sheet1!$Q$132</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Sheet1!$M$133:$M$137</c:f>
              <c:strCache>
                <c:ptCount val="5"/>
                <c:pt idx="0">
                  <c:v>Treatment success </c:v>
                </c:pt>
                <c:pt idx="1">
                  <c:v>Treatment failure </c:v>
                </c:pt>
                <c:pt idx="2">
                  <c:v>Death </c:v>
                </c:pt>
                <c:pt idx="3">
                  <c:v>LTFU </c:v>
                </c:pt>
                <c:pt idx="4">
                  <c:v>Transferred</c:v>
                </c:pt>
              </c:strCache>
            </c:strRef>
          </c:cat>
          <c:val>
            <c:numRef>
              <c:f>Sheet1!$Q$133:$Q$137</c:f>
              <c:numCache>
                <c:formatCode>0.0%</c:formatCode>
                <c:ptCount val="5"/>
                <c:pt idx="0">
                  <c:v>0.90301694448271097</c:v>
                </c:pt>
                <c:pt idx="1">
                  <c:v>2.4934563989530201E-2</c:v>
                </c:pt>
                <c:pt idx="2">
                  <c:v>5.8134729301556699E-2</c:v>
                </c:pt>
                <c:pt idx="3">
                  <c:v>1.32249621159939E-2</c:v>
                </c:pt>
                <c:pt idx="4">
                  <c:v>6.88800110208018E-4</c:v>
                </c:pt>
              </c:numCache>
            </c:numRef>
          </c:val>
          <c:extLst>
            <c:ext xmlns:c16="http://schemas.microsoft.com/office/drawing/2014/chart" uri="{C3380CC4-5D6E-409C-BE32-E72D297353CC}">
              <c16:uniqueId val="{00000003-CB9A-45FC-83F8-69FC4209EB3D}"/>
            </c:ext>
          </c:extLst>
        </c:ser>
        <c:dLbls>
          <c:showLegendKey val="0"/>
          <c:showVal val="0"/>
          <c:showCatName val="0"/>
          <c:showSerName val="0"/>
          <c:showPercent val="0"/>
          <c:showBubbleSize val="0"/>
        </c:dLbls>
        <c:gapWidth val="150"/>
        <c:overlap val="100"/>
        <c:axId val="628977152"/>
        <c:axId val="628970096"/>
      </c:barChart>
      <c:catAx>
        <c:axId val="628977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8970096"/>
        <c:crosses val="autoZero"/>
        <c:auto val="1"/>
        <c:lblAlgn val="ctr"/>
        <c:lblOffset val="100"/>
        <c:noMultiLvlLbl val="0"/>
      </c:catAx>
      <c:valAx>
        <c:axId val="628970096"/>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897715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legendEntry>
      <c:legendEntry>
        <c:idx val="2"/>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legendEntry>
      <c:legendEntry>
        <c:idx val="3"/>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legendEntry>
      <c:layout>
        <c:manualLayout>
          <c:xMode val="edge"/>
          <c:yMode val="edge"/>
          <c:x val="0.34242697274780898"/>
          <c:y val="0.85413999002004504"/>
          <c:w val="0.49756728170172798"/>
          <c:h val="0.102449896779144"/>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058409468236898"/>
          <c:y val="7.6832151300236406E-2"/>
          <c:w val="0.58673197601224603"/>
          <c:h val="0.63566184865989495"/>
        </c:manualLayout>
      </c:layout>
      <c:barChart>
        <c:barDir val="bar"/>
        <c:grouping val="percentStacked"/>
        <c:varyColors val="0"/>
        <c:ser>
          <c:idx val="0"/>
          <c:order val="0"/>
          <c:tx>
            <c:strRef>
              <c:f>Sheet1!$N$160</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Sheet1!$M$161:$M$165</c:f>
              <c:strCache>
                <c:ptCount val="5"/>
                <c:pt idx="0">
                  <c:v>Treatment success </c:v>
                </c:pt>
                <c:pt idx="1">
                  <c:v>Treatment failure </c:v>
                </c:pt>
                <c:pt idx="2">
                  <c:v>Death </c:v>
                </c:pt>
                <c:pt idx="3">
                  <c:v>LTFU </c:v>
                </c:pt>
                <c:pt idx="4">
                  <c:v>Transferred</c:v>
                </c:pt>
              </c:strCache>
            </c:strRef>
          </c:cat>
          <c:val>
            <c:numRef>
              <c:f>Sheet1!$N$161:$N$165</c:f>
              <c:numCache>
                <c:formatCode>0.0%</c:formatCode>
                <c:ptCount val="5"/>
                <c:pt idx="0">
                  <c:v>0.80081300813008105</c:v>
                </c:pt>
                <c:pt idx="1">
                  <c:v>5.2845528455284597E-2</c:v>
                </c:pt>
                <c:pt idx="2">
                  <c:v>9.7560975609756101E-2</c:v>
                </c:pt>
                <c:pt idx="3">
                  <c:v>4.0650406504064998E-2</c:v>
                </c:pt>
                <c:pt idx="4">
                  <c:v>8.1300813008130107E-3</c:v>
                </c:pt>
              </c:numCache>
            </c:numRef>
          </c:val>
          <c:extLst>
            <c:ext xmlns:c16="http://schemas.microsoft.com/office/drawing/2014/chart" uri="{C3380CC4-5D6E-409C-BE32-E72D297353CC}">
              <c16:uniqueId val="{00000000-1E3A-4F14-ABCD-2FB60C02A72A}"/>
            </c:ext>
          </c:extLst>
        </c:ser>
        <c:ser>
          <c:idx val="1"/>
          <c:order val="1"/>
          <c:tx>
            <c:strRef>
              <c:f>Sheet1!$O$160</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Sheet1!$M$161:$M$165</c:f>
              <c:strCache>
                <c:ptCount val="5"/>
                <c:pt idx="0">
                  <c:v>Treatment success </c:v>
                </c:pt>
                <c:pt idx="1">
                  <c:v>Treatment failure </c:v>
                </c:pt>
                <c:pt idx="2">
                  <c:v>Death </c:v>
                </c:pt>
                <c:pt idx="3">
                  <c:v>LTFU </c:v>
                </c:pt>
                <c:pt idx="4">
                  <c:v>Transferred</c:v>
                </c:pt>
              </c:strCache>
            </c:strRef>
          </c:cat>
          <c:val>
            <c:numRef>
              <c:f>Sheet1!$O$161:$O$165</c:f>
              <c:numCache>
                <c:formatCode>0.0%</c:formatCode>
                <c:ptCount val="5"/>
                <c:pt idx="0">
                  <c:v>0.81599999999999995</c:v>
                </c:pt>
                <c:pt idx="1">
                  <c:v>5.6000000000000001E-2</c:v>
                </c:pt>
                <c:pt idx="2">
                  <c:v>7.1999999999999995E-2</c:v>
                </c:pt>
                <c:pt idx="3">
                  <c:v>5.1999999999999998E-2</c:v>
                </c:pt>
                <c:pt idx="4">
                  <c:v>4.0000000000000001E-3</c:v>
                </c:pt>
              </c:numCache>
            </c:numRef>
          </c:val>
          <c:extLst>
            <c:ext xmlns:c16="http://schemas.microsoft.com/office/drawing/2014/chart" uri="{C3380CC4-5D6E-409C-BE32-E72D297353CC}">
              <c16:uniqueId val="{00000001-1E3A-4F14-ABCD-2FB60C02A72A}"/>
            </c:ext>
          </c:extLst>
        </c:ser>
        <c:ser>
          <c:idx val="2"/>
          <c:order val="2"/>
          <c:tx>
            <c:strRef>
              <c:f>Sheet1!$P$160</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Sheet1!$M$161:$M$165</c:f>
              <c:strCache>
                <c:ptCount val="5"/>
                <c:pt idx="0">
                  <c:v>Treatment success </c:v>
                </c:pt>
                <c:pt idx="1">
                  <c:v>Treatment failure </c:v>
                </c:pt>
                <c:pt idx="2">
                  <c:v>Death </c:v>
                </c:pt>
                <c:pt idx="3">
                  <c:v>LTFU </c:v>
                </c:pt>
                <c:pt idx="4">
                  <c:v>Transferred</c:v>
                </c:pt>
              </c:strCache>
            </c:strRef>
          </c:cat>
          <c:val>
            <c:numRef>
              <c:f>Sheet1!$P$161:$P$165</c:f>
              <c:numCache>
                <c:formatCode>0.0%</c:formatCode>
                <c:ptCount val="5"/>
                <c:pt idx="0">
                  <c:v>0.74698795180722899</c:v>
                </c:pt>
                <c:pt idx="1">
                  <c:v>7.2289156626505993E-2</c:v>
                </c:pt>
                <c:pt idx="2">
                  <c:v>0.108433734939759</c:v>
                </c:pt>
                <c:pt idx="3">
                  <c:v>6.6265060240963805E-2</c:v>
                </c:pt>
                <c:pt idx="4">
                  <c:v>6.0240963855421699E-3</c:v>
                </c:pt>
              </c:numCache>
            </c:numRef>
          </c:val>
          <c:extLst>
            <c:ext xmlns:c16="http://schemas.microsoft.com/office/drawing/2014/chart" uri="{C3380CC4-5D6E-409C-BE32-E72D297353CC}">
              <c16:uniqueId val="{00000002-1E3A-4F14-ABCD-2FB60C02A72A}"/>
            </c:ext>
          </c:extLst>
        </c:ser>
        <c:ser>
          <c:idx val="3"/>
          <c:order val="3"/>
          <c:tx>
            <c:strRef>
              <c:f>Sheet1!$Q$160</c:f>
              <c:strCache>
                <c:ptCount val="1"/>
                <c:pt idx="0">
                  <c:v>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Sheet1!$M$161:$M$165</c:f>
              <c:strCache>
                <c:ptCount val="5"/>
                <c:pt idx="0">
                  <c:v>Treatment success </c:v>
                </c:pt>
                <c:pt idx="1">
                  <c:v>Treatment failure </c:v>
                </c:pt>
                <c:pt idx="2">
                  <c:v>Death </c:v>
                </c:pt>
                <c:pt idx="3">
                  <c:v>LTFU </c:v>
                </c:pt>
                <c:pt idx="4">
                  <c:v>Transferred</c:v>
                </c:pt>
              </c:strCache>
            </c:strRef>
          </c:cat>
          <c:val>
            <c:numRef>
              <c:f>Sheet1!$Q$161:$Q$165</c:f>
              <c:numCache>
                <c:formatCode>0.0%</c:formatCode>
                <c:ptCount val="5"/>
                <c:pt idx="0">
                  <c:v>0.69230769230769196</c:v>
                </c:pt>
                <c:pt idx="1">
                  <c:v>6.5934065934065894E-2</c:v>
                </c:pt>
                <c:pt idx="2">
                  <c:v>0.15384615384615399</c:v>
                </c:pt>
                <c:pt idx="3">
                  <c:v>8.7912087912087905E-2</c:v>
                </c:pt>
                <c:pt idx="4">
                  <c:v>0</c:v>
                </c:pt>
              </c:numCache>
            </c:numRef>
          </c:val>
          <c:extLst>
            <c:ext xmlns:c16="http://schemas.microsoft.com/office/drawing/2014/chart" uri="{C3380CC4-5D6E-409C-BE32-E72D297353CC}">
              <c16:uniqueId val="{00000003-1E3A-4F14-ABCD-2FB60C02A72A}"/>
            </c:ext>
          </c:extLst>
        </c:ser>
        <c:dLbls>
          <c:showLegendKey val="0"/>
          <c:showVal val="0"/>
          <c:showCatName val="0"/>
          <c:showSerName val="0"/>
          <c:showPercent val="0"/>
          <c:showBubbleSize val="0"/>
        </c:dLbls>
        <c:gapWidth val="150"/>
        <c:overlap val="100"/>
        <c:axId val="628975584"/>
        <c:axId val="628975192"/>
      </c:barChart>
      <c:catAx>
        <c:axId val="62897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28975192"/>
        <c:crosses val="autoZero"/>
        <c:auto val="1"/>
        <c:lblAlgn val="ctr"/>
        <c:lblOffset val="100"/>
        <c:noMultiLvlLbl val="0"/>
      </c:catAx>
      <c:valAx>
        <c:axId val="628975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28975584"/>
        <c:crosses val="autoZero"/>
        <c:crossBetween val="between"/>
      </c:valAx>
      <c:spPr>
        <a:noFill/>
        <a:ln>
          <a:noFill/>
        </a:ln>
        <a:effectLst/>
      </c:spPr>
    </c:plotArea>
    <c:legend>
      <c:legendPos val="b"/>
      <c:layout>
        <c:manualLayout>
          <c:xMode val="edge"/>
          <c:yMode val="edge"/>
          <c:x val="0.32318287587664402"/>
          <c:y val="0.85162893172188103"/>
          <c:w val="0.50981970348650896"/>
          <c:h val="8.8524690227675104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058398950131196E-2"/>
          <c:y val="6.4814814814814797E-2"/>
          <c:w val="0.84528962181614098"/>
          <c:h val="0.61771047849787997"/>
        </c:manualLayout>
      </c:layout>
      <c:barChart>
        <c:barDir val="bar"/>
        <c:grouping val="percentStacked"/>
        <c:varyColors val="0"/>
        <c:ser>
          <c:idx val="0"/>
          <c:order val="0"/>
          <c:tx>
            <c:strRef>
              <c:f>Sheet1!$M$184</c:f>
              <c:strCache>
                <c:ptCount val="1"/>
                <c:pt idx="0">
                  <c:v>Treatment success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Sheet1!$N$183:$O$183</c:f>
              <c:numCache>
                <c:formatCode>General</c:formatCode>
                <c:ptCount val="2"/>
                <c:pt idx="0">
                  <c:v>2018</c:v>
                </c:pt>
                <c:pt idx="1">
                  <c:v>2019</c:v>
                </c:pt>
              </c:numCache>
            </c:numRef>
          </c:cat>
          <c:val>
            <c:numRef>
              <c:f>Sheet1!$N$184:$O$184</c:f>
              <c:numCache>
                <c:formatCode>0.0%</c:formatCode>
                <c:ptCount val="2"/>
                <c:pt idx="0">
                  <c:v>0.96330275229357798</c:v>
                </c:pt>
                <c:pt idx="1">
                  <c:v>0.94545454545454499</c:v>
                </c:pt>
              </c:numCache>
            </c:numRef>
          </c:val>
          <c:extLst>
            <c:ext xmlns:c16="http://schemas.microsoft.com/office/drawing/2014/chart" uri="{C3380CC4-5D6E-409C-BE32-E72D297353CC}">
              <c16:uniqueId val="{00000000-58B8-40F4-80D8-F5F46D959D4E}"/>
            </c:ext>
          </c:extLst>
        </c:ser>
        <c:ser>
          <c:idx val="1"/>
          <c:order val="1"/>
          <c:tx>
            <c:strRef>
              <c:f>Sheet1!$M$185</c:f>
              <c:strCache>
                <c:ptCount val="1"/>
                <c:pt idx="0">
                  <c:v>Treatment failure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Sheet1!$N$183:$O$183</c:f>
              <c:numCache>
                <c:formatCode>General</c:formatCode>
                <c:ptCount val="2"/>
                <c:pt idx="0">
                  <c:v>2018</c:v>
                </c:pt>
                <c:pt idx="1">
                  <c:v>2019</c:v>
                </c:pt>
              </c:numCache>
            </c:numRef>
          </c:cat>
          <c:val>
            <c:numRef>
              <c:f>Sheet1!$N$185:$O$185</c:f>
              <c:numCache>
                <c:formatCode>0.0%</c:formatCode>
                <c:ptCount val="2"/>
                <c:pt idx="0">
                  <c:v>9.1743119266054999E-3</c:v>
                </c:pt>
                <c:pt idx="1">
                  <c:v>1.8181818181818198E-2</c:v>
                </c:pt>
              </c:numCache>
            </c:numRef>
          </c:val>
          <c:extLst>
            <c:ext xmlns:c16="http://schemas.microsoft.com/office/drawing/2014/chart" uri="{C3380CC4-5D6E-409C-BE32-E72D297353CC}">
              <c16:uniqueId val="{00000001-58B8-40F4-80D8-F5F46D959D4E}"/>
            </c:ext>
          </c:extLst>
        </c:ser>
        <c:ser>
          <c:idx val="2"/>
          <c:order val="2"/>
          <c:tx>
            <c:strRef>
              <c:f>Sheet1!$M$186</c:f>
              <c:strCache>
                <c:ptCount val="1"/>
                <c:pt idx="0">
                  <c:v>Death </c:v>
                </c:pt>
              </c:strCache>
            </c:strRef>
          </c:tx>
          <c:spPr>
            <a:solidFill>
              <a:schemeClr val="accent3"/>
            </a:solidFill>
            <a:ln>
              <a:noFill/>
            </a:ln>
            <a:effectLst/>
          </c:spPr>
          <c:invertIfNegative val="0"/>
          <c:dLbls>
            <c:dLbl>
              <c:idx val="1"/>
              <c:layout>
                <c:manualLayout>
                  <c:x val="-2.7777777777778798E-3"/>
                  <c:y val="-2.3148148148148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B8-40F4-80D8-F5F46D959D4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Sheet1!$N$183:$O$183</c:f>
              <c:numCache>
                <c:formatCode>General</c:formatCode>
                <c:ptCount val="2"/>
                <c:pt idx="0">
                  <c:v>2018</c:v>
                </c:pt>
                <c:pt idx="1">
                  <c:v>2019</c:v>
                </c:pt>
              </c:numCache>
            </c:numRef>
          </c:cat>
          <c:val>
            <c:numRef>
              <c:f>Sheet1!$N$186:$O$186</c:f>
              <c:numCache>
                <c:formatCode>0.0%</c:formatCode>
                <c:ptCount val="2"/>
                <c:pt idx="0">
                  <c:v>1.2232415902140701E-2</c:v>
                </c:pt>
                <c:pt idx="1">
                  <c:v>0</c:v>
                </c:pt>
              </c:numCache>
            </c:numRef>
          </c:val>
          <c:extLst>
            <c:ext xmlns:c16="http://schemas.microsoft.com/office/drawing/2014/chart" uri="{C3380CC4-5D6E-409C-BE32-E72D297353CC}">
              <c16:uniqueId val="{00000003-58B8-40F4-80D8-F5F46D959D4E}"/>
            </c:ext>
          </c:extLst>
        </c:ser>
        <c:ser>
          <c:idx val="3"/>
          <c:order val="3"/>
          <c:tx>
            <c:strRef>
              <c:f>Sheet1!$M$187</c:f>
              <c:strCache>
                <c:ptCount val="1"/>
                <c:pt idx="0">
                  <c:v>LTFU </c:v>
                </c:pt>
              </c:strCache>
            </c:strRef>
          </c:tx>
          <c:spPr>
            <a:solidFill>
              <a:schemeClr val="accent4"/>
            </a:solidFill>
            <a:ln>
              <a:noFill/>
            </a:ln>
            <a:effectLst/>
          </c:spPr>
          <c:invertIfNegative val="0"/>
          <c:dLbls>
            <c:dLbl>
              <c:idx val="1"/>
              <c:layout>
                <c:manualLayout>
                  <c:x val="-1.0185067526416E-16"/>
                  <c:y val="2.7777777777777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B8-40F4-80D8-F5F46D959D4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Sheet1!$N$183:$O$183</c:f>
              <c:numCache>
                <c:formatCode>General</c:formatCode>
                <c:ptCount val="2"/>
                <c:pt idx="0">
                  <c:v>2018</c:v>
                </c:pt>
                <c:pt idx="1">
                  <c:v>2019</c:v>
                </c:pt>
              </c:numCache>
            </c:numRef>
          </c:cat>
          <c:val>
            <c:numRef>
              <c:f>Sheet1!$N$187:$O$187</c:f>
              <c:numCache>
                <c:formatCode>0.0%</c:formatCode>
                <c:ptCount val="2"/>
                <c:pt idx="0">
                  <c:v>1.2232415902140701E-2</c:v>
                </c:pt>
                <c:pt idx="1">
                  <c:v>0</c:v>
                </c:pt>
              </c:numCache>
            </c:numRef>
          </c:val>
          <c:extLst>
            <c:ext xmlns:c16="http://schemas.microsoft.com/office/drawing/2014/chart" uri="{C3380CC4-5D6E-409C-BE32-E72D297353CC}">
              <c16:uniqueId val="{00000005-58B8-40F4-80D8-F5F46D959D4E}"/>
            </c:ext>
          </c:extLst>
        </c:ser>
        <c:ser>
          <c:idx val="4"/>
          <c:order val="4"/>
          <c:tx>
            <c:strRef>
              <c:f>Sheet1!$M$188</c:f>
              <c:strCache>
                <c:ptCount val="1"/>
                <c:pt idx="0">
                  <c:v>On treatment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Sheet1!$N$183:$O$183</c:f>
              <c:numCache>
                <c:formatCode>General</c:formatCode>
                <c:ptCount val="2"/>
                <c:pt idx="0">
                  <c:v>2018</c:v>
                </c:pt>
                <c:pt idx="1">
                  <c:v>2019</c:v>
                </c:pt>
              </c:numCache>
            </c:numRef>
          </c:cat>
          <c:val>
            <c:numRef>
              <c:f>Sheet1!$N$188:$O$188</c:f>
              <c:numCache>
                <c:formatCode>0.0%</c:formatCode>
                <c:ptCount val="2"/>
                <c:pt idx="0">
                  <c:v>3.05810397553517E-3</c:v>
                </c:pt>
                <c:pt idx="1">
                  <c:v>1.8181818181818198E-2</c:v>
                </c:pt>
              </c:numCache>
            </c:numRef>
          </c:val>
          <c:extLst>
            <c:ext xmlns:c16="http://schemas.microsoft.com/office/drawing/2014/chart" uri="{C3380CC4-5D6E-409C-BE32-E72D297353CC}">
              <c16:uniqueId val="{00000006-58B8-40F4-80D8-F5F46D959D4E}"/>
            </c:ext>
          </c:extLst>
        </c:ser>
        <c:ser>
          <c:idx val="5"/>
          <c:order val="5"/>
          <c:tx>
            <c:strRef>
              <c:f>Sheet1!$M$189</c:f>
              <c:strCache>
                <c:ptCount val="1"/>
                <c:pt idx="0">
                  <c:v>Transferred</c:v>
                </c:pt>
              </c:strCache>
            </c:strRef>
          </c:tx>
          <c:spPr>
            <a:solidFill>
              <a:schemeClr val="accent6"/>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B8-40F4-80D8-F5F46D959D4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Sheet1!$N$183:$O$183</c:f>
              <c:numCache>
                <c:formatCode>General</c:formatCode>
                <c:ptCount val="2"/>
                <c:pt idx="0">
                  <c:v>2018</c:v>
                </c:pt>
                <c:pt idx="1">
                  <c:v>2019</c:v>
                </c:pt>
              </c:numCache>
            </c:numRef>
          </c:cat>
          <c:val>
            <c:numRef>
              <c:f>Sheet1!$N$189:$O$189</c:f>
              <c:numCache>
                <c:formatCode>0.0%</c:formatCode>
                <c:ptCount val="2"/>
                <c:pt idx="0">
                  <c:v>0</c:v>
                </c:pt>
                <c:pt idx="1">
                  <c:v>1.8181818181818198E-2</c:v>
                </c:pt>
              </c:numCache>
            </c:numRef>
          </c:val>
          <c:extLst>
            <c:ext xmlns:c16="http://schemas.microsoft.com/office/drawing/2014/chart" uri="{C3380CC4-5D6E-409C-BE32-E72D297353CC}">
              <c16:uniqueId val="{00000008-58B8-40F4-80D8-F5F46D959D4E}"/>
            </c:ext>
          </c:extLst>
        </c:ser>
        <c:dLbls>
          <c:showLegendKey val="0"/>
          <c:showVal val="0"/>
          <c:showCatName val="0"/>
          <c:showSerName val="0"/>
          <c:showPercent val="0"/>
          <c:showBubbleSize val="0"/>
        </c:dLbls>
        <c:gapWidth val="150"/>
        <c:overlap val="100"/>
        <c:axId val="628976760"/>
        <c:axId val="628971664"/>
      </c:barChart>
      <c:catAx>
        <c:axId val="628976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628971664"/>
        <c:crosses val="autoZero"/>
        <c:auto val="1"/>
        <c:lblAlgn val="ctr"/>
        <c:lblOffset val="100"/>
        <c:noMultiLvlLbl val="0"/>
      </c:catAx>
      <c:valAx>
        <c:axId val="6289716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crossAx val="628976760"/>
        <c:crosses val="autoZero"/>
        <c:crossBetween val="between"/>
      </c:valAx>
      <c:spPr>
        <a:noFill/>
        <a:ln>
          <a:noFill/>
        </a:ln>
        <a:effectLst/>
      </c:spPr>
    </c:plotArea>
    <c:legend>
      <c:legendPos val="b"/>
      <c:layout>
        <c:manualLayout>
          <c:xMode val="edge"/>
          <c:yMode val="edge"/>
          <c:x val="8.5278589213575506E-2"/>
          <c:y val="0.84552951591110304"/>
          <c:w val="0.86635221630102999"/>
          <c:h val="0.11305045202683001"/>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2806211723534E-2"/>
          <c:y val="5.0925925925925902E-2"/>
          <c:w val="0.86087904636920398"/>
          <c:h val="0.62725900386711997"/>
        </c:manualLayout>
      </c:layout>
      <c:barChart>
        <c:barDir val="bar"/>
        <c:grouping val="percentStacked"/>
        <c:varyColors val="0"/>
        <c:ser>
          <c:idx val="0"/>
          <c:order val="0"/>
          <c:tx>
            <c:strRef>
              <c:f>Sheet1!$M$210</c:f>
              <c:strCache>
                <c:ptCount val="1"/>
                <c:pt idx="0">
                  <c:v>Treatment success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Sheet1!$N$209:$P$209</c:f>
              <c:numCache>
                <c:formatCode>General</c:formatCode>
                <c:ptCount val="3"/>
                <c:pt idx="0">
                  <c:v>2016</c:v>
                </c:pt>
                <c:pt idx="1">
                  <c:v>2017</c:v>
                </c:pt>
                <c:pt idx="2">
                  <c:v>2018</c:v>
                </c:pt>
              </c:numCache>
            </c:numRef>
          </c:cat>
          <c:val>
            <c:numRef>
              <c:f>Sheet1!$N$210:$P$210</c:f>
              <c:numCache>
                <c:formatCode>0.0%</c:formatCode>
                <c:ptCount val="3"/>
                <c:pt idx="0">
                  <c:v>0.79536741214057505</c:v>
                </c:pt>
                <c:pt idx="1">
                  <c:v>0.81303859123267097</c:v>
                </c:pt>
                <c:pt idx="2">
                  <c:v>0.78243275410616497</c:v>
                </c:pt>
              </c:numCache>
            </c:numRef>
          </c:val>
          <c:extLst>
            <c:ext xmlns:c16="http://schemas.microsoft.com/office/drawing/2014/chart" uri="{C3380CC4-5D6E-409C-BE32-E72D297353CC}">
              <c16:uniqueId val="{00000000-7FA0-4919-917B-480BA8A9DDE0}"/>
            </c:ext>
          </c:extLst>
        </c:ser>
        <c:ser>
          <c:idx val="1"/>
          <c:order val="1"/>
          <c:tx>
            <c:strRef>
              <c:f>Sheet1!$M$211</c:f>
              <c:strCache>
                <c:ptCount val="1"/>
                <c:pt idx="0">
                  <c:v>Treatment failure </c:v>
                </c:pt>
              </c:strCache>
            </c:strRef>
          </c:tx>
          <c:spPr>
            <a:solidFill>
              <a:schemeClr val="accent2"/>
            </a:solidFill>
            <a:ln>
              <a:noFill/>
            </a:ln>
            <a:effectLst/>
          </c:spPr>
          <c:invertIfNegative val="0"/>
          <c:dLbls>
            <c:dLbl>
              <c:idx val="0"/>
              <c:layout>
                <c:manualLayout>
                  <c:x val="-1.2406947890818899E-2"/>
                  <c:y val="9.25925925925917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A0-4919-917B-480BA8A9DDE0}"/>
                </c:ext>
              </c:extLst>
            </c:dLbl>
            <c:dLbl>
              <c:idx val="1"/>
              <c:layout>
                <c:manualLayout>
                  <c:x val="-3.3147391935809699E-2"/>
                  <c:y val="1.85185185185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A0-4919-917B-480BA8A9DDE0}"/>
                </c:ext>
              </c:extLst>
            </c:dLbl>
            <c:dLbl>
              <c:idx val="2"/>
              <c:layout>
                <c:manualLayout>
                  <c:x val="4.1356492969396204E-3"/>
                  <c:y val="-9.25925925925926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A0-4919-917B-480BA8A9DD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Sheet1!$N$209:$P$209</c:f>
              <c:numCache>
                <c:formatCode>General</c:formatCode>
                <c:ptCount val="3"/>
                <c:pt idx="0">
                  <c:v>2016</c:v>
                </c:pt>
                <c:pt idx="1">
                  <c:v>2017</c:v>
                </c:pt>
                <c:pt idx="2">
                  <c:v>2018</c:v>
                </c:pt>
              </c:numCache>
            </c:numRef>
          </c:cat>
          <c:val>
            <c:numRef>
              <c:f>Sheet1!$N$211:$P$211</c:f>
              <c:numCache>
                <c:formatCode>0.0%</c:formatCode>
                <c:ptCount val="3"/>
                <c:pt idx="0">
                  <c:v>5.0958466453674099E-2</c:v>
                </c:pt>
                <c:pt idx="1">
                  <c:v>4.1963282128137901E-2</c:v>
                </c:pt>
                <c:pt idx="2">
                  <c:v>4.42751725779576E-2</c:v>
                </c:pt>
              </c:numCache>
            </c:numRef>
          </c:val>
          <c:extLst>
            <c:ext xmlns:c16="http://schemas.microsoft.com/office/drawing/2014/chart" uri="{C3380CC4-5D6E-409C-BE32-E72D297353CC}">
              <c16:uniqueId val="{00000004-7FA0-4919-917B-480BA8A9DDE0}"/>
            </c:ext>
          </c:extLst>
        </c:ser>
        <c:ser>
          <c:idx val="2"/>
          <c:order val="2"/>
          <c:tx>
            <c:strRef>
              <c:f>Sheet1!$M$212</c:f>
              <c:strCache>
                <c:ptCount val="1"/>
                <c:pt idx="0">
                  <c:v>Death </c:v>
                </c:pt>
              </c:strCache>
            </c:strRef>
          </c:tx>
          <c:spPr>
            <a:solidFill>
              <a:schemeClr val="accent3"/>
            </a:solidFill>
            <a:ln>
              <a:noFill/>
            </a:ln>
            <a:effectLst/>
          </c:spPr>
          <c:invertIfNegative val="0"/>
          <c:dLbls>
            <c:dLbl>
              <c:idx val="1"/>
              <c:layout>
                <c:manualLayout>
                  <c:x val="-1.25310173697272E-2"/>
                  <c:y val="1.85185185185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A0-4919-917B-480BA8A9DDE0}"/>
                </c:ext>
              </c:extLst>
            </c:dLbl>
            <c:dLbl>
              <c:idx val="2"/>
              <c:layout>
                <c:manualLayout>
                  <c:x val="-8.2712985938792408E-3"/>
                  <c:y val="3.2407407407407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A0-4919-917B-480BA8A9DD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Sheet1!$N$209:$P$209</c:f>
              <c:numCache>
                <c:formatCode>General</c:formatCode>
                <c:ptCount val="3"/>
                <c:pt idx="0">
                  <c:v>2016</c:v>
                </c:pt>
                <c:pt idx="1">
                  <c:v>2017</c:v>
                </c:pt>
                <c:pt idx="2">
                  <c:v>2018</c:v>
                </c:pt>
              </c:numCache>
            </c:numRef>
          </c:cat>
          <c:val>
            <c:numRef>
              <c:f>Sheet1!$N$212:$P$212</c:f>
              <c:numCache>
                <c:formatCode>0.0%</c:formatCode>
                <c:ptCount val="3"/>
                <c:pt idx="0">
                  <c:v>8.9137380191693302E-2</c:v>
                </c:pt>
                <c:pt idx="1">
                  <c:v>8.8984638441363798E-2</c:v>
                </c:pt>
                <c:pt idx="2">
                  <c:v>0.10449892882646999</c:v>
                </c:pt>
              </c:numCache>
            </c:numRef>
          </c:val>
          <c:extLst>
            <c:ext xmlns:c16="http://schemas.microsoft.com/office/drawing/2014/chart" uri="{C3380CC4-5D6E-409C-BE32-E72D297353CC}">
              <c16:uniqueId val="{00000007-7FA0-4919-917B-480BA8A9DDE0}"/>
            </c:ext>
          </c:extLst>
        </c:ser>
        <c:ser>
          <c:idx val="3"/>
          <c:order val="3"/>
          <c:tx>
            <c:strRef>
              <c:f>Sheet1!$M$213</c:f>
              <c:strCache>
                <c:ptCount val="1"/>
                <c:pt idx="0">
                  <c:v>LTFU </c:v>
                </c:pt>
              </c:strCache>
            </c:strRef>
          </c:tx>
          <c:spPr>
            <a:solidFill>
              <a:schemeClr val="accent4"/>
            </a:solidFill>
            <a:ln>
              <a:noFill/>
            </a:ln>
            <a:effectLst/>
          </c:spPr>
          <c:invertIfNegative val="0"/>
          <c:dLbls>
            <c:dLbl>
              <c:idx val="0"/>
              <c:layout>
                <c:manualLayout>
                  <c:x val="-1.1111111111111099E-2"/>
                  <c:y val="2.3148148148148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A0-4919-917B-480BA8A9DDE0}"/>
                </c:ext>
              </c:extLst>
            </c:dLbl>
            <c:dLbl>
              <c:idx val="1"/>
              <c:layout>
                <c:manualLayout>
                  <c:x val="-2.5000000000000001E-2"/>
                  <c:y val="-9.25925925925926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A0-4919-917B-480BA8A9DDE0}"/>
                </c:ext>
              </c:extLst>
            </c:dLbl>
            <c:dLbl>
              <c:idx val="2"/>
              <c:layout>
                <c:manualLayout>
                  <c:x val="1.09871501794286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FA0-4919-917B-480BA8A9DD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Sheet1!$N$209:$P$209</c:f>
              <c:numCache>
                <c:formatCode>General</c:formatCode>
                <c:ptCount val="3"/>
                <c:pt idx="0">
                  <c:v>2016</c:v>
                </c:pt>
                <c:pt idx="1">
                  <c:v>2017</c:v>
                </c:pt>
                <c:pt idx="2">
                  <c:v>2018</c:v>
                </c:pt>
              </c:numCache>
            </c:numRef>
          </c:cat>
          <c:val>
            <c:numRef>
              <c:f>Sheet1!$N$213:$P$213</c:f>
              <c:numCache>
                <c:formatCode>0.0%</c:formatCode>
                <c:ptCount val="3"/>
                <c:pt idx="0">
                  <c:v>4.1054313099041499E-2</c:v>
                </c:pt>
                <c:pt idx="1">
                  <c:v>4.92693892843762E-2</c:v>
                </c:pt>
                <c:pt idx="2">
                  <c:v>5.4034753630088098E-2</c:v>
                </c:pt>
              </c:numCache>
            </c:numRef>
          </c:val>
          <c:extLst>
            <c:ext xmlns:c16="http://schemas.microsoft.com/office/drawing/2014/chart" uri="{C3380CC4-5D6E-409C-BE32-E72D297353CC}">
              <c16:uniqueId val="{0000000B-7FA0-4919-917B-480BA8A9DDE0}"/>
            </c:ext>
          </c:extLst>
        </c:ser>
        <c:ser>
          <c:idx val="4"/>
          <c:order val="4"/>
          <c:tx>
            <c:strRef>
              <c:f>Sheet1!$M$214</c:f>
              <c:strCache>
                <c:ptCount val="1"/>
                <c:pt idx="0">
                  <c:v>On treatment</c:v>
                </c:pt>
              </c:strCache>
            </c:strRef>
          </c:tx>
          <c:spPr>
            <a:solidFill>
              <a:schemeClr val="accent5"/>
            </a:solidFill>
            <a:ln>
              <a:noFill/>
            </a:ln>
            <a:effectLst/>
          </c:spPr>
          <c:invertIfNegative val="0"/>
          <c:dLbls>
            <c:dLbl>
              <c:idx val="0"/>
              <c:layout>
                <c:manualLayout>
                  <c:x val="-8.3333333333333297E-3"/>
                  <c:y val="-8.7962962962963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FA0-4919-917B-480BA8A9DDE0}"/>
                </c:ext>
              </c:extLst>
            </c:dLbl>
            <c:dLbl>
              <c:idx val="1"/>
              <c:layout>
                <c:manualLayout>
                  <c:x val="-1.1111111111111099E-2"/>
                  <c:y val="-8.7962962962963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FA0-4919-917B-480BA8A9DDE0}"/>
                </c:ext>
              </c:extLst>
            </c:dLbl>
            <c:dLbl>
              <c:idx val="2"/>
              <c:layout>
                <c:manualLayout>
                  <c:x val="-8.3333333333332291E-3"/>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FA0-4919-917B-480BA8A9DD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Sheet1!$N$209:$P$209</c:f>
              <c:numCache>
                <c:formatCode>General</c:formatCode>
                <c:ptCount val="3"/>
                <c:pt idx="0">
                  <c:v>2016</c:v>
                </c:pt>
                <c:pt idx="1">
                  <c:v>2017</c:v>
                </c:pt>
                <c:pt idx="2">
                  <c:v>2018</c:v>
                </c:pt>
              </c:numCache>
            </c:numRef>
          </c:cat>
          <c:val>
            <c:numRef>
              <c:f>Sheet1!$N$214:$P$214</c:f>
              <c:numCache>
                <c:formatCode>0.0%</c:formatCode>
                <c:ptCount val="3"/>
                <c:pt idx="0">
                  <c:v>0</c:v>
                </c:pt>
                <c:pt idx="1">
                  <c:v>0</c:v>
                </c:pt>
                <c:pt idx="2">
                  <c:v>1.0473696738871699E-2</c:v>
                </c:pt>
              </c:numCache>
            </c:numRef>
          </c:val>
          <c:extLst>
            <c:ext xmlns:c16="http://schemas.microsoft.com/office/drawing/2014/chart" uri="{C3380CC4-5D6E-409C-BE32-E72D297353CC}">
              <c16:uniqueId val="{0000000F-7FA0-4919-917B-480BA8A9DDE0}"/>
            </c:ext>
          </c:extLst>
        </c:ser>
        <c:ser>
          <c:idx val="5"/>
          <c:order val="5"/>
          <c:tx>
            <c:strRef>
              <c:f>Sheet1!$M$215</c:f>
              <c:strCache>
                <c:ptCount val="1"/>
                <c:pt idx="0">
                  <c:v>Transferred</c:v>
                </c:pt>
              </c:strCache>
            </c:strRef>
          </c:tx>
          <c:spPr>
            <a:solidFill>
              <a:schemeClr val="accent6"/>
            </a:solidFill>
            <a:ln>
              <a:noFill/>
            </a:ln>
            <a:effectLst/>
          </c:spPr>
          <c:invertIfNegative val="0"/>
          <c:dLbls>
            <c:dLbl>
              <c:idx val="0"/>
              <c:layout>
                <c:manualLayout>
                  <c:x val="2.2222222222222199E-2"/>
                  <c:y val="-4.629629629629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FA0-4919-917B-480BA8A9DDE0}"/>
                </c:ext>
              </c:extLst>
            </c:dLbl>
            <c:dLbl>
              <c:idx val="1"/>
              <c:layout>
                <c:manualLayout>
                  <c:x val="1.66666666666667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FA0-4919-917B-480BA8A9DDE0}"/>
                </c:ext>
              </c:extLst>
            </c:dLbl>
            <c:dLbl>
              <c:idx val="2"/>
              <c:layout>
                <c:manualLayout>
                  <c:x val="1.11112196583368E-2"/>
                  <c:y val="-1.85185185185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FA0-4919-917B-480BA8A9DD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Sheet1!$N$209:$P$209</c:f>
              <c:numCache>
                <c:formatCode>General</c:formatCode>
                <c:ptCount val="3"/>
                <c:pt idx="0">
                  <c:v>2016</c:v>
                </c:pt>
                <c:pt idx="1">
                  <c:v>2017</c:v>
                </c:pt>
                <c:pt idx="2">
                  <c:v>2018</c:v>
                </c:pt>
              </c:numCache>
            </c:numRef>
          </c:cat>
          <c:val>
            <c:numRef>
              <c:f>Sheet1!$N$215:$P$215</c:f>
              <c:numCache>
                <c:formatCode>0.0%</c:formatCode>
                <c:ptCount val="3"/>
                <c:pt idx="0">
                  <c:v>2.3482428115016E-2</c:v>
                </c:pt>
                <c:pt idx="1">
                  <c:v>6.7440989134507296E-3</c:v>
                </c:pt>
                <c:pt idx="2">
                  <c:v>4.28469412044751E-3</c:v>
                </c:pt>
              </c:numCache>
            </c:numRef>
          </c:val>
          <c:extLst>
            <c:ext xmlns:c16="http://schemas.microsoft.com/office/drawing/2014/chart" uri="{C3380CC4-5D6E-409C-BE32-E72D297353CC}">
              <c16:uniqueId val="{00000013-7FA0-4919-917B-480BA8A9DDE0}"/>
            </c:ext>
          </c:extLst>
        </c:ser>
        <c:dLbls>
          <c:showLegendKey val="0"/>
          <c:showVal val="0"/>
          <c:showCatName val="0"/>
          <c:showSerName val="0"/>
          <c:showPercent val="0"/>
          <c:showBubbleSize val="0"/>
        </c:dLbls>
        <c:gapWidth val="150"/>
        <c:overlap val="100"/>
        <c:axId val="628972448"/>
        <c:axId val="628974408"/>
      </c:barChart>
      <c:catAx>
        <c:axId val="628972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628974408"/>
        <c:crosses val="autoZero"/>
        <c:auto val="1"/>
        <c:lblAlgn val="ctr"/>
        <c:lblOffset val="100"/>
        <c:noMultiLvlLbl val="0"/>
      </c:catAx>
      <c:valAx>
        <c:axId val="628974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crossAx val="628972448"/>
        <c:crosses val="autoZero"/>
        <c:crossBetween val="between"/>
      </c:valAx>
      <c:spPr>
        <a:noFill/>
        <a:ln>
          <a:noFill/>
        </a:ln>
        <a:effectLst/>
      </c:spPr>
    </c:plotArea>
    <c:legend>
      <c:legendPos val="b"/>
      <c:layout>
        <c:manualLayout>
          <c:xMode val="edge"/>
          <c:yMode val="edge"/>
          <c:x val="2.5297799313547299E-2"/>
          <c:y val="0.83820807901970795"/>
          <c:w val="0.94940440137290505"/>
          <c:h val="0.108537483110469"/>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accent5">
                <a:lumMod val="20000"/>
                <a:lumOff val="80000"/>
              </a:schemeClr>
            </a:solidFill>
          </c:spPr>
          <c:invertIfNegative val="0"/>
          <c:dLbls>
            <c:dLbl>
              <c:idx val="0"/>
              <c:layout>
                <c:manualLayout>
                  <c:x val="-4.3516100957354201E-3"/>
                  <c:y val="2.7662517289073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48-4F2B-8F93-5A139205B5F1}"/>
                </c:ext>
              </c:extLst>
            </c:dLbl>
            <c:dLbl>
              <c:idx val="7"/>
              <c:layout>
                <c:manualLayout>
                  <c:x val="0"/>
                  <c:y val="2.0746887966804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48-4F2B-8F93-5A139205B5F1}"/>
                </c:ext>
              </c:extLst>
            </c:dLbl>
            <c:dLbl>
              <c:idx val="11"/>
              <c:layout>
                <c:manualLayout>
                  <c:x val="-4.3516100957354999E-3"/>
                  <c:y val="1.3831258644536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48-4F2B-8F93-5A139205B5F1}"/>
                </c:ext>
              </c:extLst>
            </c:dLbl>
            <c:dLbl>
              <c:idx val="14"/>
              <c:layout>
                <c:manualLayout>
                  <c:x val="-4.3516100957354999E-3"/>
                  <c:y val="1.3831258644536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48-4F2B-8F93-5A139205B5F1}"/>
                </c:ext>
              </c:extLst>
            </c:dLbl>
            <c:dLbl>
              <c:idx val="16"/>
              <c:layout>
                <c:manualLayout>
                  <c:x val="-1.5955719362531601E-16"/>
                  <c:y val="2.07468879668049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48-4F2B-8F93-5A139205B5F1}"/>
                </c:ext>
              </c:extLst>
            </c:dLbl>
            <c:dLbl>
              <c:idx val="20"/>
              <c:layout>
                <c:manualLayout>
                  <c:x val="2.1758050478677099E-2"/>
                  <c:y val="1.38312586445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48-4F2B-8F93-5A139205B5F1}"/>
                </c:ext>
              </c:extLst>
            </c:dLbl>
            <c:spPr>
              <a:noFill/>
              <a:ln w="25400">
                <a:noFill/>
              </a:ln>
            </c:spPr>
            <c:txPr>
              <a:bodyPr/>
              <a:lstStyle/>
              <a:p>
                <a:pPr>
                  <a:defRPr lang="en-US" sz="5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2020-2021'!$B$9:$B$32</c:f>
              <c:strCache>
                <c:ptCount val="21"/>
                <c:pt idx="0">
                  <c:v>JAN-2020</c:v>
                </c:pt>
                <c:pt idx="1">
                  <c:v>FEB-2020</c:v>
                </c:pt>
                <c:pt idx="2">
                  <c:v>MAR-2020</c:v>
                </c:pt>
                <c:pt idx="3">
                  <c:v>APR-2020</c:v>
                </c:pt>
                <c:pt idx="4">
                  <c:v>MAY-2020</c:v>
                </c:pt>
                <c:pt idx="5">
                  <c:v>JUN-2020</c:v>
                </c:pt>
                <c:pt idx="6">
                  <c:v>JUL-2020</c:v>
                </c:pt>
                <c:pt idx="7">
                  <c:v>AUG-2020</c:v>
                </c:pt>
                <c:pt idx="8">
                  <c:v>SEP-2020</c:v>
                </c:pt>
                <c:pt idx="9">
                  <c:v>OCT-2020</c:v>
                </c:pt>
                <c:pt idx="10">
                  <c:v>NOV-2020</c:v>
                </c:pt>
                <c:pt idx="11">
                  <c:v>DEC-220</c:v>
                </c:pt>
                <c:pt idx="12">
                  <c:v>JAN-2021</c:v>
                </c:pt>
                <c:pt idx="13">
                  <c:v>FEB-2021</c:v>
                </c:pt>
                <c:pt idx="14">
                  <c:v>MAR-2021</c:v>
                </c:pt>
                <c:pt idx="15">
                  <c:v>APR-2021</c:v>
                </c:pt>
                <c:pt idx="16">
                  <c:v>MAY-2021</c:v>
                </c:pt>
                <c:pt idx="17">
                  <c:v>JUN-2021</c:v>
                </c:pt>
                <c:pt idx="18">
                  <c:v>JUL-2021</c:v>
                </c:pt>
                <c:pt idx="19">
                  <c:v>AUG-2021</c:v>
                </c:pt>
                <c:pt idx="20">
                  <c:v>SEP-2021</c:v>
                </c:pt>
              </c:strCache>
              <c:extLst/>
            </c:strRef>
          </c:cat>
          <c:val>
            <c:numRef>
              <c:f>'Data 2020-2021'!$N$9:$N$32</c:f>
              <c:numCache>
                <c:formatCode>0</c:formatCode>
                <c:ptCount val="21"/>
                <c:pt idx="0">
                  <c:v>8045</c:v>
                </c:pt>
                <c:pt idx="1">
                  <c:v>8233</c:v>
                </c:pt>
                <c:pt idx="2">
                  <c:v>7296</c:v>
                </c:pt>
                <c:pt idx="3">
                  <c:v>5054</c:v>
                </c:pt>
                <c:pt idx="4">
                  <c:v>3873</c:v>
                </c:pt>
                <c:pt idx="5">
                  <c:v>6235</c:v>
                </c:pt>
                <c:pt idx="6">
                  <c:v>4860</c:v>
                </c:pt>
                <c:pt idx="7">
                  <c:v>4421</c:v>
                </c:pt>
                <c:pt idx="8">
                  <c:v>5845</c:v>
                </c:pt>
                <c:pt idx="9">
                  <c:v>6824</c:v>
                </c:pt>
                <c:pt idx="10">
                  <c:v>7419</c:v>
                </c:pt>
                <c:pt idx="11">
                  <c:v>6342</c:v>
                </c:pt>
                <c:pt idx="12">
                  <c:v>6623</c:v>
                </c:pt>
                <c:pt idx="13">
                  <c:v>8307</c:v>
                </c:pt>
                <c:pt idx="14">
                  <c:v>7955</c:v>
                </c:pt>
                <c:pt idx="15">
                  <c:v>10325</c:v>
                </c:pt>
                <c:pt idx="16">
                  <c:v>8301</c:v>
                </c:pt>
                <c:pt idx="17">
                  <c:v>8785</c:v>
                </c:pt>
                <c:pt idx="18">
                  <c:v>7500</c:v>
                </c:pt>
                <c:pt idx="19">
                  <c:v>8137</c:v>
                </c:pt>
                <c:pt idx="20">
                  <c:v>8287</c:v>
                </c:pt>
              </c:numCache>
              <c:extLst/>
            </c:numRef>
          </c:val>
          <c:extLst>
            <c:ext xmlns:c16="http://schemas.microsoft.com/office/drawing/2014/chart" uri="{C3380CC4-5D6E-409C-BE32-E72D297353CC}">
              <c16:uniqueId val="{00000000-E70F-4301-8AEB-B2F6702DA8CE}"/>
            </c:ext>
          </c:extLst>
        </c:ser>
        <c:dLbls>
          <c:showLegendKey val="0"/>
          <c:showVal val="0"/>
          <c:showCatName val="0"/>
          <c:showSerName val="0"/>
          <c:showPercent val="0"/>
          <c:showBubbleSize val="0"/>
        </c:dLbls>
        <c:gapWidth val="67"/>
        <c:axId val="628972056"/>
        <c:axId val="628975976"/>
      </c:barChart>
      <c:catAx>
        <c:axId val="628972056"/>
        <c:scaling>
          <c:orientation val="minMax"/>
        </c:scaling>
        <c:delete val="0"/>
        <c:axPos val="b"/>
        <c:numFmt formatCode="General" sourceLinked="1"/>
        <c:majorTickMark val="out"/>
        <c:minorTickMark val="none"/>
        <c:tickLblPos val="nextTo"/>
        <c:txPr>
          <a:bodyPr/>
          <a:lstStyle/>
          <a:p>
            <a:pPr>
              <a:defRPr lang="en-US" sz="600" b="0"/>
            </a:pPr>
            <a:endParaRPr lang="en-US"/>
          </a:p>
        </c:txPr>
        <c:crossAx val="628975976"/>
        <c:crosses val="autoZero"/>
        <c:auto val="1"/>
        <c:lblAlgn val="ctr"/>
        <c:lblOffset val="100"/>
        <c:noMultiLvlLbl val="0"/>
      </c:catAx>
      <c:valAx>
        <c:axId val="628975976"/>
        <c:scaling>
          <c:orientation val="minMax"/>
        </c:scaling>
        <c:delete val="0"/>
        <c:axPos val="l"/>
        <c:majorGridlines>
          <c:spPr>
            <a:ln>
              <a:prstDash val="dash"/>
            </a:ln>
          </c:spPr>
        </c:majorGridlines>
        <c:numFmt formatCode="0" sourceLinked="1"/>
        <c:majorTickMark val="out"/>
        <c:minorTickMark val="none"/>
        <c:tickLblPos val="nextTo"/>
        <c:txPr>
          <a:bodyPr/>
          <a:lstStyle/>
          <a:p>
            <a:pPr>
              <a:defRPr lang="en-US" sz="600"/>
            </a:pPr>
            <a:endParaRPr lang="en-US"/>
          </a:p>
        </c:txPr>
        <c:crossAx val="628972056"/>
        <c:crosses val="autoZero"/>
        <c:crossBetween val="between"/>
      </c:val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101083518406"/>
          <c:y val="9.0845562543675706E-2"/>
          <c:w val="0.83312887171154903"/>
          <c:h val="0.67760995284394498"/>
        </c:manualLayout>
      </c:layout>
      <c:barChart>
        <c:barDir val="col"/>
        <c:grouping val="clustered"/>
        <c:varyColors val="0"/>
        <c:ser>
          <c:idx val="0"/>
          <c:order val="0"/>
          <c:spPr>
            <a:solidFill>
              <a:schemeClr val="accent5">
                <a:lumMod val="20000"/>
                <a:lumOff val="80000"/>
              </a:schemeClr>
            </a:solidFill>
          </c:spPr>
          <c:invertIfNegative val="0"/>
          <c:dLbls>
            <c:dLbl>
              <c:idx val="0"/>
              <c:layout>
                <c:manualLayout>
                  <c:x val="-1.22100122100122E-2"/>
                  <c:y val="6.9881201956673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7B-43E2-B479-F7E2173A6CE7}"/>
                </c:ext>
              </c:extLst>
            </c:dLbl>
            <c:dLbl>
              <c:idx val="6"/>
              <c:layout>
                <c:manualLayout>
                  <c:x val="-7.4615879314409105E-17"/>
                  <c:y val="-6.98812019566736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7B-43E2-B479-F7E2173A6CE7}"/>
                </c:ext>
              </c:extLst>
            </c:dLbl>
            <c:dLbl>
              <c:idx val="7"/>
              <c:layout>
                <c:manualLayout>
                  <c:x val="8.1400081400081394E-3"/>
                  <c:y val="1.39762403913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7B-43E2-B479-F7E2173A6CE7}"/>
                </c:ext>
              </c:extLst>
            </c:dLbl>
            <c:dLbl>
              <c:idx val="11"/>
              <c:layout>
                <c:manualLayout>
                  <c:x val="0"/>
                  <c:y val="2.0964360587002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7B-43E2-B479-F7E2173A6CE7}"/>
                </c:ext>
              </c:extLst>
            </c:dLbl>
            <c:dLbl>
              <c:idx val="14"/>
              <c:layout>
                <c:manualLayout>
                  <c:x val="4.0700040700041504E-3"/>
                  <c:y val="3.4940600978336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7B-43E2-B479-F7E2173A6CE7}"/>
                </c:ext>
              </c:extLst>
            </c:dLbl>
            <c:dLbl>
              <c:idx val="16"/>
              <c:layout>
                <c:manualLayout>
                  <c:x val="4.0700040700040697E-3"/>
                  <c:y val="2.79524807826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7B-43E2-B479-F7E2173A6CE7}"/>
                </c:ext>
              </c:extLst>
            </c:dLbl>
            <c:dLbl>
              <c:idx val="20"/>
              <c:layout>
                <c:manualLayout>
                  <c:x val="1.6687526074259499E-2"/>
                  <c:y val="1.39762403913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7B-43E2-B479-F7E2173A6CE7}"/>
                </c:ext>
              </c:extLst>
            </c:dLbl>
            <c:spPr>
              <a:noFill/>
              <a:ln w="25400">
                <a:noFill/>
              </a:ln>
            </c:spPr>
            <c:txPr>
              <a:bodyPr/>
              <a:lstStyle/>
              <a:p>
                <a:pPr>
                  <a:defRPr lang="en-US" sz="500"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2020-2021'!$B$9:$B$32</c:f>
              <c:strCache>
                <c:ptCount val="21"/>
                <c:pt idx="0">
                  <c:v>JAN-2020</c:v>
                </c:pt>
                <c:pt idx="1">
                  <c:v>FEB-2020</c:v>
                </c:pt>
                <c:pt idx="2">
                  <c:v>MAR-2020</c:v>
                </c:pt>
                <c:pt idx="3">
                  <c:v>APR-2020</c:v>
                </c:pt>
                <c:pt idx="4">
                  <c:v>MAY-2020</c:v>
                </c:pt>
                <c:pt idx="5">
                  <c:v>JUN-2020</c:v>
                </c:pt>
                <c:pt idx="6">
                  <c:v>JUL-2020</c:v>
                </c:pt>
                <c:pt idx="7">
                  <c:v>AUG-2020</c:v>
                </c:pt>
                <c:pt idx="8">
                  <c:v>SEP-2020</c:v>
                </c:pt>
                <c:pt idx="9">
                  <c:v>OCT-2020</c:v>
                </c:pt>
                <c:pt idx="10">
                  <c:v>NOV-2020</c:v>
                </c:pt>
                <c:pt idx="11">
                  <c:v>DEC-220</c:v>
                </c:pt>
                <c:pt idx="12">
                  <c:v>JAN-2021</c:v>
                </c:pt>
                <c:pt idx="13">
                  <c:v>FEB-2021</c:v>
                </c:pt>
                <c:pt idx="14">
                  <c:v>MAR-2021</c:v>
                </c:pt>
                <c:pt idx="15">
                  <c:v>APR-2021</c:v>
                </c:pt>
                <c:pt idx="16">
                  <c:v>MAY-2021</c:v>
                </c:pt>
                <c:pt idx="17">
                  <c:v>JUN-2021</c:v>
                </c:pt>
                <c:pt idx="18">
                  <c:v>JUL-2021</c:v>
                </c:pt>
                <c:pt idx="19">
                  <c:v>AUG-2021</c:v>
                </c:pt>
                <c:pt idx="20">
                  <c:v>SEP-2021</c:v>
                </c:pt>
              </c:strCache>
              <c:extLst/>
            </c:strRef>
          </c:cat>
          <c:val>
            <c:numRef>
              <c:f>'Data 2020-2021'!$C$9:$C$32</c:f>
              <c:numCache>
                <c:formatCode>#,##0</c:formatCode>
                <c:ptCount val="21"/>
                <c:pt idx="0">
                  <c:v>8482</c:v>
                </c:pt>
                <c:pt idx="1">
                  <c:v>8639</c:v>
                </c:pt>
                <c:pt idx="2">
                  <c:v>7662</c:v>
                </c:pt>
                <c:pt idx="3">
                  <c:v>5306</c:v>
                </c:pt>
                <c:pt idx="4">
                  <c:v>4148</c:v>
                </c:pt>
                <c:pt idx="5">
                  <c:v>6531</c:v>
                </c:pt>
                <c:pt idx="6">
                  <c:v>5023</c:v>
                </c:pt>
                <c:pt idx="7">
                  <c:v>4587</c:v>
                </c:pt>
                <c:pt idx="8">
                  <c:v>6286</c:v>
                </c:pt>
                <c:pt idx="9">
                  <c:v>7312</c:v>
                </c:pt>
                <c:pt idx="10">
                  <c:v>7910</c:v>
                </c:pt>
                <c:pt idx="11">
                  <c:v>6837</c:v>
                </c:pt>
                <c:pt idx="12">
                  <c:v>7043</c:v>
                </c:pt>
                <c:pt idx="13">
                  <c:v>8827</c:v>
                </c:pt>
                <c:pt idx="14">
                  <c:v>8483</c:v>
                </c:pt>
                <c:pt idx="15">
                  <c:v>10845</c:v>
                </c:pt>
                <c:pt idx="16">
                  <c:v>8773</c:v>
                </c:pt>
                <c:pt idx="17">
                  <c:v>9390</c:v>
                </c:pt>
                <c:pt idx="18">
                  <c:v>7890</c:v>
                </c:pt>
                <c:pt idx="19">
                  <c:v>8667</c:v>
                </c:pt>
                <c:pt idx="20">
                  <c:v>8804</c:v>
                </c:pt>
              </c:numCache>
              <c:extLst/>
            </c:numRef>
          </c:val>
          <c:extLst>
            <c:ext xmlns:c16="http://schemas.microsoft.com/office/drawing/2014/chart" uri="{C3380CC4-5D6E-409C-BE32-E72D297353CC}">
              <c16:uniqueId val="{00000000-CF32-44E1-AA02-7A69E9E6ACF3}"/>
            </c:ext>
          </c:extLst>
        </c:ser>
        <c:dLbls>
          <c:showLegendKey val="0"/>
          <c:showVal val="0"/>
          <c:showCatName val="0"/>
          <c:showSerName val="0"/>
          <c:showPercent val="0"/>
          <c:showBubbleSize val="0"/>
        </c:dLbls>
        <c:gapWidth val="67"/>
        <c:axId val="628974016"/>
        <c:axId val="628976368"/>
      </c:barChart>
      <c:catAx>
        <c:axId val="628974016"/>
        <c:scaling>
          <c:orientation val="minMax"/>
        </c:scaling>
        <c:delete val="0"/>
        <c:axPos val="b"/>
        <c:numFmt formatCode="General" sourceLinked="1"/>
        <c:majorTickMark val="out"/>
        <c:minorTickMark val="none"/>
        <c:tickLblPos val="nextTo"/>
        <c:txPr>
          <a:bodyPr/>
          <a:lstStyle/>
          <a:p>
            <a:pPr>
              <a:defRPr lang="en-US" sz="600" b="0"/>
            </a:pPr>
            <a:endParaRPr lang="en-US"/>
          </a:p>
        </c:txPr>
        <c:crossAx val="628976368"/>
        <c:crosses val="autoZero"/>
        <c:auto val="1"/>
        <c:lblAlgn val="ctr"/>
        <c:lblOffset val="100"/>
        <c:noMultiLvlLbl val="0"/>
      </c:catAx>
      <c:valAx>
        <c:axId val="628976368"/>
        <c:scaling>
          <c:orientation val="minMax"/>
        </c:scaling>
        <c:delete val="0"/>
        <c:axPos val="l"/>
        <c:majorGridlines>
          <c:spPr>
            <a:ln>
              <a:prstDash val="dash"/>
            </a:ln>
          </c:spPr>
        </c:majorGridlines>
        <c:numFmt formatCode="#,##0" sourceLinked="1"/>
        <c:majorTickMark val="out"/>
        <c:minorTickMark val="none"/>
        <c:tickLblPos val="nextTo"/>
        <c:txPr>
          <a:bodyPr/>
          <a:lstStyle/>
          <a:p>
            <a:pPr>
              <a:defRPr lang="en-US" sz="600"/>
            </a:pPr>
            <a:endParaRPr lang="en-US"/>
          </a:p>
        </c:txPr>
        <c:crossAx val="628974016"/>
        <c:crosses val="autoZero"/>
        <c:crossBetween val="between"/>
      </c:valAx>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plotArea>
      <c:layout/>
      <c:barChart>
        <c:barDir val="col"/>
        <c:grouping val="clustered"/>
        <c:varyColors val="0"/>
        <c:ser>
          <c:idx val="0"/>
          <c:order val="0"/>
          <c:tx>
            <c:strRef>
              <c:f>Summary!$S$31</c:f>
              <c:strCache>
                <c:ptCount val="1"/>
                <c:pt idx="0">
                  <c:v>GF funding</c:v>
                </c:pt>
              </c:strCache>
            </c:strRef>
          </c:tx>
          <c:invertIfNegative val="0"/>
          <c:dLbls>
            <c:spPr>
              <a:noFill/>
              <a:ln>
                <a:noFill/>
              </a:ln>
              <a:effectLst/>
            </c:spPr>
            <c:txPr>
              <a:bodyPr/>
              <a:lstStyle/>
              <a:p>
                <a:pPr>
                  <a:defRPr sz="800" b="1">
                    <a:solidFill>
                      <a:srgbClr val="20202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Summary!$T$30:$Y$30</c:f>
              <c:numCache>
                <c:formatCode>General</c:formatCode>
                <c:ptCount val="3"/>
                <c:pt idx="0">
                  <c:v>2023</c:v>
                </c:pt>
                <c:pt idx="1">
                  <c:v>2024</c:v>
                </c:pt>
                <c:pt idx="2">
                  <c:v>2025</c:v>
                </c:pt>
              </c:numCache>
            </c:numRef>
          </c:cat>
          <c:val>
            <c:numRef>
              <c:f>Summary!$T$31:$Y$31</c:f>
              <c:numCache>
                <c:formatCode>#,##0\ [$₸-43F]</c:formatCode>
                <c:ptCount val="3"/>
                <c:pt idx="0">
                  <c:v>2651893735.5</c:v>
                </c:pt>
                <c:pt idx="1">
                  <c:v>1452046890.1500001</c:v>
                </c:pt>
                <c:pt idx="2">
                  <c:v>913864383</c:v>
                </c:pt>
              </c:numCache>
            </c:numRef>
          </c:val>
          <c:extLst>
            <c:ext xmlns:c16="http://schemas.microsoft.com/office/drawing/2014/chart" uri="{C3380CC4-5D6E-409C-BE32-E72D297353CC}">
              <c16:uniqueId val="{00000000-0315-4E9C-BF05-F95DD140CE84}"/>
            </c:ext>
          </c:extLst>
        </c:ser>
        <c:ser>
          <c:idx val="1"/>
          <c:order val="1"/>
          <c:tx>
            <c:strRef>
              <c:f>Summary!$S$32</c:f>
              <c:strCache>
                <c:ptCount val="1"/>
                <c:pt idx="0">
                  <c:v>Domestic funding</c:v>
                </c:pt>
              </c:strCache>
            </c:strRef>
          </c:tx>
          <c:invertIfNegative val="0"/>
          <c:dLbls>
            <c:spPr>
              <a:noFill/>
              <a:ln>
                <a:noFill/>
              </a:ln>
              <a:effectLst/>
            </c:spPr>
            <c:txPr>
              <a:bodyPr/>
              <a:lstStyle/>
              <a:p>
                <a:pPr>
                  <a:defRPr sz="800" b="1">
                    <a:solidFill>
                      <a:schemeClr val="tx1">
                        <a:lumMod val="50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Summary!$T$30:$Y$30</c:f>
              <c:numCache>
                <c:formatCode>General</c:formatCode>
                <c:ptCount val="3"/>
                <c:pt idx="0">
                  <c:v>2023</c:v>
                </c:pt>
                <c:pt idx="1">
                  <c:v>2024</c:v>
                </c:pt>
                <c:pt idx="2">
                  <c:v>2025</c:v>
                </c:pt>
              </c:numCache>
            </c:numRef>
          </c:cat>
          <c:val>
            <c:numRef>
              <c:f>Summary!$T$32:$Y$32</c:f>
              <c:numCache>
                <c:formatCode>#,##0\ [$₸-43F]</c:formatCode>
                <c:ptCount val="3"/>
                <c:pt idx="0">
                  <c:v>52838576605.5</c:v>
                </c:pt>
                <c:pt idx="1">
                  <c:v>52581917399.25</c:v>
                </c:pt>
                <c:pt idx="2">
                  <c:v>52595437296.125</c:v>
                </c:pt>
              </c:numCache>
            </c:numRef>
          </c:val>
          <c:extLst>
            <c:ext xmlns:c16="http://schemas.microsoft.com/office/drawing/2014/chart" uri="{C3380CC4-5D6E-409C-BE32-E72D297353CC}">
              <c16:uniqueId val="{00000001-0315-4E9C-BF05-F95DD140CE84}"/>
            </c:ext>
          </c:extLst>
        </c:ser>
        <c:dLbls>
          <c:showLegendKey val="0"/>
          <c:showVal val="1"/>
          <c:showCatName val="0"/>
          <c:showSerName val="0"/>
          <c:showPercent val="0"/>
          <c:showBubbleSize val="0"/>
        </c:dLbls>
        <c:gapWidth val="150"/>
        <c:overlap val="-25"/>
        <c:axId val="648979824"/>
        <c:axId val="641256232"/>
      </c:barChart>
      <c:catAx>
        <c:axId val="648979824"/>
        <c:scaling>
          <c:orientation val="minMax"/>
        </c:scaling>
        <c:delete val="0"/>
        <c:axPos val="b"/>
        <c:numFmt formatCode="General" sourceLinked="1"/>
        <c:majorTickMark val="none"/>
        <c:minorTickMark val="none"/>
        <c:tickLblPos val="nextTo"/>
        <c:txPr>
          <a:bodyPr/>
          <a:lstStyle/>
          <a:p>
            <a:pPr>
              <a:defRPr b="1">
                <a:solidFill>
                  <a:srgbClr val="202020"/>
                </a:solidFill>
              </a:defRPr>
            </a:pPr>
            <a:endParaRPr lang="en-US"/>
          </a:p>
        </c:txPr>
        <c:crossAx val="641256232"/>
        <c:crosses val="autoZero"/>
        <c:auto val="1"/>
        <c:lblAlgn val="ctr"/>
        <c:lblOffset val="100"/>
        <c:noMultiLvlLbl val="0"/>
      </c:catAx>
      <c:valAx>
        <c:axId val="641256232"/>
        <c:scaling>
          <c:orientation val="minMax"/>
        </c:scaling>
        <c:delete val="1"/>
        <c:axPos val="l"/>
        <c:numFmt formatCode="#,##0\ [$₸-43F]" sourceLinked="1"/>
        <c:majorTickMark val="none"/>
        <c:minorTickMark val="none"/>
        <c:tickLblPos val="nextTo"/>
        <c:crossAx val="648979824"/>
        <c:crosses val="autoZero"/>
        <c:crossBetween val="between"/>
      </c:valAx>
    </c:plotArea>
    <c:legend>
      <c:legendPos val="t"/>
      <c:overlay val="0"/>
      <c:txPr>
        <a:bodyPr/>
        <a:lstStyle/>
        <a:p>
          <a:pPr>
            <a:defRPr b="1">
              <a:solidFill>
                <a:srgbClr val="202020"/>
              </a:solidFill>
            </a:defRPr>
          </a:pPr>
          <a:endParaRPr lang="en-US"/>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52608340624088701"/>
          <c:y val="6.0465116279069801E-2"/>
          <c:w val="0.43007643781369398"/>
          <c:h val="0.78838556075760802"/>
        </c:manualLayout>
      </c:layout>
      <c:barChart>
        <c:barDir val="bar"/>
        <c:grouping val="clustered"/>
        <c:varyColors val="0"/>
        <c:ser>
          <c:idx val="0"/>
          <c:order val="0"/>
          <c:tx>
            <c:strRef>
              <c:f>Sheet3!$B$24</c:f>
              <c:strCache>
                <c:ptCount val="1"/>
                <c:pt idx="0">
                  <c:v>Government</c:v>
                </c:pt>
              </c:strCache>
            </c:strRef>
          </c:tx>
          <c:spPr>
            <a:solidFill>
              <a:srgbClr val="5C729B"/>
            </a:solidFill>
          </c:spPr>
          <c:invertIfNegative val="0"/>
          <c:dLbls>
            <c:spPr>
              <a:noFill/>
              <a:ln>
                <a:noFill/>
              </a:ln>
              <a:effectLst/>
            </c:spPr>
            <c:txPr>
              <a:bodyPr/>
              <a:lstStyle/>
              <a:p>
                <a:pPr>
                  <a:defRPr sz="800" b="1">
                    <a:solidFill>
                      <a:srgbClr val="20202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Sheet3!$A$25:$A$29</c:f>
              <c:strCache>
                <c:ptCount val="5"/>
                <c:pt idx="0">
                  <c:v>Modernizing TB Servicе. Reforming through expansion of PHC services.</c:v>
                </c:pt>
                <c:pt idx="1">
                  <c:v>Improving availability of effective modern technologies and medicaldevices for diagnosis, treatment and rehabilitation care. Strengthening HRH for TB control. Reducing barries in access to TB services. </c:v>
                </c:pt>
                <c:pt idx="2">
                  <c:v>Psychosocial assistance to TB patients. Strengtheninh the role of NGOs in TB control. </c:v>
                </c:pt>
                <c:pt idx="3">
                  <c:v>Procurement of anti-tuberculosis drugs, including new an repurposed medicines. LTBI care and treatment. Improving drug supply management and aDSM.</c:v>
                </c:pt>
                <c:pt idx="4">
                  <c:v>Strengthening interagency and intersectoral collaboration. Enhencing ACSM, M&amp;E and feedback provision systems.</c:v>
                </c:pt>
              </c:strCache>
            </c:strRef>
          </c:cat>
          <c:val>
            <c:numRef>
              <c:f>Sheet3!$B$25:$B$29</c:f>
              <c:numCache>
                <c:formatCode>0.0%</c:formatCode>
                <c:ptCount val="5"/>
                <c:pt idx="0">
                  <c:v>1</c:v>
                </c:pt>
                <c:pt idx="1">
                  <c:v>0.97086608615480197</c:v>
                </c:pt>
                <c:pt idx="2">
                  <c:v>0.81554367445714604</c:v>
                </c:pt>
                <c:pt idx="3">
                  <c:v>0.93965583398947095</c:v>
                </c:pt>
                <c:pt idx="4">
                  <c:v>0</c:v>
                </c:pt>
              </c:numCache>
            </c:numRef>
          </c:val>
          <c:extLst>
            <c:ext xmlns:c16="http://schemas.microsoft.com/office/drawing/2014/chart" uri="{C3380CC4-5D6E-409C-BE32-E72D297353CC}">
              <c16:uniqueId val="{00000000-FCF7-4CBC-85AE-D5B582789DF8}"/>
            </c:ext>
          </c:extLst>
        </c:ser>
        <c:ser>
          <c:idx val="1"/>
          <c:order val="1"/>
          <c:tx>
            <c:strRef>
              <c:f>Sheet3!$C$24</c:f>
              <c:strCache>
                <c:ptCount val="1"/>
                <c:pt idx="0">
                  <c:v>Partners</c:v>
                </c:pt>
              </c:strCache>
            </c:strRef>
          </c:tx>
          <c:spPr>
            <a:solidFill>
              <a:schemeClr val="accent4">
                <a:lumMod val="60000"/>
                <a:lumOff val="40000"/>
              </a:schemeClr>
            </a:solidFill>
          </c:spPr>
          <c:invertIfNegative val="0"/>
          <c:dLbls>
            <c:spPr>
              <a:noFill/>
              <a:ln>
                <a:noFill/>
              </a:ln>
              <a:effectLst/>
            </c:spPr>
            <c:txPr>
              <a:bodyPr/>
              <a:lstStyle/>
              <a:p>
                <a:pPr>
                  <a:defRPr sz="800" b="1">
                    <a:solidFill>
                      <a:srgbClr val="20202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Sheet3!$A$25:$A$29</c:f>
              <c:strCache>
                <c:ptCount val="5"/>
                <c:pt idx="0">
                  <c:v>Modernizing TB Servicе. Reforming through expansion of PHC services.</c:v>
                </c:pt>
                <c:pt idx="1">
                  <c:v>Improving availability of effective modern technologies and medicaldevices for diagnosis, treatment and rehabilitation care. Strengthening HRH for TB control. Reducing barries in access to TB services. </c:v>
                </c:pt>
                <c:pt idx="2">
                  <c:v>Psychosocial assistance to TB patients. Strengtheninh the role of NGOs in TB control. </c:v>
                </c:pt>
                <c:pt idx="3">
                  <c:v>Procurement of anti-tuberculosis drugs, including new an repurposed medicines. LTBI care and treatment. Improving drug supply management and aDSM.</c:v>
                </c:pt>
                <c:pt idx="4">
                  <c:v>Strengthening interagency and intersectoral collaboration. Enhencing ACSM, M&amp;E and feedback provision systems.</c:v>
                </c:pt>
              </c:strCache>
            </c:strRef>
          </c:cat>
          <c:val>
            <c:numRef>
              <c:f>Sheet3!$C$25:$C$29</c:f>
              <c:numCache>
                <c:formatCode>0.0%</c:formatCode>
                <c:ptCount val="5"/>
                <c:pt idx="0">
                  <c:v>0</c:v>
                </c:pt>
                <c:pt idx="1">
                  <c:v>1.0507224128604499E-2</c:v>
                </c:pt>
                <c:pt idx="2">
                  <c:v>2.2926209310665999E-2</c:v>
                </c:pt>
                <c:pt idx="3">
                  <c:v>6.5042085900383099E-3</c:v>
                </c:pt>
                <c:pt idx="4">
                  <c:v>0.110933678095118</c:v>
                </c:pt>
              </c:numCache>
            </c:numRef>
          </c:val>
          <c:extLst>
            <c:ext xmlns:c16="http://schemas.microsoft.com/office/drawing/2014/chart" uri="{C3380CC4-5D6E-409C-BE32-E72D297353CC}">
              <c16:uniqueId val="{00000001-FCF7-4CBC-85AE-D5B582789DF8}"/>
            </c:ext>
          </c:extLst>
        </c:ser>
        <c:ser>
          <c:idx val="2"/>
          <c:order val="2"/>
          <c:tx>
            <c:strRef>
              <c:f>Sheet3!$D$24</c:f>
              <c:strCache>
                <c:ptCount val="1"/>
                <c:pt idx="0">
                  <c:v>Global Fund</c:v>
                </c:pt>
              </c:strCache>
            </c:strRef>
          </c:tx>
          <c:spPr>
            <a:solidFill>
              <a:schemeClr val="accent5">
                <a:lumMod val="75000"/>
              </a:schemeClr>
            </a:solidFill>
            <a:ln>
              <a:solidFill>
                <a:schemeClr val="accent5">
                  <a:lumMod val="75000"/>
                </a:schemeClr>
              </a:solidFill>
            </a:ln>
          </c:spPr>
          <c:invertIfNegative val="0"/>
          <c:dLbls>
            <c:spPr>
              <a:noFill/>
              <a:ln>
                <a:noFill/>
              </a:ln>
              <a:effectLst/>
            </c:spPr>
            <c:txPr>
              <a:bodyPr/>
              <a:lstStyle/>
              <a:p>
                <a:pPr>
                  <a:defRPr sz="800" b="1">
                    <a:solidFill>
                      <a:srgbClr val="20202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Sheet3!$A$25:$A$29</c:f>
              <c:strCache>
                <c:ptCount val="5"/>
                <c:pt idx="0">
                  <c:v>Modernizing TB Servicе. Reforming through expansion of PHC services.</c:v>
                </c:pt>
                <c:pt idx="1">
                  <c:v>Improving availability of effective modern technologies and medicaldevices for diagnosis, treatment and rehabilitation care. Strengthening HRH for TB control. Reducing barries in access to TB services. </c:v>
                </c:pt>
                <c:pt idx="2">
                  <c:v>Psychosocial assistance to TB patients. Strengtheninh the role of NGOs in TB control. </c:v>
                </c:pt>
                <c:pt idx="3">
                  <c:v>Procurement of anti-tuberculosis drugs, including new an repurposed medicines. LTBI care and treatment. Improving drug supply management and aDSM.</c:v>
                </c:pt>
                <c:pt idx="4">
                  <c:v>Strengthening interagency and intersectoral collaboration. Enhencing ACSM, M&amp;E and feedback provision systems.</c:v>
                </c:pt>
              </c:strCache>
            </c:strRef>
          </c:cat>
          <c:val>
            <c:numRef>
              <c:f>Sheet3!$D$25:$D$29</c:f>
              <c:numCache>
                <c:formatCode>0.0%</c:formatCode>
                <c:ptCount val="5"/>
                <c:pt idx="0">
                  <c:v>0</c:v>
                </c:pt>
                <c:pt idx="1">
                  <c:v>1.46484025662941E-2</c:v>
                </c:pt>
                <c:pt idx="2">
                  <c:v>0.16153011623218799</c:v>
                </c:pt>
                <c:pt idx="3">
                  <c:v>5.3839957420490997E-2</c:v>
                </c:pt>
                <c:pt idx="4">
                  <c:v>0.423330741620007</c:v>
                </c:pt>
              </c:numCache>
            </c:numRef>
          </c:val>
          <c:extLst>
            <c:ext xmlns:c16="http://schemas.microsoft.com/office/drawing/2014/chart" uri="{C3380CC4-5D6E-409C-BE32-E72D297353CC}">
              <c16:uniqueId val="{00000002-FCF7-4CBC-85AE-D5B582789DF8}"/>
            </c:ext>
          </c:extLst>
        </c:ser>
        <c:ser>
          <c:idx val="3"/>
          <c:order val="3"/>
          <c:tx>
            <c:strRef>
              <c:f>Sheet3!$E$24</c:f>
              <c:strCache>
                <c:ptCount val="1"/>
                <c:pt idx="0">
                  <c:v>Funding shortfalls </c:v>
                </c:pt>
              </c:strCache>
            </c:strRef>
          </c:tx>
          <c:spPr>
            <a:solidFill>
              <a:srgbClr val="99BF98"/>
            </a:solidFill>
          </c:spPr>
          <c:invertIfNegative val="0"/>
          <c:dLbls>
            <c:spPr>
              <a:noFill/>
              <a:ln>
                <a:noFill/>
              </a:ln>
              <a:effectLst/>
            </c:spPr>
            <c:txPr>
              <a:bodyPr/>
              <a:lstStyle/>
              <a:p>
                <a:pPr>
                  <a:defRPr sz="800" b="1">
                    <a:solidFill>
                      <a:srgbClr val="20202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Sheet3!$A$25:$A$29</c:f>
              <c:strCache>
                <c:ptCount val="5"/>
                <c:pt idx="0">
                  <c:v>Modernizing TB Servicе. Reforming through expansion of PHC services.</c:v>
                </c:pt>
                <c:pt idx="1">
                  <c:v>Improving availability of effective modern technologies and medicaldevices for diagnosis, treatment and rehabilitation care. Strengthening HRH for TB control. Reducing barries in access to TB services. </c:v>
                </c:pt>
                <c:pt idx="2">
                  <c:v>Psychosocial assistance to TB patients. Strengtheninh the role of NGOs in TB control. </c:v>
                </c:pt>
                <c:pt idx="3">
                  <c:v>Procurement of anti-tuberculosis drugs, including new an repurposed medicines. LTBI care and treatment. Improving drug supply management and aDSM.</c:v>
                </c:pt>
                <c:pt idx="4">
                  <c:v>Strengthening interagency and intersectoral collaboration. Enhencing ACSM, M&amp;E and feedback provision systems.</c:v>
                </c:pt>
              </c:strCache>
            </c:strRef>
          </c:cat>
          <c:val>
            <c:numRef>
              <c:f>Sheet3!$E$25:$E$29</c:f>
              <c:numCache>
                <c:formatCode>0.0%</c:formatCode>
                <c:ptCount val="5"/>
                <c:pt idx="0" formatCode="General">
                  <c:v>0</c:v>
                </c:pt>
                <c:pt idx="1">
                  <c:v>3.9782871502996899E-3</c:v>
                </c:pt>
                <c:pt idx="2">
                  <c:v>0</c:v>
                </c:pt>
                <c:pt idx="3">
                  <c:v>0</c:v>
                </c:pt>
                <c:pt idx="4">
                  <c:v>0.46573558028487499</c:v>
                </c:pt>
              </c:numCache>
            </c:numRef>
          </c:val>
          <c:extLst>
            <c:ext xmlns:c16="http://schemas.microsoft.com/office/drawing/2014/chart" uri="{C3380CC4-5D6E-409C-BE32-E72D297353CC}">
              <c16:uniqueId val="{00000003-FCF7-4CBC-85AE-D5B582789DF8}"/>
            </c:ext>
          </c:extLst>
        </c:ser>
        <c:dLbls>
          <c:showLegendKey val="0"/>
          <c:showVal val="0"/>
          <c:showCatName val="0"/>
          <c:showSerName val="0"/>
          <c:showPercent val="0"/>
          <c:showBubbleSize val="0"/>
        </c:dLbls>
        <c:gapWidth val="150"/>
        <c:axId val="641257016"/>
        <c:axId val="641254272"/>
      </c:barChart>
      <c:catAx>
        <c:axId val="641257016"/>
        <c:scaling>
          <c:orientation val="minMax"/>
        </c:scaling>
        <c:delete val="0"/>
        <c:axPos val="l"/>
        <c:numFmt formatCode="General" sourceLinked="0"/>
        <c:majorTickMark val="out"/>
        <c:minorTickMark val="none"/>
        <c:tickLblPos val="nextTo"/>
        <c:txPr>
          <a:bodyPr/>
          <a:lstStyle/>
          <a:p>
            <a:pPr>
              <a:defRPr sz="900" b="0">
                <a:solidFill>
                  <a:srgbClr val="202020"/>
                </a:solidFill>
                <a:latin typeface="+mj-lt"/>
              </a:defRPr>
            </a:pPr>
            <a:endParaRPr lang="en-US"/>
          </a:p>
        </c:txPr>
        <c:crossAx val="641254272"/>
        <c:crosses val="autoZero"/>
        <c:auto val="1"/>
        <c:lblAlgn val="ctr"/>
        <c:lblOffset val="100"/>
        <c:noMultiLvlLbl val="0"/>
      </c:catAx>
      <c:valAx>
        <c:axId val="641254272"/>
        <c:scaling>
          <c:orientation val="minMax"/>
        </c:scaling>
        <c:delete val="0"/>
        <c:axPos val="b"/>
        <c:majorGridlines>
          <c:spPr>
            <a:ln>
              <a:solidFill>
                <a:schemeClr val="bg1"/>
              </a:solidFill>
            </a:ln>
          </c:spPr>
        </c:majorGridlines>
        <c:numFmt formatCode="0.0%" sourceLinked="1"/>
        <c:majorTickMark val="out"/>
        <c:minorTickMark val="none"/>
        <c:tickLblPos val="nextTo"/>
        <c:txPr>
          <a:bodyPr/>
          <a:lstStyle/>
          <a:p>
            <a:pPr>
              <a:defRPr sz="800" b="1">
                <a:solidFill>
                  <a:srgbClr val="202020"/>
                </a:solidFill>
              </a:defRPr>
            </a:pPr>
            <a:endParaRPr lang="en-US"/>
          </a:p>
        </c:txPr>
        <c:crossAx val="641257016"/>
        <c:crosses val="autoZero"/>
        <c:crossBetween val="between"/>
      </c:valAx>
    </c:plotArea>
    <c:legend>
      <c:legendPos val="r"/>
      <c:layout>
        <c:manualLayout>
          <c:xMode val="edge"/>
          <c:yMode val="edge"/>
          <c:x val="5.2314776442418401E-2"/>
          <c:y val="0.84698872100446898"/>
          <c:w val="0.45450783564335101"/>
          <c:h val="0.105714112658995"/>
        </c:manualLayout>
      </c:layout>
      <c:overlay val="0"/>
      <c:txPr>
        <a:bodyPr/>
        <a:lstStyle/>
        <a:p>
          <a:pPr>
            <a:defRPr sz="900" b="1">
              <a:solidFill>
                <a:srgbClr val="202020"/>
              </a:solidFill>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307961504812"/>
          <c:y val="0.164502405949256"/>
          <c:w val="0.86235870516185498"/>
          <c:h val="0.72877697579469203"/>
        </c:manualLayout>
      </c:layout>
      <c:barChart>
        <c:barDir val="col"/>
        <c:grouping val="clustered"/>
        <c:varyColors val="0"/>
        <c:ser>
          <c:idx val="0"/>
          <c:order val="0"/>
          <c:tx>
            <c:strRef>
              <c:f>Sheet3!$C$38</c:f>
              <c:strCache>
                <c:ptCount val="1"/>
                <c:pt idx="0">
                  <c:v>Childhood (0-14 years) TB diagnosis and treatment</c:v>
                </c:pt>
              </c:strCache>
            </c:strRef>
          </c:tx>
          <c:spPr>
            <a:solidFill>
              <a:schemeClr val="accent1"/>
            </a:solidFill>
            <a:ln>
              <a:noFill/>
            </a:ln>
            <a:effectLst/>
          </c:spPr>
          <c:invertIfNegative val="0"/>
          <c:dPt>
            <c:idx val="1"/>
            <c:invertIfNegative val="0"/>
            <c:bubble3D val="0"/>
            <c:spPr>
              <a:solidFill>
                <a:srgbClr val="CC3300"/>
              </a:solidFill>
              <a:ln>
                <a:noFill/>
              </a:ln>
              <a:effectLst/>
            </c:spPr>
            <c:extLst>
              <c:ext xmlns:c16="http://schemas.microsoft.com/office/drawing/2014/chart" uri="{C3380CC4-5D6E-409C-BE32-E72D297353CC}">
                <c16:uniqueId val="{00000001-BE03-408B-8601-05CA7D2D397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Sheet3!$D$37:$E$37</c:f>
              <c:strCache>
                <c:ptCount val="2"/>
                <c:pt idx="0">
                  <c:v>Results (2018-2020)</c:v>
                </c:pt>
                <c:pt idx="1">
                  <c:v>Targets (2018-2022)</c:v>
                </c:pt>
              </c:strCache>
            </c:strRef>
          </c:cat>
          <c:val>
            <c:numRef>
              <c:f>Sheet3!$D$38:$E$38</c:f>
              <c:numCache>
                <c:formatCode>#,##0</c:formatCode>
                <c:ptCount val="2"/>
                <c:pt idx="0">
                  <c:v>1021</c:v>
                </c:pt>
                <c:pt idx="1">
                  <c:v>1800</c:v>
                </c:pt>
              </c:numCache>
            </c:numRef>
          </c:val>
          <c:extLst>
            <c:ext xmlns:c16="http://schemas.microsoft.com/office/drawing/2014/chart" uri="{C3380CC4-5D6E-409C-BE32-E72D297353CC}">
              <c16:uniqueId val="{00000002-BE03-408B-8601-05CA7D2D3970}"/>
            </c:ext>
          </c:extLst>
        </c:ser>
        <c:dLbls>
          <c:showLegendKey val="0"/>
          <c:showVal val="0"/>
          <c:showCatName val="0"/>
          <c:showSerName val="0"/>
          <c:showPercent val="0"/>
          <c:showBubbleSize val="0"/>
        </c:dLbls>
        <c:gapWidth val="219"/>
        <c:overlap val="-27"/>
        <c:axId val="557495544"/>
        <c:axId val="557494760"/>
      </c:barChart>
      <c:catAx>
        <c:axId val="557495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57494760"/>
        <c:crosses val="autoZero"/>
        <c:auto val="1"/>
        <c:lblAlgn val="ctr"/>
        <c:lblOffset val="100"/>
        <c:noMultiLvlLbl val="0"/>
      </c:catAx>
      <c:valAx>
        <c:axId val="557494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495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44934282130699"/>
          <c:y val="0.155497207087404"/>
          <c:w val="0.83794856244862104"/>
          <c:h val="0.72833311060138395"/>
        </c:manualLayout>
      </c:layout>
      <c:barChart>
        <c:barDir val="col"/>
        <c:grouping val="clustered"/>
        <c:varyColors val="0"/>
        <c:ser>
          <c:idx val="0"/>
          <c:order val="0"/>
          <c:tx>
            <c:strRef>
              <c:f>Sheet3!$C$40</c:f>
              <c:strCache>
                <c:ptCount val="1"/>
                <c:pt idx="0">
                  <c:v>RR/MDR-TB diagnosis and treatment </c:v>
                </c:pt>
              </c:strCache>
            </c:strRef>
          </c:tx>
          <c:spPr>
            <a:solidFill>
              <a:schemeClr val="accent1"/>
            </a:solidFill>
            <a:ln>
              <a:noFill/>
            </a:ln>
            <a:effectLst/>
          </c:spPr>
          <c:invertIfNegative val="0"/>
          <c:dPt>
            <c:idx val="1"/>
            <c:invertIfNegative val="0"/>
            <c:bubble3D val="0"/>
            <c:spPr>
              <a:solidFill>
                <a:srgbClr val="CC3300"/>
              </a:solidFill>
              <a:ln>
                <a:noFill/>
              </a:ln>
              <a:effectLst/>
            </c:spPr>
            <c:extLst>
              <c:ext xmlns:c16="http://schemas.microsoft.com/office/drawing/2014/chart" uri="{C3380CC4-5D6E-409C-BE32-E72D297353CC}">
                <c16:uniqueId val="{00000001-615E-480A-995F-167BD640B550}"/>
              </c:ext>
            </c:extLst>
          </c:dPt>
          <c:dLbls>
            <c:spPr>
              <a:noFill/>
              <a:ln>
                <a:noFill/>
              </a:ln>
              <a:effectLst/>
            </c:spPr>
            <c:txPr>
              <a:bodyPr rot="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Sheet3!$D$39:$E$39</c:f>
              <c:strCache>
                <c:ptCount val="2"/>
                <c:pt idx="0">
                  <c:v>Results (2018-2020)</c:v>
                </c:pt>
                <c:pt idx="1">
                  <c:v>Targets (2018-2022)</c:v>
                </c:pt>
              </c:strCache>
            </c:strRef>
          </c:cat>
          <c:val>
            <c:numRef>
              <c:f>Sheet3!$D$40:$E$40</c:f>
              <c:numCache>
                <c:formatCode>#,##0</c:formatCode>
                <c:ptCount val="2"/>
                <c:pt idx="0">
                  <c:v>17343</c:v>
                </c:pt>
                <c:pt idx="1">
                  <c:v>29428</c:v>
                </c:pt>
              </c:numCache>
            </c:numRef>
          </c:val>
          <c:extLst>
            <c:ext xmlns:c16="http://schemas.microsoft.com/office/drawing/2014/chart" uri="{C3380CC4-5D6E-409C-BE32-E72D297353CC}">
              <c16:uniqueId val="{00000002-615E-480A-995F-167BD640B550}"/>
            </c:ext>
          </c:extLst>
        </c:ser>
        <c:dLbls>
          <c:showLegendKey val="0"/>
          <c:showVal val="0"/>
          <c:showCatName val="0"/>
          <c:showSerName val="0"/>
          <c:showPercent val="0"/>
          <c:showBubbleSize val="0"/>
        </c:dLbls>
        <c:gapWidth val="219"/>
        <c:overlap val="-27"/>
        <c:axId val="718798336"/>
        <c:axId val="718794808"/>
      </c:barChart>
      <c:catAx>
        <c:axId val="71879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1"/>
            </a:pPr>
            <a:endParaRPr lang="en-US"/>
          </a:p>
        </c:txPr>
        <c:crossAx val="718794808"/>
        <c:crosses val="autoZero"/>
        <c:auto val="1"/>
        <c:lblAlgn val="ctr"/>
        <c:lblOffset val="100"/>
        <c:noMultiLvlLbl val="0"/>
      </c:catAx>
      <c:valAx>
        <c:axId val="718794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sz="900"/>
            </a:pPr>
            <a:endParaRPr lang="en-US"/>
          </a:p>
        </c:txPr>
        <c:crossAx val="718798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51189620893201"/>
          <c:y val="0.13043478260869601"/>
          <c:w val="0.782003719222788"/>
          <c:h val="0.62810065781133295"/>
        </c:manualLayout>
      </c:layout>
      <c:barChart>
        <c:barDir val="col"/>
        <c:grouping val="clustered"/>
        <c:varyColors val="0"/>
        <c:ser>
          <c:idx val="0"/>
          <c:order val="0"/>
          <c:tx>
            <c:strRef>
              <c:f>Sheet3!$C$98</c:f>
              <c:strCache>
                <c:ptCount val="1"/>
                <c:pt idx="0">
                  <c:v>TB Preventive Therapy (TPT), all cases </c:v>
                </c:pt>
              </c:strCache>
            </c:strRef>
          </c:tx>
          <c:spPr>
            <a:solidFill>
              <a:schemeClr val="accent1"/>
            </a:solidFill>
            <a:ln>
              <a:noFill/>
            </a:ln>
            <a:effectLst/>
          </c:spPr>
          <c:invertIfNegative val="0"/>
          <c:dPt>
            <c:idx val="1"/>
            <c:invertIfNegative val="0"/>
            <c:bubble3D val="0"/>
            <c:spPr>
              <a:solidFill>
                <a:srgbClr val="CC3300"/>
              </a:solidFill>
              <a:ln>
                <a:noFill/>
              </a:ln>
              <a:effectLst/>
            </c:spPr>
            <c:extLst>
              <c:ext xmlns:c16="http://schemas.microsoft.com/office/drawing/2014/chart" uri="{C3380CC4-5D6E-409C-BE32-E72D297353CC}">
                <c16:uniqueId val="{00000001-A9EC-4094-ABFE-23162ECE12B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Sheet3!$D$97:$E$97</c:f>
              <c:strCache>
                <c:ptCount val="2"/>
                <c:pt idx="0">
                  <c:v>Results</c:v>
                </c:pt>
                <c:pt idx="1">
                  <c:v>Targets </c:v>
                </c:pt>
              </c:strCache>
            </c:strRef>
          </c:cat>
          <c:val>
            <c:numRef>
              <c:f>Sheet3!$D$98:$E$98</c:f>
              <c:numCache>
                <c:formatCode>#,##0</c:formatCode>
                <c:ptCount val="2"/>
                <c:pt idx="0">
                  <c:v>14433</c:v>
                </c:pt>
                <c:pt idx="1">
                  <c:v>48659</c:v>
                </c:pt>
              </c:numCache>
            </c:numRef>
          </c:val>
          <c:extLst>
            <c:ext xmlns:c16="http://schemas.microsoft.com/office/drawing/2014/chart" uri="{C3380CC4-5D6E-409C-BE32-E72D297353CC}">
              <c16:uniqueId val="{00000002-A9EC-4094-ABFE-23162ECE12B0}"/>
            </c:ext>
          </c:extLst>
        </c:ser>
        <c:dLbls>
          <c:showLegendKey val="0"/>
          <c:showVal val="0"/>
          <c:showCatName val="0"/>
          <c:showSerName val="0"/>
          <c:showPercent val="0"/>
          <c:showBubbleSize val="0"/>
        </c:dLbls>
        <c:gapWidth val="219"/>
        <c:overlap val="-27"/>
        <c:axId val="718795200"/>
        <c:axId val="718797160"/>
      </c:barChart>
      <c:catAx>
        <c:axId val="71879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718797160"/>
        <c:crosses val="autoZero"/>
        <c:auto val="1"/>
        <c:lblAlgn val="ctr"/>
        <c:lblOffset val="100"/>
        <c:noMultiLvlLbl val="0"/>
      </c:catAx>
      <c:valAx>
        <c:axId val="718797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8795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92422525567599"/>
          <c:y val="9.4821298322392403E-2"/>
          <c:w val="0.782003719222788"/>
          <c:h val="0.65346519868823805"/>
        </c:manualLayout>
      </c:layout>
      <c:barChart>
        <c:barDir val="col"/>
        <c:grouping val="clustered"/>
        <c:varyColors val="0"/>
        <c:ser>
          <c:idx val="0"/>
          <c:order val="0"/>
          <c:tx>
            <c:strRef>
              <c:f>Sheet3!$C$92</c:f>
              <c:strCache>
                <c:ptCount val="1"/>
                <c:pt idx="0">
                  <c:v>TPT results for under-five Child Contacts</c:v>
                </c:pt>
              </c:strCache>
            </c:strRef>
          </c:tx>
          <c:spPr>
            <a:solidFill>
              <a:schemeClr val="accent1"/>
            </a:solidFill>
            <a:ln>
              <a:noFill/>
            </a:ln>
            <a:effectLst/>
          </c:spPr>
          <c:invertIfNegative val="0"/>
          <c:dPt>
            <c:idx val="1"/>
            <c:invertIfNegative val="0"/>
            <c:bubble3D val="0"/>
            <c:spPr>
              <a:solidFill>
                <a:srgbClr val="CC3300"/>
              </a:solidFill>
              <a:ln>
                <a:noFill/>
              </a:ln>
              <a:effectLst/>
            </c:spPr>
            <c:extLst>
              <c:ext xmlns:c16="http://schemas.microsoft.com/office/drawing/2014/chart" uri="{C3380CC4-5D6E-409C-BE32-E72D297353CC}">
                <c16:uniqueId val="{00000001-C30B-4202-B2BB-09210079CF3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Sheet3!$D$91:$E$91</c:f>
              <c:strCache>
                <c:ptCount val="2"/>
                <c:pt idx="0">
                  <c:v>Results</c:v>
                </c:pt>
                <c:pt idx="1">
                  <c:v>Targets </c:v>
                </c:pt>
              </c:strCache>
            </c:strRef>
          </c:cat>
          <c:val>
            <c:numRef>
              <c:f>Sheet3!$D$92:$E$92</c:f>
              <c:numCache>
                <c:formatCode>#,##0</c:formatCode>
                <c:ptCount val="2"/>
                <c:pt idx="0">
                  <c:v>2364</c:v>
                </c:pt>
                <c:pt idx="1">
                  <c:v>9760</c:v>
                </c:pt>
              </c:numCache>
            </c:numRef>
          </c:val>
          <c:extLst>
            <c:ext xmlns:c16="http://schemas.microsoft.com/office/drawing/2014/chart" uri="{C3380CC4-5D6E-409C-BE32-E72D297353CC}">
              <c16:uniqueId val="{00000002-C30B-4202-B2BB-09210079CF33}"/>
            </c:ext>
          </c:extLst>
        </c:ser>
        <c:dLbls>
          <c:showLegendKey val="0"/>
          <c:showVal val="0"/>
          <c:showCatName val="0"/>
          <c:showSerName val="0"/>
          <c:showPercent val="0"/>
          <c:showBubbleSize val="0"/>
        </c:dLbls>
        <c:gapWidth val="219"/>
        <c:overlap val="-27"/>
        <c:axId val="718795592"/>
        <c:axId val="718797552"/>
      </c:barChart>
      <c:catAx>
        <c:axId val="71879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718797552"/>
        <c:crosses val="autoZero"/>
        <c:auto val="1"/>
        <c:lblAlgn val="ctr"/>
        <c:lblOffset val="100"/>
        <c:noMultiLvlLbl val="0"/>
      </c:catAx>
      <c:valAx>
        <c:axId val="718797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879559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Sheet3!$C$94</c:f>
              <c:strCache>
                <c:ptCount val="1"/>
                <c:pt idx="0">
                  <c:v>TPT results in contacts older than five years</c:v>
                </c:pt>
              </c:strCache>
            </c:strRef>
          </c:tx>
          <c:spPr>
            <a:solidFill>
              <a:schemeClr val="accent1"/>
            </a:solidFill>
            <a:ln>
              <a:noFill/>
            </a:ln>
            <a:effectLst/>
          </c:spPr>
          <c:invertIfNegative val="0"/>
          <c:dPt>
            <c:idx val="1"/>
            <c:invertIfNegative val="0"/>
            <c:bubble3D val="0"/>
            <c:spPr>
              <a:solidFill>
                <a:srgbClr val="CC3300"/>
              </a:solidFill>
              <a:ln>
                <a:noFill/>
              </a:ln>
              <a:effectLst/>
            </c:spPr>
            <c:extLst>
              <c:ext xmlns:c16="http://schemas.microsoft.com/office/drawing/2014/chart" uri="{C3380CC4-5D6E-409C-BE32-E72D297353CC}">
                <c16:uniqueId val="{00000001-5CA7-4CAE-AFC8-1D9FDD36999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Sheet3!$D$93:$E$93</c:f>
              <c:strCache>
                <c:ptCount val="2"/>
                <c:pt idx="0">
                  <c:v>Results</c:v>
                </c:pt>
                <c:pt idx="1">
                  <c:v>Targets </c:v>
                </c:pt>
              </c:strCache>
            </c:strRef>
          </c:cat>
          <c:val>
            <c:numRef>
              <c:f>Sheet3!$D$94:$E$94</c:f>
              <c:numCache>
                <c:formatCode>#,##0</c:formatCode>
                <c:ptCount val="2"/>
                <c:pt idx="0">
                  <c:v>7674</c:v>
                </c:pt>
                <c:pt idx="1">
                  <c:v>30851</c:v>
                </c:pt>
              </c:numCache>
            </c:numRef>
          </c:val>
          <c:extLst>
            <c:ext xmlns:c16="http://schemas.microsoft.com/office/drawing/2014/chart" uri="{C3380CC4-5D6E-409C-BE32-E72D297353CC}">
              <c16:uniqueId val="{00000002-5CA7-4CAE-AFC8-1D9FDD369999}"/>
            </c:ext>
          </c:extLst>
        </c:ser>
        <c:dLbls>
          <c:showLegendKey val="0"/>
          <c:showVal val="0"/>
          <c:showCatName val="0"/>
          <c:showSerName val="0"/>
          <c:showPercent val="0"/>
          <c:showBubbleSize val="0"/>
        </c:dLbls>
        <c:gapWidth val="219"/>
        <c:overlap val="-27"/>
        <c:axId val="211068360"/>
        <c:axId val="211070320"/>
      </c:barChart>
      <c:catAx>
        <c:axId val="211068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11070320"/>
        <c:crosses val="autoZero"/>
        <c:auto val="1"/>
        <c:lblAlgn val="ctr"/>
        <c:lblOffset val="100"/>
        <c:noMultiLvlLbl val="0"/>
      </c:catAx>
      <c:valAx>
        <c:axId val="211070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1068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Sheet3!$C$96</c:f>
              <c:strCache>
                <c:ptCount val="1"/>
                <c:pt idx="0">
                  <c:v>TPT results in PLHIV</c:v>
                </c:pt>
              </c:strCache>
            </c:strRef>
          </c:tx>
          <c:spPr>
            <a:solidFill>
              <a:schemeClr val="accent1"/>
            </a:solidFill>
            <a:ln>
              <a:noFill/>
            </a:ln>
            <a:effectLst/>
          </c:spPr>
          <c:invertIfNegative val="0"/>
          <c:dPt>
            <c:idx val="1"/>
            <c:invertIfNegative val="0"/>
            <c:bubble3D val="0"/>
            <c:spPr>
              <a:solidFill>
                <a:srgbClr val="CC3300"/>
              </a:solidFill>
              <a:ln>
                <a:noFill/>
              </a:ln>
              <a:effectLst/>
            </c:spPr>
            <c:extLst>
              <c:ext xmlns:c16="http://schemas.microsoft.com/office/drawing/2014/chart" uri="{C3380CC4-5D6E-409C-BE32-E72D297353CC}">
                <c16:uniqueId val="{00000001-5637-4760-9D09-1D37F165985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Sheet3!$D$95:$E$95</c:f>
              <c:strCache>
                <c:ptCount val="2"/>
                <c:pt idx="0">
                  <c:v>Results</c:v>
                </c:pt>
                <c:pt idx="1">
                  <c:v>Targets </c:v>
                </c:pt>
              </c:strCache>
            </c:strRef>
          </c:cat>
          <c:val>
            <c:numRef>
              <c:f>Sheet3!$D$96:$E$96</c:f>
              <c:numCache>
                <c:formatCode>#,##0</c:formatCode>
                <c:ptCount val="2"/>
                <c:pt idx="0">
                  <c:v>4395</c:v>
                </c:pt>
                <c:pt idx="1">
                  <c:v>8048</c:v>
                </c:pt>
              </c:numCache>
            </c:numRef>
          </c:val>
          <c:extLst>
            <c:ext xmlns:c16="http://schemas.microsoft.com/office/drawing/2014/chart" uri="{C3380CC4-5D6E-409C-BE32-E72D297353CC}">
              <c16:uniqueId val="{00000002-5637-4760-9D09-1D37F1659851}"/>
            </c:ext>
          </c:extLst>
        </c:ser>
        <c:dLbls>
          <c:showLegendKey val="0"/>
          <c:showVal val="0"/>
          <c:showCatName val="0"/>
          <c:showSerName val="0"/>
          <c:showPercent val="0"/>
          <c:showBubbleSize val="0"/>
        </c:dLbls>
        <c:gapWidth val="219"/>
        <c:overlap val="-27"/>
        <c:axId val="211069144"/>
        <c:axId val="211071104"/>
      </c:barChart>
      <c:catAx>
        <c:axId val="211069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11071104"/>
        <c:crosses val="autoZero"/>
        <c:auto val="1"/>
        <c:lblAlgn val="ctr"/>
        <c:lblOffset val="100"/>
        <c:noMultiLvlLbl val="0"/>
      </c:catAx>
      <c:valAx>
        <c:axId val="21107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1069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966172758756599E-2"/>
          <c:y val="7.7380952380952397E-2"/>
          <c:w val="0.894344796357324"/>
          <c:h val="0.44449100112485901"/>
        </c:manualLayout>
      </c:layout>
      <c:barChart>
        <c:barDir val="col"/>
        <c:grouping val="clustered"/>
        <c:varyColors val="0"/>
        <c:ser>
          <c:idx val="0"/>
          <c:order val="0"/>
          <c:tx>
            <c:strRef>
              <c:f>Sheet1!$D$53</c:f>
              <c:strCache>
                <c:ptCount val="1"/>
                <c:pt idx="0">
                  <c:v>2019</c:v>
                </c:pt>
              </c:strCache>
            </c:strRef>
          </c:tx>
          <c:spPr>
            <a:solidFill>
              <a:schemeClr val="accent1">
                <a:shade val="76000"/>
              </a:schemeClr>
            </a:solidFill>
            <a:ln>
              <a:noFill/>
            </a:ln>
            <a:effectLst/>
          </c:spPr>
          <c:invertIfNegative val="0"/>
          <c:dPt>
            <c:idx val="7"/>
            <c:invertIfNegative val="0"/>
            <c:bubble3D val="0"/>
            <c:spPr>
              <a:solidFill>
                <a:srgbClr val="FF3300"/>
              </a:solidFill>
              <a:ln>
                <a:noFill/>
              </a:ln>
              <a:effectLst/>
            </c:spPr>
            <c:extLst>
              <c:ext xmlns:c16="http://schemas.microsoft.com/office/drawing/2014/chart" uri="{C3380CC4-5D6E-409C-BE32-E72D297353CC}">
                <c16:uniqueId val="{00000001-C6BD-4628-9C7B-B49F471A376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Sheet1!$C$54:$C$71</c:f>
              <c:strCache>
                <c:ptCount val="18"/>
                <c:pt idx="0">
                  <c:v>Shymkent city</c:v>
                </c:pt>
                <c:pt idx="1">
                  <c:v>Almaty city</c:v>
                </c:pt>
                <c:pt idx="2">
                  <c:v>Turkestan Region</c:v>
                </c:pt>
                <c:pt idx="3">
                  <c:v>Qaraghandy Region</c:v>
                </c:pt>
                <c:pt idx="4">
                  <c:v>Almaty Region</c:v>
                </c:pt>
                <c:pt idx="5">
                  <c:v>Nur-Sultan city</c:v>
                </c:pt>
                <c:pt idx="6">
                  <c:v>Zhambyl Region</c:v>
                </c:pt>
                <c:pt idx="7">
                  <c:v>Kazakhstan average</c:v>
                </c:pt>
                <c:pt idx="8">
                  <c:v>East Kazakhstan Region</c:v>
                </c:pt>
                <c:pt idx="9">
                  <c:v>Pavlodar Region</c:v>
                </c:pt>
                <c:pt idx="10">
                  <c:v>Aqtobe Region</c:v>
                </c:pt>
                <c:pt idx="11">
                  <c:v>Aqmola Region</c:v>
                </c:pt>
                <c:pt idx="12">
                  <c:v>North Kazakhstan Region</c:v>
                </c:pt>
                <c:pt idx="13">
                  <c:v>Qostanay Region</c:v>
                </c:pt>
                <c:pt idx="14">
                  <c:v>Mangghystau Region</c:v>
                </c:pt>
                <c:pt idx="15">
                  <c:v>West Kazakhstan Region</c:v>
                </c:pt>
                <c:pt idx="16">
                  <c:v>Qyzylorda Region</c:v>
                </c:pt>
                <c:pt idx="17">
                  <c:v>Atyrau Region</c:v>
                </c:pt>
              </c:strCache>
            </c:strRef>
          </c:cat>
          <c:val>
            <c:numRef>
              <c:f>Sheet1!$D$54:$D$71</c:f>
              <c:numCache>
                <c:formatCode>0.0</c:formatCode>
                <c:ptCount val="18"/>
                <c:pt idx="0">
                  <c:v>51.9</c:v>
                </c:pt>
                <c:pt idx="1">
                  <c:v>43.4</c:v>
                </c:pt>
                <c:pt idx="2">
                  <c:v>43</c:v>
                </c:pt>
                <c:pt idx="3">
                  <c:v>56</c:v>
                </c:pt>
                <c:pt idx="4">
                  <c:v>55.7</c:v>
                </c:pt>
                <c:pt idx="5">
                  <c:v>64.2</c:v>
                </c:pt>
                <c:pt idx="6">
                  <c:v>60.8</c:v>
                </c:pt>
                <c:pt idx="7">
                  <c:v>65.400000000000006</c:v>
                </c:pt>
                <c:pt idx="8">
                  <c:v>69.400000000000006</c:v>
                </c:pt>
                <c:pt idx="9">
                  <c:v>65.099999999999994</c:v>
                </c:pt>
                <c:pt idx="10">
                  <c:v>81</c:v>
                </c:pt>
                <c:pt idx="11">
                  <c:v>73.099999999999994</c:v>
                </c:pt>
                <c:pt idx="12">
                  <c:v>88.8</c:v>
                </c:pt>
                <c:pt idx="13">
                  <c:v>81.099999999999994</c:v>
                </c:pt>
                <c:pt idx="14">
                  <c:v>79.400000000000006</c:v>
                </c:pt>
                <c:pt idx="15">
                  <c:v>76.5</c:v>
                </c:pt>
                <c:pt idx="16">
                  <c:v>114.9</c:v>
                </c:pt>
                <c:pt idx="17">
                  <c:v>114.4</c:v>
                </c:pt>
              </c:numCache>
            </c:numRef>
          </c:val>
          <c:extLst>
            <c:ext xmlns:c16="http://schemas.microsoft.com/office/drawing/2014/chart" uri="{C3380CC4-5D6E-409C-BE32-E72D297353CC}">
              <c16:uniqueId val="{00000002-C6BD-4628-9C7B-B49F471A3766}"/>
            </c:ext>
          </c:extLst>
        </c:ser>
        <c:ser>
          <c:idx val="1"/>
          <c:order val="1"/>
          <c:tx>
            <c:strRef>
              <c:f>Sheet1!$E$53</c:f>
              <c:strCache>
                <c:ptCount val="1"/>
                <c:pt idx="0">
                  <c:v>2020</c:v>
                </c:pt>
              </c:strCache>
            </c:strRef>
          </c:tx>
          <c:spPr>
            <a:solidFill>
              <a:schemeClr val="accent1">
                <a:tint val="77000"/>
              </a:schemeClr>
            </a:solidFill>
            <a:ln>
              <a:noFill/>
            </a:ln>
            <a:effectLst/>
          </c:spPr>
          <c:invertIfNegative val="0"/>
          <c:dPt>
            <c:idx val="7"/>
            <c:invertIfNegative val="0"/>
            <c:bubble3D val="0"/>
            <c:spPr>
              <a:solidFill>
                <a:srgbClr val="FF99FF"/>
              </a:solidFill>
              <a:ln>
                <a:noFill/>
              </a:ln>
              <a:effectLst/>
            </c:spPr>
            <c:extLst>
              <c:ext xmlns:c16="http://schemas.microsoft.com/office/drawing/2014/chart" uri="{C3380CC4-5D6E-409C-BE32-E72D297353CC}">
                <c16:uniqueId val="{00000004-C6BD-4628-9C7B-B49F471A376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Sheet1!$C$54:$C$71</c:f>
              <c:strCache>
                <c:ptCount val="18"/>
                <c:pt idx="0">
                  <c:v>Shymkent city</c:v>
                </c:pt>
                <c:pt idx="1">
                  <c:v>Almaty city</c:v>
                </c:pt>
                <c:pt idx="2">
                  <c:v>Turkestan Region</c:v>
                </c:pt>
                <c:pt idx="3">
                  <c:v>Qaraghandy Region</c:v>
                </c:pt>
                <c:pt idx="4">
                  <c:v>Almaty Region</c:v>
                </c:pt>
                <c:pt idx="5">
                  <c:v>Nur-Sultan city</c:v>
                </c:pt>
                <c:pt idx="6">
                  <c:v>Zhambyl Region</c:v>
                </c:pt>
                <c:pt idx="7">
                  <c:v>Kazakhstan average</c:v>
                </c:pt>
                <c:pt idx="8">
                  <c:v>East Kazakhstan Region</c:v>
                </c:pt>
                <c:pt idx="9">
                  <c:v>Pavlodar Region</c:v>
                </c:pt>
                <c:pt idx="10">
                  <c:v>Aqtobe Region</c:v>
                </c:pt>
                <c:pt idx="11">
                  <c:v>Aqmola Region</c:v>
                </c:pt>
                <c:pt idx="12">
                  <c:v>North Kazakhstan Region</c:v>
                </c:pt>
                <c:pt idx="13">
                  <c:v>Qostanay Region</c:v>
                </c:pt>
                <c:pt idx="14">
                  <c:v>Mangghystau Region</c:v>
                </c:pt>
                <c:pt idx="15">
                  <c:v>West Kazakhstan Region</c:v>
                </c:pt>
                <c:pt idx="16">
                  <c:v>Qyzylorda Region</c:v>
                </c:pt>
                <c:pt idx="17">
                  <c:v>Atyrau Region</c:v>
                </c:pt>
              </c:strCache>
            </c:strRef>
          </c:cat>
          <c:val>
            <c:numRef>
              <c:f>Sheet1!$E$54:$E$71</c:f>
              <c:numCache>
                <c:formatCode>0.0</c:formatCode>
                <c:ptCount val="18"/>
                <c:pt idx="0">
                  <c:v>31.1</c:v>
                </c:pt>
                <c:pt idx="1">
                  <c:v>32.6</c:v>
                </c:pt>
                <c:pt idx="2">
                  <c:v>32.799999999999997</c:v>
                </c:pt>
                <c:pt idx="3" formatCode="General">
                  <c:v>43.4</c:v>
                </c:pt>
                <c:pt idx="4">
                  <c:v>44</c:v>
                </c:pt>
                <c:pt idx="5">
                  <c:v>46.9</c:v>
                </c:pt>
                <c:pt idx="6">
                  <c:v>48.5</c:v>
                </c:pt>
                <c:pt idx="7">
                  <c:v>49.2</c:v>
                </c:pt>
                <c:pt idx="8">
                  <c:v>50.8</c:v>
                </c:pt>
                <c:pt idx="9">
                  <c:v>54.7</c:v>
                </c:pt>
                <c:pt idx="10">
                  <c:v>56.1</c:v>
                </c:pt>
                <c:pt idx="11">
                  <c:v>59.9</c:v>
                </c:pt>
                <c:pt idx="12">
                  <c:v>60.6</c:v>
                </c:pt>
                <c:pt idx="13">
                  <c:v>62.5</c:v>
                </c:pt>
                <c:pt idx="14">
                  <c:v>63.9</c:v>
                </c:pt>
                <c:pt idx="15">
                  <c:v>64</c:v>
                </c:pt>
                <c:pt idx="16">
                  <c:v>79.599999999999994</c:v>
                </c:pt>
                <c:pt idx="17">
                  <c:v>87.4</c:v>
                </c:pt>
              </c:numCache>
            </c:numRef>
          </c:val>
          <c:extLst>
            <c:ext xmlns:c16="http://schemas.microsoft.com/office/drawing/2014/chart" uri="{C3380CC4-5D6E-409C-BE32-E72D297353CC}">
              <c16:uniqueId val="{00000005-C6BD-4628-9C7B-B49F471A3766}"/>
            </c:ext>
          </c:extLst>
        </c:ser>
        <c:dLbls>
          <c:showLegendKey val="0"/>
          <c:showVal val="0"/>
          <c:showCatName val="0"/>
          <c:showSerName val="0"/>
          <c:showPercent val="0"/>
          <c:showBubbleSize val="0"/>
        </c:dLbls>
        <c:gapWidth val="219"/>
        <c:overlap val="-27"/>
        <c:axId val="211069928"/>
        <c:axId val="211071496"/>
      </c:barChart>
      <c:catAx>
        <c:axId val="21106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071496"/>
        <c:crosses val="autoZero"/>
        <c:auto val="1"/>
        <c:lblAlgn val="ctr"/>
        <c:lblOffset val="100"/>
        <c:noMultiLvlLbl val="0"/>
      </c:catAx>
      <c:valAx>
        <c:axId val="211071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211069928"/>
        <c:crosses val="autoZero"/>
        <c:crossBetween val="between"/>
      </c:valAx>
      <c:spPr>
        <a:noFill/>
        <a:ln>
          <a:noFill/>
        </a:ln>
        <a:effectLst/>
      </c:spPr>
    </c:plotArea>
    <c:legend>
      <c:legendPos val="b"/>
      <c:layout>
        <c:manualLayout>
          <c:xMode val="edge"/>
          <c:yMode val="edge"/>
          <c:x val="0.34291414052476699"/>
          <c:y val="0"/>
          <c:w val="0.143777682741734"/>
          <c:h val="7.040099336769389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333717-4176-495D-9C6F-E82645F6AE57}" type="doc">
      <dgm:prSet loTypeId="urn:microsoft.com/office/officeart/2005/8/layout/radial3" loCatId="cycle" qsTypeId="urn:microsoft.com/office/officeart/2005/8/quickstyle/simple5" qsCatId="simple" csTypeId="urn:microsoft.com/office/officeart/2005/8/colors/accent1_5" csCatId="accent1" phldr="1"/>
      <dgm:spPr/>
      <dgm:t>
        <a:bodyPr/>
        <a:lstStyle/>
        <a:p>
          <a:endParaRPr lang="ru-RU"/>
        </a:p>
      </dgm:t>
    </dgm:pt>
    <dgm:pt modelId="{64FD0ADB-4F0B-4DE2-958F-98B0E93C6190}">
      <dgm:prSet phldrT="[Текст]" custT="1"/>
      <dgm:spPr>
        <a:xfrm>
          <a:off x="2817025" y="1804710"/>
          <a:ext cx="3495774" cy="2803492"/>
        </a:xfr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US" sz="850" b="1" dirty="0">
              <a:solidFill>
                <a:sysClr val="window" lastClr="FFFFFF"/>
              </a:solidFill>
              <a:latin typeface="Century Gothic" panose="020B0502020202020204" pitchFamily="34" charset="0"/>
              <a:ea typeface="+mn-ea"/>
              <a:cs typeface="+mn-cs"/>
            </a:rPr>
            <a:t>Directions of the comprehensive plan</a:t>
          </a:r>
          <a:endParaRPr lang="ru-RU" sz="850" b="1" dirty="0">
            <a:solidFill>
              <a:sysClr val="window" lastClr="FFFFFF"/>
            </a:solidFill>
            <a:latin typeface="Century Gothic" panose="020B0502020202020204" pitchFamily="34" charset="0"/>
            <a:ea typeface="+mn-ea"/>
            <a:cs typeface="+mn-cs"/>
          </a:endParaRPr>
        </a:p>
      </dgm:t>
    </dgm:pt>
    <dgm:pt modelId="{108A1B68-AF36-4E9A-BFB7-6062E7FA64D3}" type="parTrans" cxnId="{9D9C2250-8FF3-4D4D-A95E-BE40C125ED1B}">
      <dgm:prSet/>
      <dgm:spPr/>
      <dgm:t>
        <a:bodyPr/>
        <a:lstStyle/>
        <a:p>
          <a:pPr algn="ctr"/>
          <a:endParaRPr lang="ru-RU"/>
        </a:p>
      </dgm:t>
    </dgm:pt>
    <dgm:pt modelId="{69195092-0CB2-4AEC-8BA5-B9C6EE050C3A}" type="sibTrans" cxnId="{9D9C2250-8FF3-4D4D-A95E-BE40C125ED1B}">
      <dgm:prSet/>
      <dgm:spPr/>
      <dgm:t>
        <a:bodyPr/>
        <a:lstStyle/>
        <a:p>
          <a:pPr algn="ctr"/>
          <a:endParaRPr lang="ru-RU"/>
        </a:p>
      </dgm:t>
    </dgm:pt>
    <dgm:pt modelId="{63D36E5B-549D-4EB2-BFA1-2464BE263437}">
      <dgm:prSet phldrT="[Текст]" custT="1"/>
      <dgm:spPr>
        <a:xfrm>
          <a:off x="5794951" y="2119218"/>
          <a:ext cx="3022630" cy="2201260"/>
        </a:xfr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800" b="0" dirty="0">
              <a:solidFill>
                <a:sysClr val="window" lastClr="FFFFFF"/>
              </a:solidFill>
              <a:latin typeface="Century Gothic" panose="020B0502020202020204" pitchFamily="34" charset="0"/>
              <a:ea typeface="+mn-ea"/>
              <a:cs typeface="+mn-cs"/>
            </a:rPr>
            <a:t>3. </a:t>
          </a:r>
          <a:r>
            <a:rPr lang="en-US" sz="800" b="0" dirty="0">
              <a:solidFill>
                <a:sysClr val="window" lastClr="FFFFFF"/>
              </a:solidFill>
              <a:latin typeface="Century Gothic" panose="020B0502020202020204" pitchFamily="34" charset="0"/>
              <a:ea typeface="+mn-ea"/>
              <a:cs typeface="+mn-cs"/>
            </a:rPr>
            <a:t>Improvement of the pneumology service</a:t>
          </a:r>
          <a:endParaRPr lang="ru-RU" sz="800" b="0" dirty="0">
            <a:solidFill>
              <a:sysClr val="window" lastClr="FFFFFF"/>
            </a:solidFill>
            <a:latin typeface="Century Gothic" panose="020B0502020202020204" pitchFamily="34" charset="0"/>
            <a:ea typeface="+mn-ea"/>
            <a:cs typeface="+mn-cs"/>
          </a:endParaRPr>
        </a:p>
      </dgm:t>
    </dgm:pt>
    <dgm:pt modelId="{4AA99911-47DE-4781-A9A2-BDB0EB17BADC}" type="parTrans" cxnId="{BF73FB56-09CD-4373-9BF0-585E63A2796A}">
      <dgm:prSet/>
      <dgm:spPr/>
      <dgm:t>
        <a:bodyPr/>
        <a:lstStyle/>
        <a:p>
          <a:pPr algn="ctr"/>
          <a:endParaRPr lang="ru-RU"/>
        </a:p>
      </dgm:t>
    </dgm:pt>
    <dgm:pt modelId="{E365038E-0BAA-4A25-91F6-D57E073425B4}" type="sibTrans" cxnId="{BF73FB56-09CD-4373-9BF0-585E63A2796A}">
      <dgm:prSet/>
      <dgm:spPr/>
      <dgm:t>
        <a:bodyPr/>
        <a:lstStyle/>
        <a:p>
          <a:pPr algn="ctr"/>
          <a:endParaRPr lang="ru-RU"/>
        </a:p>
      </dgm:t>
    </dgm:pt>
    <dgm:pt modelId="{C4C1CA4E-1611-4F9A-A1DE-5C81BE40E68B}">
      <dgm:prSet phldrT="[Текст]" custT="1"/>
      <dgm:spPr>
        <a:xfrm>
          <a:off x="3018744" y="4118125"/>
          <a:ext cx="3143037" cy="2103122"/>
        </a:xfr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US" sz="800" b="0">
              <a:solidFill>
                <a:sysClr val="window" lastClr="FFFFFF"/>
              </a:solidFill>
              <a:latin typeface="Century Gothic" panose="020B0502020202020204" pitchFamily="34" charset="0"/>
              <a:ea typeface="+mn-ea"/>
              <a:cs typeface="+mn-cs"/>
            </a:rPr>
            <a:t>4. Development and improvement of thoracic surgery</a:t>
          </a:r>
          <a:endParaRPr lang="ru-RU" sz="1050" b="0" dirty="0">
            <a:solidFill>
              <a:sysClr val="window" lastClr="FFFFFF"/>
            </a:solidFill>
            <a:latin typeface="Century Gothic" panose="020B0502020202020204" pitchFamily="34" charset="0"/>
            <a:ea typeface="+mn-ea"/>
            <a:cs typeface="+mn-cs"/>
          </a:endParaRPr>
        </a:p>
      </dgm:t>
    </dgm:pt>
    <dgm:pt modelId="{E403F7D0-7336-4AEA-B7C7-B719036D3D6E}" type="parTrans" cxnId="{D5DE5466-CA8D-4A03-9935-F31A95824DB8}">
      <dgm:prSet/>
      <dgm:spPr/>
      <dgm:t>
        <a:bodyPr/>
        <a:lstStyle/>
        <a:p>
          <a:pPr algn="ctr"/>
          <a:endParaRPr lang="ru-RU"/>
        </a:p>
      </dgm:t>
    </dgm:pt>
    <dgm:pt modelId="{010AD4F7-8164-40F2-BA62-3D2EB499265A}" type="sibTrans" cxnId="{D5DE5466-CA8D-4A03-9935-F31A95824DB8}">
      <dgm:prSet/>
      <dgm:spPr/>
      <dgm:t>
        <a:bodyPr/>
        <a:lstStyle/>
        <a:p>
          <a:pPr algn="ctr"/>
          <a:endParaRPr lang="ru-RU"/>
        </a:p>
      </dgm:t>
    </dgm:pt>
    <dgm:pt modelId="{3C568B09-1187-4E7E-A35F-553D62781C6E}">
      <dgm:prSet custT="1"/>
      <dgm:spPr>
        <a:xfrm>
          <a:off x="197772" y="2232257"/>
          <a:ext cx="3209288" cy="2060542"/>
        </a:xfr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US" sz="800" b="0" dirty="0">
              <a:solidFill>
                <a:sysClr val="window" lastClr="FFFFFF"/>
              </a:solidFill>
              <a:latin typeface="Century Gothic" panose="020B0502020202020204" pitchFamily="34" charset="0"/>
              <a:ea typeface="+mn-ea"/>
              <a:cs typeface="+mn-cs"/>
            </a:rPr>
            <a:t>2. Improvement of the TB service</a:t>
          </a:r>
          <a:endParaRPr lang="ru-RU" sz="800" b="0" dirty="0">
            <a:solidFill>
              <a:sysClr val="window" lastClr="FFFFFF"/>
            </a:solidFill>
            <a:latin typeface="Century Gothic" panose="020B0502020202020204" pitchFamily="34" charset="0"/>
            <a:ea typeface="+mn-ea"/>
            <a:cs typeface="+mn-cs"/>
          </a:endParaRPr>
        </a:p>
      </dgm:t>
    </dgm:pt>
    <dgm:pt modelId="{CF398F94-F8E8-4253-A247-0D1C6D8E5674}" type="parTrans" cxnId="{65734C6B-0B79-4037-9D10-5CF51A338171}">
      <dgm:prSet/>
      <dgm:spPr/>
      <dgm:t>
        <a:bodyPr/>
        <a:lstStyle/>
        <a:p>
          <a:pPr algn="ctr"/>
          <a:endParaRPr lang="ru-RU"/>
        </a:p>
      </dgm:t>
    </dgm:pt>
    <dgm:pt modelId="{0E388B2E-9084-4078-A193-72C9E8DDC2BF}" type="sibTrans" cxnId="{65734C6B-0B79-4037-9D10-5CF51A338171}">
      <dgm:prSet/>
      <dgm:spPr/>
      <dgm:t>
        <a:bodyPr/>
        <a:lstStyle/>
        <a:p>
          <a:pPr algn="ctr"/>
          <a:endParaRPr lang="ru-RU"/>
        </a:p>
      </dgm:t>
    </dgm:pt>
    <dgm:pt modelId="{D2E8BD19-F206-45C5-9EE3-81F937EAB5EB}">
      <dgm:prSet custT="1"/>
      <dgm:spPr>
        <a:xfrm>
          <a:off x="2934061" y="11"/>
          <a:ext cx="3143037" cy="1967509"/>
        </a:xfr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700" b="0" dirty="0">
              <a:solidFill>
                <a:sysClr val="window" lastClr="FFFFFF"/>
              </a:solidFill>
              <a:latin typeface="Century Gothic" panose="020B0502020202020204" pitchFamily="34" charset="0"/>
              <a:ea typeface="+mn-ea"/>
              <a:cs typeface="+mn-cs"/>
            </a:rPr>
            <a:t>1. </a:t>
          </a:r>
          <a:r>
            <a:rPr lang="en-US" sz="700" b="0" dirty="0">
              <a:solidFill>
                <a:sysClr val="window" lastClr="FFFFFF"/>
              </a:solidFill>
              <a:latin typeface="Century Gothic" panose="020B0502020202020204" pitchFamily="34" charset="0"/>
              <a:ea typeface="+mn-ea"/>
              <a:cs typeface="+mn-cs"/>
            </a:rPr>
            <a:t>Developmnet of the organizational structure of the repiratory medicine service</a:t>
          </a:r>
          <a:r>
            <a:rPr lang="en-US" sz="900" b="0" dirty="0">
              <a:solidFill>
                <a:sysClr val="window" lastClr="FFFFFF"/>
              </a:solidFill>
              <a:latin typeface="Century Gothic" panose="020B0502020202020204" pitchFamily="34" charset="0"/>
              <a:ea typeface="+mn-ea"/>
              <a:cs typeface="+mn-cs"/>
            </a:rPr>
            <a:t> </a:t>
          </a:r>
          <a:endParaRPr lang="ru-RU" sz="900" b="0" dirty="0">
            <a:solidFill>
              <a:sysClr val="window" lastClr="FFFFFF"/>
            </a:solidFill>
            <a:latin typeface="Century Gothic" panose="020B0502020202020204" pitchFamily="34" charset="0"/>
            <a:ea typeface="+mn-ea"/>
            <a:cs typeface="+mn-cs"/>
          </a:endParaRPr>
        </a:p>
      </dgm:t>
    </dgm:pt>
    <dgm:pt modelId="{44405A76-5900-462C-8D6B-BBDAC3285428}" type="parTrans" cxnId="{0E597208-C3FC-4674-AF9A-4353536E3FDB}">
      <dgm:prSet/>
      <dgm:spPr/>
      <dgm:t>
        <a:bodyPr/>
        <a:lstStyle/>
        <a:p>
          <a:pPr algn="ctr"/>
          <a:endParaRPr lang="ru-RU"/>
        </a:p>
      </dgm:t>
    </dgm:pt>
    <dgm:pt modelId="{5E9C582A-0D00-480E-A2FB-21E5AC9F749B}" type="sibTrans" cxnId="{0E597208-C3FC-4674-AF9A-4353536E3FDB}">
      <dgm:prSet/>
      <dgm:spPr/>
      <dgm:t>
        <a:bodyPr/>
        <a:lstStyle/>
        <a:p>
          <a:pPr algn="ctr"/>
          <a:endParaRPr lang="ru-RU"/>
        </a:p>
      </dgm:t>
    </dgm:pt>
    <dgm:pt modelId="{9DCE6FDE-8D13-4F8A-8A9E-1AFA8EA8EA94}" type="pres">
      <dgm:prSet presAssocID="{B9333717-4176-495D-9C6F-E82645F6AE57}" presName="composite" presStyleCnt="0">
        <dgm:presLayoutVars>
          <dgm:chMax val="1"/>
          <dgm:dir/>
          <dgm:resizeHandles val="exact"/>
        </dgm:presLayoutVars>
      </dgm:prSet>
      <dgm:spPr/>
    </dgm:pt>
    <dgm:pt modelId="{52F146B0-C74A-4EAE-947D-B8FA1203E559}" type="pres">
      <dgm:prSet presAssocID="{B9333717-4176-495D-9C6F-E82645F6AE57}" presName="radial" presStyleCnt="0">
        <dgm:presLayoutVars>
          <dgm:animLvl val="ctr"/>
        </dgm:presLayoutVars>
      </dgm:prSet>
      <dgm:spPr/>
    </dgm:pt>
    <dgm:pt modelId="{727FDFA4-67A8-4BCB-8B55-14784F49C758}" type="pres">
      <dgm:prSet presAssocID="{64FD0ADB-4F0B-4DE2-958F-98B0E93C6190}" presName="centerShape" presStyleLbl="vennNode1" presStyleIdx="0" presStyleCnt="5" custScaleX="101108" custScaleY="77988" custLinFactNeighborX="265" custLinFactNeighborY="-662"/>
      <dgm:spPr>
        <a:prstGeom prst="ellipse">
          <a:avLst/>
        </a:prstGeom>
      </dgm:spPr>
    </dgm:pt>
    <dgm:pt modelId="{0F67A302-F586-426A-8BFE-D1B6A9F20A4E}" type="pres">
      <dgm:prSet presAssocID="{D2E8BD19-F206-45C5-9EE3-81F937EAB5EB}" presName="node" presStyleLbl="vennNode1" presStyleIdx="1" presStyleCnt="5" custScaleX="200753" custScaleY="109465" custRadScaleRad="94979" custRadScaleInc="-1699">
        <dgm:presLayoutVars>
          <dgm:bulletEnabled val="1"/>
        </dgm:presLayoutVars>
      </dgm:prSet>
      <dgm:spPr>
        <a:prstGeom prst="ellipse">
          <a:avLst/>
        </a:prstGeom>
      </dgm:spPr>
    </dgm:pt>
    <dgm:pt modelId="{B539B15A-F26A-41B3-8E25-563F1D7B4CFD}" type="pres">
      <dgm:prSet presAssocID="{63D36E5B-549D-4EB2-BFA1-2464BE263437}" presName="node" presStyleLbl="vennNode1" presStyleIdx="2" presStyleCnt="5" custScaleX="192721" custScaleY="122470" custRadScaleRad="128036" custRadScaleInc="460">
        <dgm:presLayoutVars>
          <dgm:bulletEnabled val="1"/>
        </dgm:presLayoutVars>
      </dgm:prSet>
      <dgm:spPr>
        <a:prstGeom prst="ellipse">
          <a:avLst/>
        </a:prstGeom>
      </dgm:spPr>
    </dgm:pt>
    <dgm:pt modelId="{1B59A208-2A17-4B2D-B05D-191807DD7FBE}" type="pres">
      <dgm:prSet presAssocID="{C4C1CA4E-1611-4F9A-A1DE-5C81BE40E68B}" presName="node" presStyleLbl="vennNode1" presStyleIdx="3" presStyleCnt="5" custScaleX="201435" custScaleY="117010" custRadScaleRad="83869" custRadScaleInc="-822">
        <dgm:presLayoutVars>
          <dgm:bulletEnabled val="1"/>
        </dgm:presLayoutVars>
      </dgm:prSet>
      <dgm:spPr>
        <a:prstGeom prst="ellipse">
          <a:avLst/>
        </a:prstGeom>
      </dgm:spPr>
    </dgm:pt>
    <dgm:pt modelId="{EE40215E-4105-4F24-AE0A-7F6D96F95E4F}" type="pres">
      <dgm:prSet presAssocID="{3C568B09-1187-4E7E-A35F-553D62781C6E}" presName="node" presStyleLbl="vennNode1" presStyleIdx="4" presStyleCnt="5" custScaleX="210524" custScaleY="114641" custRadScaleRad="133874" custRadScaleInc="-175">
        <dgm:presLayoutVars>
          <dgm:bulletEnabled val="1"/>
        </dgm:presLayoutVars>
      </dgm:prSet>
      <dgm:spPr>
        <a:prstGeom prst="ellipse">
          <a:avLst/>
        </a:prstGeom>
      </dgm:spPr>
    </dgm:pt>
  </dgm:ptLst>
  <dgm:cxnLst>
    <dgm:cxn modelId="{1EEA1404-6AB5-4C38-A210-7F55C7260555}" type="presOf" srcId="{D2E8BD19-F206-45C5-9EE3-81F937EAB5EB}" destId="{0F67A302-F586-426A-8BFE-D1B6A9F20A4E}" srcOrd="0" destOrd="0" presId="urn:microsoft.com/office/officeart/2005/8/layout/radial3"/>
    <dgm:cxn modelId="{0E597208-C3FC-4674-AF9A-4353536E3FDB}" srcId="{64FD0ADB-4F0B-4DE2-958F-98B0E93C6190}" destId="{D2E8BD19-F206-45C5-9EE3-81F937EAB5EB}" srcOrd="0" destOrd="0" parTransId="{44405A76-5900-462C-8D6B-BBDAC3285428}" sibTransId="{5E9C582A-0D00-480E-A2FB-21E5AC9F749B}"/>
    <dgm:cxn modelId="{C0BB691C-08F1-47EF-84AD-2AED8501EEBA}" type="presOf" srcId="{64FD0ADB-4F0B-4DE2-958F-98B0E93C6190}" destId="{727FDFA4-67A8-4BCB-8B55-14784F49C758}" srcOrd="0" destOrd="0" presId="urn:microsoft.com/office/officeart/2005/8/layout/radial3"/>
    <dgm:cxn modelId="{2C026A23-B2EF-4111-9B8D-D28C199F343A}" type="presOf" srcId="{C4C1CA4E-1611-4F9A-A1DE-5C81BE40E68B}" destId="{1B59A208-2A17-4B2D-B05D-191807DD7FBE}" srcOrd="0" destOrd="0" presId="urn:microsoft.com/office/officeart/2005/8/layout/radial3"/>
    <dgm:cxn modelId="{CD581D62-20CA-4A14-9773-2B99EB4E23F6}" type="presOf" srcId="{B9333717-4176-495D-9C6F-E82645F6AE57}" destId="{9DCE6FDE-8D13-4F8A-8A9E-1AFA8EA8EA94}" srcOrd="0" destOrd="0" presId="urn:microsoft.com/office/officeart/2005/8/layout/radial3"/>
    <dgm:cxn modelId="{D5DE5466-CA8D-4A03-9935-F31A95824DB8}" srcId="{64FD0ADB-4F0B-4DE2-958F-98B0E93C6190}" destId="{C4C1CA4E-1611-4F9A-A1DE-5C81BE40E68B}" srcOrd="2" destOrd="0" parTransId="{E403F7D0-7336-4AEA-B7C7-B719036D3D6E}" sibTransId="{010AD4F7-8164-40F2-BA62-3D2EB499265A}"/>
    <dgm:cxn modelId="{65734C6B-0B79-4037-9D10-5CF51A338171}" srcId="{64FD0ADB-4F0B-4DE2-958F-98B0E93C6190}" destId="{3C568B09-1187-4E7E-A35F-553D62781C6E}" srcOrd="3" destOrd="0" parTransId="{CF398F94-F8E8-4253-A247-0D1C6D8E5674}" sibTransId="{0E388B2E-9084-4078-A193-72C9E8DDC2BF}"/>
    <dgm:cxn modelId="{9D9C2250-8FF3-4D4D-A95E-BE40C125ED1B}" srcId="{B9333717-4176-495D-9C6F-E82645F6AE57}" destId="{64FD0ADB-4F0B-4DE2-958F-98B0E93C6190}" srcOrd="0" destOrd="0" parTransId="{108A1B68-AF36-4E9A-BFB7-6062E7FA64D3}" sibTransId="{69195092-0CB2-4AEC-8BA5-B9C6EE050C3A}"/>
    <dgm:cxn modelId="{BF73FB56-09CD-4373-9BF0-585E63A2796A}" srcId="{64FD0ADB-4F0B-4DE2-958F-98B0E93C6190}" destId="{63D36E5B-549D-4EB2-BFA1-2464BE263437}" srcOrd="1" destOrd="0" parTransId="{4AA99911-47DE-4781-A9A2-BDB0EB17BADC}" sibTransId="{E365038E-0BAA-4A25-91F6-D57E073425B4}"/>
    <dgm:cxn modelId="{43CC2E57-5864-4860-880D-BA1DCC094F71}" type="presOf" srcId="{3C568B09-1187-4E7E-A35F-553D62781C6E}" destId="{EE40215E-4105-4F24-AE0A-7F6D96F95E4F}" srcOrd="0" destOrd="0" presId="urn:microsoft.com/office/officeart/2005/8/layout/radial3"/>
    <dgm:cxn modelId="{4CE82DB4-EB5C-47E2-B400-B06FBF6494CD}" type="presOf" srcId="{63D36E5B-549D-4EB2-BFA1-2464BE263437}" destId="{B539B15A-F26A-41B3-8E25-563F1D7B4CFD}" srcOrd="0" destOrd="0" presId="urn:microsoft.com/office/officeart/2005/8/layout/radial3"/>
    <dgm:cxn modelId="{887ED73F-6BA3-4D55-AD0A-CC06A125D00D}" type="presParOf" srcId="{9DCE6FDE-8D13-4F8A-8A9E-1AFA8EA8EA94}" destId="{52F146B0-C74A-4EAE-947D-B8FA1203E559}" srcOrd="0" destOrd="0" presId="urn:microsoft.com/office/officeart/2005/8/layout/radial3"/>
    <dgm:cxn modelId="{84A36755-F390-457C-BF3C-C640CCB4213E}" type="presParOf" srcId="{52F146B0-C74A-4EAE-947D-B8FA1203E559}" destId="{727FDFA4-67A8-4BCB-8B55-14784F49C758}" srcOrd="0" destOrd="0" presId="urn:microsoft.com/office/officeart/2005/8/layout/radial3"/>
    <dgm:cxn modelId="{59FD06DE-CEAE-420A-83D6-054C1FA3C2AE}" type="presParOf" srcId="{52F146B0-C74A-4EAE-947D-B8FA1203E559}" destId="{0F67A302-F586-426A-8BFE-D1B6A9F20A4E}" srcOrd="1" destOrd="0" presId="urn:microsoft.com/office/officeart/2005/8/layout/radial3"/>
    <dgm:cxn modelId="{95D6C3FD-EF45-49B5-A10E-2EB50EE16571}" type="presParOf" srcId="{52F146B0-C74A-4EAE-947D-B8FA1203E559}" destId="{B539B15A-F26A-41B3-8E25-563F1D7B4CFD}" srcOrd="2" destOrd="0" presId="urn:microsoft.com/office/officeart/2005/8/layout/radial3"/>
    <dgm:cxn modelId="{5D2475A7-4055-4DBF-8CD9-2420702BBB64}" type="presParOf" srcId="{52F146B0-C74A-4EAE-947D-B8FA1203E559}" destId="{1B59A208-2A17-4B2D-B05D-191807DD7FBE}" srcOrd="3" destOrd="0" presId="urn:microsoft.com/office/officeart/2005/8/layout/radial3"/>
    <dgm:cxn modelId="{E84B9A99-BD53-4202-A9DD-9A0A8C6C73A7}" type="presParOf" srcId="{52F146B0-C74A-4EAE-947D-B8FA1203E559}" destId="{EE40215E-4105-4F24-AE0A-7F6D96F95E4F}" srcOrd="4" destOrd="0" presId="urn:microsoft.com/office/officeart/2005/8/layout/radial3"/>
  </dgm:cxnLst>
  <dgm:bg/>
  <dgm:whole/>
  <dgm:extLst>
    <a:ext uri="http://schemas.microsoft.com/office/drawing/2008/diagram">
      <dsp:dataModelExt xmlns:dsp="http://schemas.microsoft.com/office/drawing/2008/diagram" relId="rId5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7FDFA4-67A8-4BCB-8B55-14784F49C758}">
      <dsp:nvSpPr>
        <dsp:cNvPr id="0" name=""/>
        <dsp:cNvSpPr/>
      </dsp:nvSpPr>
      <dsp:spPr>
        <a:xfrm>
          <a:off x="1402445" y="606888"/>
          <a:ext cx="1243603" cy="959233"/>
        </a:xfrm>
        <a:prstGeom prst="ellipse">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377825">
            <a:lnSpc>
              <a:spcPct val="90000"/>
            </a:lnSpc>
            <a:spcBef>
              <a:spcPct val="0"/>
            </a:spcBef>
            <a:spcAft>
              <a:spcPct val="35000"/>
            </a:spcAft>
            <a:buNone/>
          </a:pPr>
          <a:r>
            <a:rPr lang="en-US" sz="850" b="1" kern="1200" dirty="0">
              <a:solidFill>
                <a:sysClr val="window" lastClr="FFFFFF"/>
              </a:solidFill>
              <a:latin typeface="Century Gothic" panose="020B0502020202020204" pitchFamily="34" charset="0"/>
              <a:ea typeface="+mn-ea"/>
              <a:cs typeface="+mn-cs"/>
            </a:rPr>
            <a:t>Directions of the comprehensive plan</a:t>
          </a:r>
          <a:endParaRPr lang="ru-RU" sz="850" b="1" kern="1200" dirty="0">
            <a:solidFill>
              <a:sysClr val="window" lastClr="FFFFFF"/>
            </a:solidFill>
            <a:latin typeface="Century Gothic" panose="020B0502020202020204" pitchFamily="34" charset="0"/>
            <a:ea typeface="+mn-ea"/>
            <a:cs typeface="+mn-cs"/>
          </a:endParaRPr>
        </a:p>
      </dsp:txBody>
      <dsp:txXfrm>
        <a:off x="1584566" y="747364"/>
        <a:ext cx="879361" cy="678281"/>
      </dsp:txXfrm>
    </dsp:sp>
    <dsp:sp modelId="{0F67A302-F586-426A-8BFE-D1B6A9F20A4E}">
      <dsp:nvSpPr>
        <dsp:cNvPr id="0" name=""/>
        <dsp:cNvSpPr/>
      </dsp:nvSpPr>
      <dsp:spPr>
        <a:xfrm>
          <a:off x="1382397" y="4"/>
          <a:ext cx="1234606" cy="673196"/>
        </a:xfrm>
        <a:prstGeom prst="ellipse">
          <a:avLst/>
        </a:prstGeo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ru-RU" sz="700" b="0" kern="1200" dirty="0">
              <a:solidFill>
                <a:sysClr val="window" lastClr="FFFFFF"/>
              </a:solidFill>
              <a:latin typeface="Century Gothic" panose="020B0502020202020204" pitchFamily="34" charset="0"/>
              <a:ea typeface="+mn-ea"/>
              <a:cs typeface="+mn-cs"/>
            </a:rPr>
            <a:t>1. </a:t>
          </a:r>
          <a:r>
            <a:rPr lang="en-US" sz="700" b="0" kern="1200" dirty="0">
              <a:solidFill>
                <a:sysClr val="window" lastClr="FFFFFF"/>
              </a:solidFill>
              <a:latin typeface="Century Gothic" panose="020B0502020202020204" pitchFamily="34" charset="0"/>
              <a:ea typeface="+mn-ea"/>
              <a:cs typeface="+mn-cs"/>
            </a:rPr>
            <a:t>Developmnet of the organizational structure of the repiratory medicine service</a:t>
          </a:r>
          <a:r>
            <a:rPr lang="en-US" sz="900" b="0" kern="1200" dirty="0">
              <a:solidFill>
                <a:sysClr val="window" lastClr="FFFFFF"/>
              </a:solidFill>
              <a:latin typeface="Century Gothic" panose="020B0502020202020204" pitchFamily="34" charset="0"/>
              <a:ea typeface="+mn-ea"/>
              <a:cs typeface="+mn-cs"/>
            </a:rPr>
            <a:t> </a:t>
          </a:r>
          <a:endParaRPr lang="ru-RU" sz="900" b="0" kern="1200" dirty="0">
            <a:solidFill>
              <a:sysClr val="window" lastClr="FFFFFF"/>
            </a:solidFill>
            <a:latin typeface="Century Gothic" panose="020B0502020202020204" pitchFamily="34" charset="0"/>
            <a:ea typeface="+mn-ea"/>
            <a:cs typeface="+mn-cs"/>
          </a:endParaRPr>
        </a:p>
      </dsp:txBody>
      <dsp:txXfrm>
        <a:off x="1563201" y="98591"/>
        <a:ext cx="872998" cy="476022"/>
      </dsp:txXfrm>
    </dsp:sp>
    <dsp:sp modelId="{B539B15A-F26A-41B3-8E25-563F1D7B4CFD}">
      <dsp:nvSpPr>
        <dsp:cNvPr id="0" name=""/>
        <dsp:cNvSpPr/>
      </dsp:nvSpPr>
      <dsp:spPr>
        <a:xfrm>
          <a:off x="2452933" y="727932"/>
          <a:ext cx="1185210" cy="753175"/>
        </a:xfrm>
        <a:prstGeom prst="ellipse">
          <a:avLst/>
        </a:prstGeo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b="0" kern="1200" dirty="0">
              <a:solidFill>
                <a:sysClr val="window" lastClr="FFFFFF"/>
              </a:solidFill>
              <a:latin typeface="Century Gothic" panose="020B0502020202020204" pitchFamily="34" charset="0"/>
              <a:ea typeface="+mn-ea"/>
              <a:cs typeface="+mn-cs"/>
            </a:rPr>
            <a:t>3. </a:t>
          </a:r>
          <a:r>
            <a:rPr lang="en-US" sz="800" b="0" kern="1200" dirty="0">
              <a:solidFill>
                <a:sysClr val="window" lastClr="FFFFFF"/>
              </a:solidFill>
              <a:latin typeface="Century Gothic" panose="020B0502020202020204" pitchFamily="34" charset="0"/>
              <a:ea typeface="+mn-ea"/>
              <a:cs typeface="+mn-cs"/>
            </a:rPr>
            <a:t>Improvement of the pneumology service</a:t>
          </a:r>
          <a:endParaRPr lang="ru-RU" sz="800" b="0" kern="1200" dirty="0">
            <a:solidFill>
              <a:sysClr val="window" lastClr="FFFFFF"/>
            </a:solidFill>
            <a:latin typeface="Century Gothic" panose="020B0502020202020204" pitchFamily="34" charset="0"/>
            <a:ea typeface="+mn-ea"/>
            <a:cs typeface="+mn-cs"/>
          </a:endParaRPr>
        </a:p>
      </dsp:txBody>
      <dsp:txXfrm>
        <a:off x="2626503" y="838232"/>
        <a:ext cx="838070" cy="532575"/>
      </dsp:txXfrm>
    </dsp:sp>
    <dsp:sp modelId="{1B59A208-2A17-4B2D-B05D-191807DD7FBE}">
      <dsp:nvSpPr>
        <dsp:cNvPr id="0" name=""/>
        <dsp:cNvSpPr/>
      </dsp:nvSpPr>
      <dsp:spPr>
        <a:xfrm>
          <a:off x="1409275" y="1409043"/>
          <a:ext cx="1238800" cy="719596"/>
        </a:xfrm>
        <a:prstGeom prst="ellipse">
          <a:avLst/>
        </a:prstGeo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0" kern="1200">
              <a:solidFill>
                <a:sysClr val="window" lastClr="FFFFFF"/>
              </a:solidFill>
              <a:latin typeface="Century Gothic" panose="020B0502020202020204" pitchFamily="34" charset="0"/>
              <a:ea typeface="+mn-ea"/>
              <a:cs typeface="+mn-cs"/>
            </a:rPr>
            <a:t>4. Development and improvement of thoracic surgery</a:t>
          </a:r>
          <a:endParaRPr lang="ru-RU" sz="1050" b="0" kern="1200" dirty="0">
            <a:solidFill>
              <a:sysClr val="window" lastClr="FFFFFF"/>
            </a:solidFill>
            <a:latin typeface="Century Gothic" panose="020B0502020202020204" pitchFamily="34" charset="0"/>
            <a:ea typeface="+mn-ea"/>
            <a:cs typeface="+mn-cs"/>
          </a:endParaRPr>
        </a:p>
      </dsp:txBody>
      <dsp:txXfrm>
        <a:off x="1590693" y="1514425"/>
        <a:ext cx="875964" cy="508832"/>
      </dsp:txXfrm>
    </dsp:sp>
    <dsp:sp modelId="{EE40215E-4105-4F24-AE0A-7F6D96F95E4F}">
      <dsp:nvSpPr>
        <dsp:cNvPr id="0" name=""/>
        <dsp:cNvSpPr/>
      </dsp:nvSpPr>
      <dsp:spPr>
        <a:xfrm>
          <a:off x="300331" y="747543"/>
          <a:ext cx="1294696" cy="705027"/>
        </a:xfrm>
        <a:prstGeom prst="ellipse">
          <a:avLst/>
        </a:prstGeo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0" kern="1200" dirty="0">
              <a:solidFill>
                <a:sysClr val="window" lastClr="FFFFFF"/>
              </a:solidFill>
              <a:latin typeface="Century Gothic" panose="020B0502020202020204" pitchFamily="34" charset="0"/>
              <a:ea typeface="+mn-ea"/>
              <a:cs typeface="+mn-cs"/>
            </a:rPr>
            <a:t>2. Improvement of the TB service</a:t>
          </a:r>
          <a:endParaRPr lang="ru-RU" sz="800" b="0" kern="1200" dirty="0">
            <a:solidFill>
              <a:sysClr val="window" lastClr="FFFFFF"/>
            </a:solidFill>
            <a:latin typeface="Century Gothic" panose="020B0502020202020204" pitchFamily="34" charset="0"/>
            <a:ea typeface="+mn-ea"/>
            <a:cs typeface="+mn-cs"/>
          </a:endParaRPr>
        </a:p>
      </dsp:txBody>
      <dsp:txXfrm>
        <a:off x="489935" y="850792"/>
        <a:ext cx="915488" cy="498529"/>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0.45147</cdr:x>
      <cdr:y>0.58327</cdr:y>
    </cdr:from>
    <cdr:to>
      <cdr:x>0.67987</cdr:x>
      <cdr:y>0.78261</cdr:y>
    </cdr:to>
    <cdr:sp macro="" textlink="">
      <cdr:nvSpPr>
        <cdr:cNvPr id="2" name="Oval 1"/>
        <cdr:cNvSpPr/>
      </cdr:nvSpPr>
      <cdr:spPr>
        <a:xfrm xmlns:a="http://schemas.openxmlformats.org/drawingml/2006/main">
          <a:off x="1405316" y="1102241"/>
          <a:ext cx="710955" cy="376705"/>
        </a:xfrm>
        <a:prstGeom xmlns:a="http://schemas.openxmlformats.org/drawingml/2006/main" prst="ellipse">
          <a:avLst/>
        </a:prstGeom>
        <a:solidFill xmlns:a="http://schemas.openxmlformats.org/drawingml/2006/main">
          <a:sysClr val="window" lastClr="FFFFFF"/>
        </a:solidFill>
        <a:ln xmlns:a="http://schemas.openxmlformats.org/drawingml/2006/main">
          <a:gradFill>
            <a:gsLst>
              <a:gs pos="0">
                <a:schemeClr val="accent1">
                  <a:lumMod val="5000"/>
                  <a:lumOff val="95000"/>
                </a:schemeClr>
              </a:gs>
              <a:gs pos="6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n-US" sz="1000" b="1">
              <a:solidFill>
                <a:sysClr val="windowText" lastClr="000000"/>
              </a:solidFill>
            </a:rPr>
            <a:t>54.2%</a:t>
          </a:r>
        </a:p>
      </cdr:txBody>
    </cdr:sp>
  </cdr:relSizeAnchor>
</c:userShapes>
</file>

<file path=word/drawings/drawing2.xml><?xml version="1.0" encoding="utf-8"?>
<c:userShapes xmlns:c="http://schemas.openxmlformats.org/drawingml/2006/chart">
  <cdr:relSizeAnchor xmlns:cdr="http://schemas.openxmlformats.org/drawingml/2006/chartDrawing">
    <cdr:from>
      <cdr:x>0.48039</cdr:x>
      <cdr:y>0.51797</cdr:y>
    </cdr:from>
    <cdr:to>
      <cdr:x>0.61078</cdr:x>
      <cdr:y>0.64869</cdr:y>
    </cdr:to>
    <cdr:sp macro="" textlink="">
      <cdr:nvSpPr>
        <cdr:cNvPr id="2" name="Rectangle 1"/>
        <cdr:cNvSpPr/>
      </cdr:nvSpPr>
      <cdr:spPr>
        <a:xfrm xmlns:a="http://schemas.openxmlformats.org/drawingml/2006/main">
          <a:off x="2196354" y="1420906"/>
          <a:ext cx="596153" cy="35858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0.43994</cdr:x>
      <cdr:y>0.6151</cdr:y>
    </cdr:from>
    <cdr:to>
      <cdr:x>0.69734</cdr:x>
      <cdr:y>0.79157</cdr:y>
    </cdr:to>
    <cdr:sp macro="" textlink="">
      <cdr:nvSpPr>
        <cdr:cNvPr id="3" name="Oval 2"/>
        <cdr:cNvSpPr/>
      </cdr:nvSpPr>
      <cdr:spPr>
        <a:xfrm xmlns:a="http://schemas.openxmlformats.org/drawingml/2006/main">
          <a:off x="1349318" y="753055"/>
          <a:ext cx="789459" cy="216048"/>
        </a:xfrm>
        <a:prstGeom xmlns:a="http://schemas.openxmlformats.org/drawingml/2006/main" prst="ellipse">
          <a:avLst/>
        </a:prstGeom>
        <a:solidFill xmlns:a="http://schemas.openxmlformats.org/drawingml/2006/main">
          <a:schemeClr val="bg1"/>
        </a:solidFill>
        <a:ln xmlns:a="http://schemas.openxmlformats.org/drawingml/2006/main">
          <a:gradFill>
            <a:gsLst>
              <a:gs pos="13000">
                <a:schemeClr val="accent1">
                  <a:lumMod val="45000"/>
                  <a:lumOff val="5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n-US" sz="900" b="1">
              <a:solidFill>
                <a:sysClr val="windowText" lastClr="000000"/>
              </a:solidFill>
            </a:rPr>
            <a:t>56.7%</a:t>
          </a:r>
        </a:p>
      </cdr:txBody>
    </cdr:sp>
  </cdr:relSizeAnchor>
</c:userShapes>
</file>

<file path=word/drawings/drawing3.xml><?xml version="1.0" encoding="utf-8"?>
<c:userShapes xmlns:c="http://schemas.openxmlformats.org/drawingml/2006/chart">
  <cdr:relSizeAnchor xmlns:cdr="http://schemas.openxmlformats.org/drawingml/2006/chartDrawing">
    <cdr:from>
      <cdr:x>0.44577</cdr:x>
      <cdr:y>0.61402</cdr:y>
    </cdr:from>
    <cdr:to>
      <cdr:x>0.67654</cdr:x>
      <cdr:y>0.78785</cdr:y>
    </cdr:to>
    <cdr:sp macro="" textlink="">
      <cdr:nvSpPr>
        <cdr:cNvPr id="2" name="Oval 1"/>
        <cdr:cNvSpPr/>
      </cdr:nvSpPr>
      <cdr:spPr>
        <a:xfrm xmlns:a="http://schemas.openxmlformats.org/drawingml/2006/main">
          <a:off x="1375701" y="834390"/>
          <a:ext cx="712179" cy="236221"/>
        </a:xfrm>
        <a:prstGeom xmlns:a="http://schemas.openxmlformats.org/drawingml/2006/main" prst="ellipse">
          <a:avLst/>
        </a:prstGeom>
        <a:solidFill xmlns:a="http://schemas.openxmlformats.org/drawingml/2006/main">
          <a:schemeClr val="bg1"/>
        </a:solidFill>
        <a:ln xmlns:a="http://schemas.openxmlformats.org/drawingml/2006/main">
          <a:gradFill>
            <a:gsLst>
              <a:gs pos="0">
                <a:schemeClr val="accent1">
                  <a:lumMod val="5000"/>
                  <a:lumOff val="95000"/>
                </a:schemeClr>
              </a:gs>
              <a:gs pos="6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n-US" sz="900" b="1">
              <a:solidFill>
                <a:sysClr val="windowText" lastClr="000000"/>
              </a:solidFill>
            </a:rPr>
            <a:t>58.9%</a:t>
          </a:r>
          <a:r>
            <a:rPr lang="en-US" sz="1000" b="1"/>
            <a:t>%</a:t>
          </a:r>
        </a:p>
      </cdr:txBody>
    </cdr:sp>
  </cdr:relSizeAnchor>
</c:userShapes>
</file>

<file path=word/drawings/drawing4.xml><?xml version="1.0" encoding="utf-8"?>
<c:userShapes xmlns:c="http://schemas.openxmlformats.org/drawingml/2006/chart">
  <cdr:relSizeAnchor xmlns:cdr="http://schemas.openxmlformats.org/drawingml/2006/chartDrawing">
    <cdr:from>
      <cdr:x>0.44458</cdr:x>
      <cdr:y>0.63707</cdr:y>
    </cdr:from>
    <cdr:to>
      <cdr:x>0.67606</cdr:x>
      <cdr:y>0.80032</cdr:y>
    </cdr:to>
    <cdr:sp macro="" textlink="">
      <cdr:nvSpPr>
        <cdr:cNvPr id="2" name="Oval 1"/>
        <cdr:cNvSpPr/>
      </cdr:nvSpPr>
      <cdr:spPr>
        <a:xfrm xmlns:a="http://schemas.openxmlformats.org/drawingml/2006/main">
          <a:off x="1383028" y="805843"/>
          <a:ext cx="720103" cy="206498"/>
        </a:xfrm>
        <a:prstGeom xmlns:a="http://schemas.openxmlformats.org/drawingml/2006/main" prst="ellipse">
          <a:avLst/>
        </a:prstGeom>
        <a:solidFill xmlns:a="http://schemas.openxmlformats.org/drawingml/2006/main">
          <a:sysClr val="window" lastClr="FFFFFF"/>
        </a:solidFill>
        <a:ln xmlns:a="http://schemas.openxmlformats.org/drawingml/2006/main">
          <a:gradFill>
            <a:gsLst>
              <a:gs pos="0">
                <a:schemeClr val="accent1">
                  <a:lumMod val="5000"/>
                  <a:lumOff val="95000"/>
                </a:schemeClr>
              </a:gs>
              <a:gs pos="12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000" b="1">
              <a:solidFill>
                <a:sysClr val="windowText" lastClr="000000"/>
              </a:solidFill>
            </a:rPr>
            <a:t>29.7%</a:t>
          </a:r>
        </a:p>
      </cdr:txBody>
    </cdr:sp>
  </cdr:relSizeAnchor>
</c:userShapes>
</file>

<file path=word/drawings/drawing5.xml><?xml version="1.0" encoding="utf-8"?>
<c:userShapes xmlns:c="http://schemas.openxmlformats.org/drawingml/2006/chart">
  <cdr:relSizeAnchor xmlns:cdr="http://schemas.openxmlformats.org/drawingml/2006/chartDrawing">
    <cdr:from>
      <cdr:x>0.43846</cdr:x>
      <cdr:y>0.55335</cdr:y>
    </cdr:from>
    <cdr:to>
      <cdr:x>0.68341</cdr:x>
      <cdr:y>0.72898</cdr:y>
    </cdr:to>
    <cdr:sp macro="" textlink="">
      <cdr:nvSpPr>
        <cdr:cNvPr id="2" name="Oval 1"/>
        <cdr:cNvSpPr/>
      </cdr:nvSpPr>
      <cdr:spPr>
        <a:xfrm xmlns:a="http://schemas.openxmlformats.org/drawingml/2006/main">
          <a:off x="1363990" y="566420"/>
          <a:ext cx="762006" cy="179779"/>
        </a:xfrm>
        <a:prstGeom xmlns:a="http://schemas.openxmlformats.org/drawingml/2006/main" prst="ellipse">
          <a:avLst/>
        </a:prstGeom>
        <a:solidFill xmlns:a="http://schemas.openxmlformats.org/drawingml/2006/main">
          <a:sysClr val="window" lastClr="FFFFFF"/>
        </a:solidFill>
        <a:ln xmlns:a="http://schemas.openxmlformats.org/drawingml/2006/main">
          <a:gradFill>
            <a:gsLst>
              <a:gs pos="0">
                <a:schemeClr val="accent1">
                  <a:lumMod val="5000"/>
                  <a:lumOff val="95000"/>
                </a:schemeClr>
              </a:gs>
              <a:gs pos="12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n-US" sz="900" b="1">
              <a:solidFill>
                <a:sysClr val="windowText" lastClr="000000"/>
              </a:solidFill>
            </a:rPr>
            <a:t>24.2</a:t>
          </a:r>
          <a:r>
            <a:rPr lang="en-US" sz="1050" b="1">
              <a:solidFill>
                <a:sysClr val="windowText" lastClr="000000"/>
              </a:solidFill>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0.44703</cdr:x>
      <cdr:y>0.66617</cdr:y>
    </cdr:from>
    <cdr:to>
      <cdr:x>0.68585</cdr:x>
      <cdr:y>0.80227</cdr:y>
    </cdr:to>
    <cdr:sp macro="" textlink="">
      <cdr:nvSpPr>
        <cdr:cNvPr id="2" name="Oval 1"/>
        <cdr:cNvSpPr/>
      </cdr:nvSpPr>
      <cdr:spPr>
        <a:xfrm xmlns:a="http://schemas.openxmlformats.org/drawingml/2006/main">
          <a:off x="1390650" y="1140460"/>
          <a:ext cx="742937" cy="232994"/>
        </a:xfrm>
        <a:prstGeom xmlns:a="http://schemas.openxmlformats.org/drawingml/2006/main" prst="ellipse">
          <a:avLst/>
        </a:prstGeom>
        <a:solidFill xmlns:a="http://schemas.openxmlformats.org/drawingml/2006/main">
          <a:sysClr val="window" lastClr="FFFFFF"/>
        </a:solidFill>
        <a:ln xmlns:a="http://schemas.openxmlformats.org/drawingml/2006/main">
          <a:gradFill>
            <a:gsLst>
              <a:gs pos="0">
                <a:schemeClr val="accent1">
                  <a:lumMod val="5000"/>
                  <a:lumOff val="95000"/>
                </a:schemeClr>
              </a:gs>
              <a:gs pos="12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1050" b="1">
              <a:solidFill>
                <a:sysClr val="windowText" lastClr="000000"/>
              </a:solidFill>
            </a:rPr>
            <a:t>24.9%</a:t>
          </a:r>
        </a:p>
      </cdr:txBody>
    </cdr:sp>
  </cdr:relSizeAnchor>
</c:userShapes>
</file>

<file path=word/drawings/drawing7.xml><?xml version="1.0" encoding="utf-8"?>
<c:userShapes xmlns:c="http://schemas.openxmlformats.org/drawingml/2006/chart">
  <cdr:relSizeAnchor xmlns:cdr="http://schemas.openxmlformats.org/drawingml/2006/chartDrawing">
    <cdr:from>
      <cdr:x>0.45111</cdr:x>
      <cdr:y>0.66617</cdr:y>
    </cdr:from>
    <cdr:to>
      <cdr:x>0.69075</cdr:x>
      <cdr:y>0.77835</cdr:y>
    </cdr:to>
    <cdr:sp macro="" textlink="">
      <cdr:nvSpPr>
        <cdr:cNvPr id="3" name="Oval 2"/>
        <cdr:cNvSpPr/>
      </cdr:nvSpPr>
      <cdr:spPr>
        <a:xfrm xmlns:a="http://schemas.openxmlformats.org/drawingml/2006/main">
          <a:off x="1403342" y="1140460"/>
          <a:ext cx="745488" cy="192044"/>
        </a:xfrm>
        <a:prstGeom xmlns:a="http://schemas.openxmlformats.org/drawingml/2006/main" prst="ellipse">
          <a:avLst/>
        </a:prstGeom>
        <a:solidFill xmlns:a="http://schemas.openxmlformats.org/drawingml/2006/main">
          <a:sysClr val="window" lastClr="FFFFFF"/>
        </a:solidFill>
        <a:ln xmlns:a="http://schemas.openxmlformats.org/drawingml/2006/main">
          <a:gradFill>
            <a:gsLst>
              <a:gs pos="0">
                <a:schemeClr val="accent1">
                  <a:lumMod val="5000"/>
                  <a:lumOff val="95000"/>
                </a:schemeClr>
              </a:gs>
              <a:gs pos="12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900" b="1">
              <a:solidFill>
                <a:sysClr val="windowText" lastClr="000000"/>
              </a:solidFill>
            </a:rPr>
            <a:t>54.6%</a:t>
          </a:r>
        </a:p>
      </cdr:txBody>
    </cdr:sp>
  </cdr:relSizeAnchor>
</c:userShapes>
</file>

<file path=word/theme/theme1.xml><?xml version="1.0" encoding="utf-8"?>
<a:theme xmlns:a="http://schemas.openxmlformats.org/drawingml/2006/main" name="Office Theme">
  <a:themeElements>
    <a:clrScheme name="GF Black">
      <a:dk1>
        <a:srgbClr val="404040"/>
      </a:dk1>
      <a:lt1>
        <a:sysClr val="window" lastClr="FFFFFF"/>
      </a:lt1>
      <a:dk2>
        <a:srgbClr val="FFFFFF"/>
      </a:dk2>
      <a:lt2>
        <a:srgbClr val="1E1E1E"/>
      </a:lt2>
      <a:accent1>
        <a:srgbClr val="C7C8CA"/>
      </a:accent1>
      <a:accent2>
        <a:srgbClr val="939598"/>
      </a:accent2>
      <a:accent3>
        <a:srgbClr val="636466"/>
      </a:accent3>
      <a:accent4>
        <a:srgbClr val="CD202C"/>
      </a:accent4>
      <a:accent5>
        <a:srgbClr val="0055AA"/>
      </a:accent5>
      <a:accent6>
        <a:srgbClr val="FFAA22"/>
      </a:accent6>
      <a:hlink>
        <a:srgbClr val="0563C1"/>
      </a:hlink>
      <a:folHlink>
        <a:srgbClr val="954F72"/>
      </a:folHlink>
    </a:clrScheme>
    <a:fontScheme name="Global Fund">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GF Black">
    <a:dk1>
      <a:srgbClr val="404040"/>
    </a:dk1>
    <a:lt1>
      <a:sysClr val="window" lastClr="FFFFFF"/>
    </a:lt1>
    <a:dk2>
      <a:srgbClr val="FFFFFF"/>
    </a:dk2>
    <a:lt2>
      <a:srgbClr val="1E1E1E"/>
    </a:lt2>
    <a:accent1>
      <a:srgbClr val="C7C8CA"/>
    </a:accent1>
    <a:accent2>
      <a:srgbClr val="939598"/>
    </a:accent2>
    <a:accent3>
      <a:srgbClr val="636466"/>
    </a:accent3>
    <a:accent4>
      <a:srgbClr val="CD202C"/>
    </a:accent4>
    <a:accent5>
      <a:srgbClr val="0055AA"/>
    </a:accent5>
    <a:accent6>
      <a:srgbClr val="FFAA22"/>
    </a:accent6>
    <a:hlink>
      <a:srgbClr val="0563C1"/>
    </a:hlink>
    <a:folHlink>
      <a:srgbClr val="954F72"/>
    </a:folHlink>
  </a:clrScheme>
  <a:fontScheme name="Global Fund">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GF Black">
    <a:dk1>
      <a:srgbClr val="404040"/>
    </a:dk1>
    <a:lt1>
      <a:sysClr val="window" lastClr="FFFFFF"/>
    </a:lt1>
    <a:dk2>
      <a:srgbClr val="FFFFFF"/>
    </a:dk2>
    <a:lt2>
      <a:srgbClr val="1E1E1E"/>
    </a:lt2>
    <a:accent1>
      <a:srgbClr val="C7C8CA"/>
    </a:accent1>
    <a:accent2>
      <a:srgbClr val="939598"/>
    </a:accent2>
    <a:accent3>
      <a:srgbClr val="636466"/>
    </a:accent3>
    <a:accent4>
      <a:srgbClr val="CD202C"/>
    </a:accent4>
    <a:accent5>
      <a:srgbClr val="0055AA"/>
    </a:accent5>
    <a:accent6>
      <a:srgbClr val="FFAA22"/>
    </a:accent6>
    <a:hlink>
      <a:srgbClr val="0563C1"/>
    </a:hlink>
    <a:folHlink>
      <a:srgbClr val="954F72"/>
    </a:folHlink>
  </a:clrScheme>
  <a:fontScheme name="Global Fund">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Working Document" ma:contentTypeID="0x010100DB1926E75FE6D448A94BA4FC7E9CAC0400EB82F3FDC0493647B521A7A424B5B012" ma:contentTypeVersion="8" ma:contentTypeDescription=" Working Document (0 years retention period)" ma:contentTypeScope="" ma:versionID="2e9cd3450a7698f9077782a12829d500">
  <xsd:schema xmlns:xsd="http://www.w3.org/2001/XMLSchema" xmlns:xs="http://www.w3.org/2001/XMLSchema" xmlns:p="http://schemas.microsoft.com/office/2006/metadata/properties" xmlns:ns2="a03ac030-8fc0-429e-a59d-aec15056182b" xmlns:ns3="http://schemas.microsoft.com/sharepoint/v4" xmlns:ns4="2219519e-2df8-4e68-9bc8-47ece53c639c" targetNamespace="http://schemas.microsoft.com/office/2006/metadata/properties" ma:root="true" ma:fieldsID="32a84c95add331215c70071da39b10c5" ns2:_="" ns3:_="" ns4:_="">
    <xsd:import namespace="a03ac030-8fc0-429e-a59d-aec15056182b"/>
    <xsd:import namespace="http://schemas.microsoft.com/sharepoint/v4"/>
    <xsd:import namespace="2219519e-2df8-4e68-9bc8-47ece53c639c"/>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element ref="ns4:MediaServiceMetadata" minOccurs="0"/>
                <xsd:element ref="ns4:MediaServiceFastMetadata" minOccurs="0"/>
                <xsd:element ref="ns4:MediaServiceAutoKeyPoints" minOccurs="0"/>
                <xsd:element ref="ns4:MediaServiceKeyPoints" minOccurs="0"/>
                <xsd:element ref="ns4: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ac030-8fc0-429e-a59d-aec15056182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9519e-2df8-4e68-9bc8-47ece53c639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Note" ma:index="16" nillable="true" ma:displayName="Note" ma:format="Dropdown" ma:internalName="Not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Note xmlns="2219519e-2df8-4e68-9bc8-47ece53c639c" xsi:nil="true"/>
    <_dlc_DocId xmlns="a03ac030-8fc0-429e-a59d-aec15056182b">3NAZ7T4E3CZ3-539361286-741</_dlc_DocId>
    <_dlc_DocIdUrl xmlns="a03ac030-8fc0-429e-a59d-aec15056182b">
      <Url>https://tgf.sharepoint.com/sites/TSA2F1/A2FD/_layouts/15/DocIdRedir.aspx?ID=3NAZ7T4E3CZ3-539361286-741</Url>
      <Description>3NAZ7T4E3CZ3-539361286-741</Description>
    </_dlc_DocIdUrl>
  </documentManagement>
</p:properties>
</file>

<file path=customXml/item3.xml><?xml version="1.0" encoding="utf-8"?>
<TemplafyFormConfiguration><![CDATA[{"formFields":[{"dataSource":"ColourThemes","displayColumn":"displayName","hideIfNoUserInteractionRequired":false,"distinct":true,"required":true,"defaultValue":"3","autoSelectFirstOption":false,"type":"dropDown","name":"ColourTheme","label":"Colour theme","helpTexts":{"prefix":"","postfix":""},"spacing":{},"fullyQualifiedName":"ColourTheme"},{"type":"heading","name":"ReportHeadingA","label":"Items for title page and footer text","helpTexts":{"prefix":"","postfix":""},"spacing":{},"fullyQualifiedName":"ReportHeadingA"},{"type":"instructions","name":"ReportInstructionsA","label":"The date, location and country will appear on the front sheet and in the footer of the main part of the document.","helpTexts":{"prefix":"","postfix":""},"spacing":{},"fullyQualifiedName":"ReportInstructionsA"},{"required":true,"type":"datePicker","name":"ReportDate","label":"Document date","helpTexts":{"prefix":"","postfix":""},"spacing":{},"fullyQualifiedName":"ReportDate"},{"required":true,"placeholder":"","lines":0,"defaultValue":"Geneva","type":"textBox","name":"ReportLocation","label":"Location","helpTexts":{"prefix":"","postfix":"The entry on the title page will not be updatable through this form."},"spacing":{},"fullyQualifiedName":"ReportLocation"},{"required":true,"placeholder":"","lines":0,"defaultValue":"Switzerland","type":"textBox","name":"ReportCountry","label":"Country","helpTexts":{"prefix":"","postfix":"The entry on the title page will not be updatable through this form."},"spacing":{},"fullyQualifiedName":"ReportCountry"}],"formDataEntries":[{"name":"ColourTheme","value":"PHxKaO3dKTWBZQ8bFHvPTA=="},{"name":"ReportLocation","value":"TWCzxzGaVv/noqKfmWFd3g=="},{"name":"ReportCountry","value":"nBoaWl++UMM5RwVrtZXUvg=="}]}]]></TemplafyForm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TemplafyTemplateConfiguration><![CDATA[{"elementsMetadata":[{"type":"richTextContentControl","id":"12bec168-d80f-4ad3-b827-e94b457987f4","elementConfiguration":{"format":"d MMMM yyyy","binding":"Form.ReportDate","removeAndKeepContent":false,"disableUpdates":false,"type":"date"}},{"type":"richTextContentControl","id":"fe01dc37-8ac1-4b47-a65d-6e38f83aed95","elementConfiguration":{"binding":"Form.ReportLocation","removeAndKeepContent":false,"disableUpdates":false,"type":"text"}},{"type":"richTextContentControl","id":"a25d74cb-6c4b-40fa-9ec1-ddd0a35393d3","elementConfiguration":{"binding":"Form.ReportCountry","removeAndKeepContent":false,"disableUpdates":false,"type":"text"}},{"type":"richTextContentControl","id":"df3addba-5040-40ab-9b8a-156bd632013e","elementConfiguration":{"binding":"Form.ReportLocation","removeAndKeepContent":false,"disableUpdates":false,"type":"text"}},{"type":"richTextContentControl","id":"c0e2ba74-3394-4c55-b0cc-2fc8a393067e","elementConfiguration":{"binding":"Form.ReportCountry","removeAndKeepContent":false,"disableUpdates":false,"type":"text"}},{"type":"richTextContentControl","id":"227033cd-8895-47c3-9030-98457c383c51","elementConfiguration":{"format":"d MMMM yyyy","binding":"Form.ReportDate","removeAndKeepContent":false,"disableUpdates":false,"type":"date"}},{"type":"richTextContentControl","id":"15b78cde-5b03-4a4d-a494-ede7e8fb7397","elementConfiguration":{"binding":"Form.ReportLocation","removeAndKeepContent":false,"disableUpdates":false,"type":"text"}},{"type":"richTextContentControl","id":"44816cc2-e3cd-4b49-ba70-f976ad9120f6","elementConfiguration":{"binding":"Form.ReportCountry","removeAndKeepContent":false,"disableUpdates":false,"type":"text"}}],"transformationConfigurations":[{"colorTheme":"{{Form.ColourTheme.ThemeName}}","originalColorThemeXml":"<a:clrScheme name=\"GF Green\" xmlns:a=\"http://schemas.openxmlformats.org/drawingml/2006/main\"><a:dk1><a:srgbClr val=\"404040\" /></a:dk1><a:lt1><a:sysClr val=\"window\" lastClr=\"FFFFFF\" /></a:lt1><a:dk2><a:srgbClr val=\"F0F8EA\" /></a:dk2><a:lt2><a:srgbClr val=\"69BE28\" /></a:lt2><a:accent1><a:srgbClr val=\"D4EAC0\" /></a:accent1><a:accent2><a:srgbClr val=\"B7DD97\" /></a:accent2><a:accent3><a:srgbClr val=\"8CC95A\" /></a:accent3><a:accent4><a:srgbClr val=\"00B0CA\" /></a:accent4><a:accent5><a:srgbClr val=\"9A996E\" /></a:accent5><a:accent6><a:srgbClr val=\"9A996E\" /></a:accent6><a:hlink><a:srgbClr val=\"0563C1\" /></a:hlink><a:folHlink><a:srgbClr val=\"954F72\" /></a:folHlink></a:clrScheme>","disableUpdates":false,"type":"colorTheme"},{"propertyName":"Language","propertyValue":"en-US","disableUpdates":false,"type":"customDocumentProperty"},{"language":"en-US","disableUpdates":false,"type":"proofingLanguage"}],"isBaseTemplate":false,"templateName":"Report 1 Column","templateDescription":"","enableDocumentContentUpdater":true,"version":"1.3"}]]></TemplafyTemplateConfigura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46B8E6-D388-4781-BC1B-AC3983645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ac030-8fc0-429e-a59d-aec15056182b"/>
    <ds:schemaRef ds:uri="http://schemas.microsoft.com/sharepoint/v4"/>
    <ds:schemaRef ds:uri="2219519e-2df8-4e68-9bc8-47ece53c6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B133AE-9B08-49ED-96FC-CC948069E978}">
  <ds:schemaRefs>
    <ds:schemaRef ds:uri="http://schemas.microsoft.com/office/2006/metadata/properties"/>
    <ds:schemaRef ds:uri="http://schemas.microsoft.com/office/infopath/2007/PartnerControls"/>
    <ds:schemaRef ds:uri="http://schemas.microsoft.com/sharepoint/v4"/>
    <ds:schemaRef ds:uri="2219519e-2df8-4e68-9bc8-47ece53c639c"/>
    <ds:schemaRef ds:uri="a03ac030-8fc0-429e-a59d-aec15056182b"/>
  </ds:schemaRefs>
</ds:datastoreItem>
</file>

<file path=customXml/itemProps3.xml><?xml version="1.0" encoding="utf-8"?>
<ds:datastoreItem xmlns:ds="http://schemas.openxmlformats.org/officeDocument/2006/customXml" ds:itemID="{AC9D8980-C987-48AF-BFD7-20D6444F7008}">
  <ds:schemaRefs/>
</ds:datastoreItem>
</file>

<file path=customXml/itemProps4.xml><?xml version="1.0" encoding="utf-8"?>
<ds:datastoreItem xmlns:ds="http://schemas.openxmlformats.org/officeDocument/2006/customXml" ds:itemID="{057C0E2B-85CE-43AC-9011-B17B04F7AEBD}">
  <ds:schemaRefs>
    <ds:schemaRef ds:uri="http://schemas.openxmlformats.org/officeDocument/2006/bibliography"/>
  </ds:schemaRefs>
</ds:datastoreItem>
</file>

<file path=customXml/itemProps5.xml><?xml version="1.0" encoding="utf-8"?>
<ds:datastoreItem xmlns:ds="http://schemas.openxmlformats.org/officeDocument/2006/customXml" ds:itemID="{3278A80C-D36C-457D-B684-F34B9EA23A09}">
  <ds:schemaRefs>
    <ds:schemaRef ds:uri="http://schemas.microsoft.com/sharepoint/events"/>
  </ds:schemaRefs>
</ds:datastoreItem>
</file>

<file path=customXml/itemProps6.xml><?xml version="1.0" encoding="utf-8"?>
<ds:datastoreItem xmlns:ds="http://schemas.openxmlformats.org/officeDocument/2006/customXml" ds:itemID="{A7AE4FFB-B547-437A-A56E-613A8F346671}">
  <ds:schemaRefs/>
</ds:datastoreItem>
</file>

<file path=customXml/itemProps7.xml><?xml version="1.0" encoding="utf-8"?>
<ds:datastoreItem xmlns:ds="http://schemas.openxmlformats.org/officeDocument/2006/customXml" ds:itemID="{22310F86-9454-464A-B6A9-12945F3ED4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GF Report Template 1 Column</Template>
  <TotalTime>302</TotalTime>
  <Pages>78</Pages>
  <Words>39931</Words>
  <Characters>227610</Characters>
  <Application>Microsoft Office Word</Application>
  <DocSecurity>0</DocSecurity>
  <Lines>1896</Lines>
  <Paragraphs>534</Paragraphs>
  <ScaleCrop>false</ScaleCrop>
  <HeadingPairs>
    <vt:vector size="2" baseType="variant">
      <vt:variant>
        <vt:lpstr>Title</vt:lpstr>
      </vt:variant>
      <vt:variant>
        <vt:i4>1</vt:i4>
      </vt:variant>
    </vt:vector>
  </HeadingPairs>
  <TitlesOfParts>
    <vt:vector size="1" baseType="lpstr">
      <vt:lpstr>fundingrequest_focusedportfolio_template_en</vt:lpstr>
    </vt:vector>
  </TitlesOfParts>
  <Company/>
  <LinksUpToDate>false</LinksUpToDate>
  <CharactersWithSpaces>267007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fundingrequest_focusedportfolio_template_en</dc:title>
  <dc:subject/>
  <dc:creator>Rebecca Phillips</dc:creator>
  <cp:keywords/>
  <dc:description/>
  <cp:lastModifiedBy>Ryssaldy Demeuova</cp:lastModifiedBy>
  <cp:revision>17</cp:revision>
  <cp:lastPrinted>2019-11-01T16:10:00Z</cp:lastPrinted>
  <dcterms:created xsi:type="dcterms:W3CDTF">2021-12-19T09:15:00Z</dcterms:created>
  <dcterms:modified xsi:type="dcterms:W3CDTF">2022-02-03T04:02:00Z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theglobalfund</vt:lpwstr>
  </property>
  <property fmtid="{D5CDD505-2E9C-101B-9397-08002B2CF9AE}" pid="3" name="TemplafyTemplateId">
    <vt:lpwstr>636857370821766504</vt:lpwstr>
  </property>
  <property fmtid="{D5CDD505-2E9C-101B-9397-08002B2CF9AE}" pid="4" name="TemplafyUserProfileId">
    <vt:lpwstr>636740640861854487</vt:lpwstr>
  </property>
  <property fmtid="{D5CDD505-2E9C-101B-9397-08002B2CF9AE}" pid="5" name="TemplafyLanguageCode">
    <vt:lpwstr>en-US</vt:lpwstr>
  </property>
  <property fmtid="{D5CDD505-2E9C-101B-9397-08002B2CF9AE}" pid="6" name="Language">
    <vt:lpwstr>en-US</vt:lpwstr>
  </property>
  <property fmtid="{D5CDD505-2E9C-101B-9397-08002B2CF9AE}" pid="7" name="ContentTypeId">
    <vt:lpwstr>0x010100DB1926E75FE6D448A94BA4FC7E9CAC0400EB82F3FDC0493647B521A7A424B5B012</vt:lpwstr>
  </property>
  <property fmtid="{D5CDD505-2E9C-101B-9397-08002B2CF9AE}" pid="8" name="_dlc_DocId">
    <vt:lpwstr>3NAZ7T4E3CZ3-539361286-741</vt:lpwstr>
  </property>
  <property fmtid="{D5CDD505-2E9C-101B-9397-08002B2CF9AE}" pid="9" name="_dlc_DocIdUrl">
    <vt:lpwstr>https://tgf.sharepoint.com/sites/TSA2F1/A2FT/_layouts/15/DocIdRedir.aspx?ID=3NAZ7T4E3CZ3-539361286-741, 3NAZ7T4E3CZ3-539361286-741</vt:lpwstr>
  </property>
  <property fmtid="{D5CDD505-2E9C-101B-9397-08002B2CF9AE}" pid="10" name="_dlc_DocIdItemGuid">
    <vt:lpwstr>fe5bd4ff-a96f-401e-8e5c-d1fcc5a70143</vt:lpwstr>
  </property>
  <property fmtid="{D5CDD505-2E9C-101B-9397-08002B2CF9AE}" pid="11" name="Order">
    <vt:r8>393300</vt:r8>
  </property>
  <property fmtid="{D5CDD505-2E9C-101B-9397-08002B2CF9AE}" pid="12" name="URL">
    <vt:lpwstr/>
  </property>
</Properties>
</file>